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Attrition Prediction Evaluation Report</w:t>
      </w:r>
    </w:p>
    <w:p>
      <w:pPr>
        <w:jc w:val="left"/>
      </w:pPr>
      <w:r>
        <w:rPr>
          <w:b/>
          <w:color w:val="4B4B4B"/>
          <w:sz w:val="22"/>
        </w:rPr>
        <w:t>Assignment 5439</w:t>
      </w:r>
    </w:p>
    <w:p>
      <w:r>
        <w:t>This report presents the verified local analysis, its business meaning, and the limits that must guide use and submission.</w:t>
      </w:r>
    </w:p>
    <w:p>
      <w:pPr>
        <w:pStyle w:val="Heading1"/>
      </w:pPr>
      <w:r>
        <w:t>Executive conclusion</w:t>
      </w:r>
    </w:p>
    <w:p>
      <w:r>
        <w:t>Logistic Regression produced the strongest held-out ROC-AUC at 0.812. It identified 68.1% of observed leavers, while 38.1% of employees flagged at the default threshold actually left. This makes the model suitable for ranking supportive retention outreach, not for making employment decisions.</w:t>
      </w:r>
    </w:p>
    <w:p>
      <w:pPr>
        <w:pStyle w:val="Heading1"/>
      </w:pPr>
      <w:r>
        <w:t>Dataset and evaluation design</w:t>
      </w:r>
    </w:p>
    <w:p>
      <w:r>
        <w:t>The IBM HR Analytics sample contains 1,470 fictional employee records and 35 source fields. Attrition occurs in 16.1% of records, so accuracy alone would reward majority-class predictions. The implementation removes identifier and constant columns, performs a stratified 80/20 split, and fits imputation, scaling, and one-hot encoding only within each training pipeline.</w:t>
      </w:r>
    </w:p>
    <w:p>
      <w:pPr>
        <w:pStyle w:val="ListBullet"/>
      </w:pPr>
      <w:r>
        <w:t>Models: Logistic Regression, Decision Tree, Random Forest, and XGBoost.</w:t>
      </w:r>
    </w:p>
    <w:p>
      <w:pPr>
        <w:pStyle w:val="ListBullet"/>
      </w:pPr>
      <w:r>
        <w:t>Selection: five-fold stratified cross-validation followed by ROC-AUC-focused grid search.</w:t>
      </w:r>
    </w:p>
    <w:p>
      <w:pPr>
        <w:pStyle w:val="ListBullet"/>
      </w:pPr>
      <w:r>
        <w:t>Metrics: accuracy, precision, recall, F1, and ROC-AUC on the held-out test set.</w:t>
      </w:r>
    </w:p>
    <w:p>
      <w:pPr>
        <w:pStyle w:val="Heading1"/>
      </w:pPr>
      <w:r>
        <w:t>Held-out test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2448"/>
            <w:shd w:fill="244A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152"/>
            <w:shd w:fill="244A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152"/>
            <w:shd w:fill="244A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008"/>
            <w:shd w:fill="244A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008"/>
            <w:shd w:fill="244A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152"/>
            <w:shd w:fill="244A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ROC-AUC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Logistic Regression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0.772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0.381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0.681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0.489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0.812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1F5"/>
          </w:tcPr>
          <w:p>
            <w:pPr>
              <w:spacing w:after="40"/>
            </w:pPr>
            <w:r>
              <w:rPr>
                <w:sz w:val="17"/>
              </w:rPr>
              <w:t>Random Forest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1F5"/>
          </w:tcPr>
          <w:p>
            <w:pPr>
              <w:spacing w:after="40"/>
            </w:pPr>
            <w:r>
              <w:rPr>
                <w:sz w:val="17"/>
              </w:rPr>
              <w:t>0.830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1F5"/>
          </w:tcPr>
          <w:p>
            <w:pPr>
              <w:spacing w:after="40"/>
            </w:pPr>
            <w:r>
              <w:rPr>
                <w:sz w:val="17"/>
              </w:rPr>
              <w:t>0.440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1F5"/>
          </w:tcPr>
          <w:p>
            <w:pPr>
              <w:spacing w:after="40"/>
            </w:pPr>
            <w:r>
              <w:rPr>
                <w:sz w:val="17"/>
              </w:rPr>
              <w:t>0.234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1F5"/>
          </w:tcPr>
          <w:p>
            <w:pPr>
              <w:spacing w:after="40"/>
            </w:pPr>
            <w:r>
              <w:rPr>
                <w:sz w:val="17"/>
              </w:rPr>
              <w:t>0.306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1F5"/>
          </w:tcPr>
          <w:p>
            <w:pPr>
              <w:spacing w:after="40"/>
            </w:pPr>
            <w:r>
              <w:rPr>
                <w:sz w:val="17"/>
              </w:rPr>
              <w:t>0.793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XGBoost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0.813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0.423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0.468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0.444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0.754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1F5"/>
          </w:tcPr>
          <w:p>
            <w:pPr>
              <w:spacing w:after="40"/>
            </w:pPr>
            <w:r>
              <w:rPr>
                <w:sz w:val="17"/>
              </w:rPr>
              <w:t>Decision Tree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1F5"/>
          </w:tcPr>
          <w:p>
            <w:pPr>
              <w:spacing w:after="40"/>
            </w:pPr>
            <w:r>
              <w:rPr>
                <w:sz w:val="17"/>
              </w:rPr>
              <w:t>0.728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1F5"/>
          </w:tcPr>
          <w:p>
            <w:pPr>
              <w:spacing w:after="40"/>
            </w:pPr>
            <w:r>
              <w:rPr>
                <w:sz w:val="17"/>
              </w:rPr>
              <w:t>0.301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1F5"/>
          </w:tcPr>
          <w:p>
            <w:pPr>
              <w:spacing w:after="40"/>
            </w:pPr>
            <w:r>
              <w:rPr>
                <w:sz w:val="17"/>
              </w:rPr>
              <w:t>0.532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1F5"/>
          </w:tcPr>
          <w:p>
            <w:pPr>
              <w:spacing w:after="40"/>
            </w:pPr>
            <w:r>
              <w:rPr>
                <w:sz w:val="17"/>
              </w:rPr>
              <w:t>0.385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1F5"/>
          </w:tcPr>
          <w:p>
            <w:pPr>
              <w:spacing w:after="40"/>
            </w:pPr>
            <w:r>
              <w:rPr>
                <w:sz w:val="17"/>
              </w:rPr>
              <w:t>0.704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76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Figure 1  ROC curves for the tuned classifiers</w:t>
      </w:r>
    </w:p>
    <w:p>
      <w:pPr>
        <w:pStyle w:val="Heading1"/>
      </w:pPr>
      <w:r>
        <w:t>Cross-validation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2448"/>
            <w:shd w:fill="244A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152"/>
            <w:shd w:fill="244A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152"/>
            <w:shd w:fill="244A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008"/>
            <w:shd w:fill="244A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008"/>
            <w:shd w:fill="244A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1152"/>
            <w:shd w:fill="244A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ROC-AUC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Logistic Regression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0.753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0.372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0.737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0.492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0.827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1F5"/>
          </w:tcPr>
          <w:p>
            <w:pPr>
              <w:spacing w:after="40"/>
            </w:pPr>
            <w:r>
              <w:rPr>
                <w:sz w:val="17"/>
              </w:rPr>
              <w:t>Random Forest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1F5"/>
          </w:tcPr>
          <w:p>
            <w:pPr>
              <w:spacing w:after="40"/>
            </w:pPr>
            <w:r>
              <w:rPr>
                <w:sz w:val="17"/>
              </w:rPr>
              <w:t>0.861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1F5"/>
          </w:tcPr>
          <w:p>
            <w:pPr>
              <w:spacing w:after="40"/>
            </w:pPr>
            <w:r>
              <w:rPr>
                <w:sz w:val="17"/>
              </w:rPr>
              <w:t>0.870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1F5"/>
          </w:tcPr>
          <w:p>
            <w:pPr>
              <w:spacing w:after="40"/>
            </w:pPr>
            <w:r>
              <w:rPr>
                <w:sz w:val="17"/>
              </w:rPr>
              <w:t>0.174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1F5"/>
          </w:tcPr>
          <w:p>
            <w:pPr>
              <w:spacing w:after="40"/>
            </w:pPr>
            <w:r>
              <w:rPr>
                <w:sz w:val="17"/>
              </w:rPr>
              <w:t>0.284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1F5"/>
          </w:tcPr>
          <w:p>
            <w:pPr>
              <w:spacing w:after="40"/>
            </w:pPr>
            <w:r>
              <w:rPr>
                <w:sz w:val="17"/>
              </w:rPr>
              <w:t>0.801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XGBoost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0.870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0.629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0.484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0.544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0.794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1F5"/>
          </w:tcPr>
          <w:p>
            <w:pPr>
              <w:spacing w:after="40"/>
            </w:pPr>
            <w:r>
              <w:rPr>
                <w:sz w:val="17"/>
              </w:rPr>
              <w:t>Decision Tree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1F5"/>
          </w:tcPr>
          <w:p>
            <w:pPr>
              <w:spacing w:after="40"/>
            </w:pPr>
            <w:r>
              <w:rPr>
                <w:sz w:val="17"/>
              </w:rPr>
              <w:t>0.777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1F5"/>
          </w:tcPr>
          <w:p>
            <w:pPr>
              <w:spacing w:after="40"/>
            </w:pPr>
            <w:r>
              <w:rPr>
                <w:sz w:val="17"/>
              </w:rPr>
              <w:t>0.300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1F5"/>
          </w:tcPr>
          <w:p>
            <w:pPr>
              <w:spacing w:after="40"/>
            </w:pPr>
            <w:r>
              <w:rPr>
                <w:sz w:val="17"/>
              </w:rPr>
              <w:t>0.268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1F5"/>
          </w:tcPr>
          <w:p>
            <w:pPr>
              <w:spacing w:after="40"/>
            </w:pPr>
            <w:r>
              <w:rPr>
                <w:sz w:val="17"/>
              </w:rPr>
              <w:t>0.279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1F5"/>
          </w:tcPr>
          <w:p>
            <w:pPr>
              <w:spacing w:after="40"/>
            </w:pPr>
            <w:r>
              <w:rPr>
                <w:sz w:val="17"/>
              </w:rPr>
              <w:t>0.572</w:t>
            </w:r>
          </w:p>
        </w:tc>
      </w:tr>
    </w:tbl>
    <w:p/>
    <w:p>
      <w:r>
        <w:t>The cross-validation table measures average training-fold generalization. The held-out test set remains the final comparison evidence. The small number of leavers means both estimates can vary across samples.</w:t>
      </w:r>
    </w:p>
    <w:p>
      <w:pPr>
        <w:pStyle w:val="Heading1"/>
      </w:pPr>
      <w:r>
        <w:t>Selected model behavior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50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Figure 2  Confusion matrix for Logistic Regression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420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2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Figure 3  Leading absolute feature effects for Logistic Regression</w:t>
      </w:r>
    </w:p>
    <w:p>
      <w:r>
        <w:t>The importance chart reports model association, not causal effect. A feature may proxy for another condition and must not be interpreted as proof that changing it will prevent attrition.</w:t>
      </w:r>
    </w:p>
    <w:p>
      <w:pPr>
        <w:pStyle w:val="Heading1"/>
      </w:pPr>
      <w:r>
        <w:t>Reproducibility and limitations</w:t>
      </w:r>
    </w:p>
    <w:p>
      <w:pPr>
        <w:pStyle w:val="ListBullet"/>
      </w:pPr>
      <w:r>
        <w:t>The fitted preprocessing and model pipeline is stored in models/attrition_model.joblib.</w:t>
      </w:r>
    </w:p>
    <w:p>
      <w:pPr>
        <w:pStyle w:val="ListBullet"/>
      </w:pPr>
      <w:r>
        <w:t>Random seed 42, the exact dependency file, saved metrics, and executable source support reproduction.</w:t>
      </w:r>
    </w:p>
    <w:p>
      <w:pPr>
        <w:pStyle w:val="ListBullet"/>
      </w:pPr>
      <w:r>
        <w:t>The dataset is fictional and cross-sectional; it does not establish causes, future stability, or fairness in a real workforce.</w:t>
      </w:r>
    </w:p>
    <w:p>
      <w:pPr>
        <w:pStyle w:val="ListBullet"/>
      </w:pPr>
      <w:r>
        <w:t>Threshold choice changes recall and precision. A real pilot must set the threshold from intervention capacity and the cost of false positives and false negatives.</w:t>
      </w:r>
    </w:p>
    <w:sectPr w:rsidR="00FC693F" w:rsidRPr="0006063C" w:rsidSect="00034616">
      <w:footerReference w:type="default" r:id="rId12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6"/>
      </w:rPr>
      <w:t>24UADPC401  Data Science Advanced Programming  IBM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