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6B3" w:rsidRDefault="002846B3" w:rsidP="0087038A">
      <w:pPr>
        <w:pStyle w:val="Heading3"/>
      </w:pPr>
      <w:r>
        <w:tab/>
      </w:r>
      <w:r>
        <w:tab/>
      </w:r>
      <w:r>
        <w:tab/>
      </w:r>
      <w:r>
        <w:tab/>
      </w:r>
      <w:r>
        <w:tab/>
        <w:t>Project 1: Report</w:t>
      </w:r>
    </w:p>
    <w:p w:rsidR="0087038A" w:rsidRDefault="0087038A" w:rsidP="002846B3">
      <w:pPr>
        <w:jc w:val="both"/>
      </w:pPr>
    </w:p>
    <w:p w:rsidR="0087038A" w:rsidRDefault="00BE4F88" w:rsidP="002846B3">
      <w:pPr>
        <w:jc w:val="both"/>
      </w:pPr>
      <w:r w:rsidRPr="002846B3">
        <w:rPr>
          <w:noProof/>
        </w:rPr>
        <w:drawing>
          <wp:anchor distT="0" distB="0" distL="114300" distR="114300" simplePos="0" relativeHeight="251659264" behindDoc="1" locked="0" layoutInCell="1" allowOverlap="1" wp14:anchorId="4DD041FA" wp14:editId="497FEDE2">
            <wp:simplePos x="0" y="0"/>
            <wp:positionH relativeFrom="margin">
              <wp:align>center</wp:align>
            </wp:positionH>
            <wp:positionV relativeFrom="paragraph">
              <wp:posOffset>11430</wp:posOffset>
            </wp:positionV>
            <wp:extent cx="4286250" cy="2337435"/>
            <wp:effectExtent l="0" t="0" r="0" b="5715"/>
            <wp:wrapTight wrapText="bothSides">
              <wp:wrapPolygon edited="0">
                <wp:start x="0" y="0"/>
                <wp:lineTo x="0" y="21477"/>
                <wp:lineTo x="21504" y="21477"/>
                <wp:lineTo x="2150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2846B3" w:rsidRDefault="002846B3" w:rsidP="002846B3">
      <w:pPr>
        <w:jc w:val="both"/>
      </w:pPr>
      <w:r>
        <w:t xml:space="preserve">In the first case, when the max window size is limited to 2000 we can see that the </w:t>
      </w:r>
      <w:proofErr w:type="spellStart"/>
      <w:r>
        <w:t>goodput</w:t>
      </w:r>
      <w:proofErr w:type="spellEnd"/>
      <w:r>
        <w:t xml:space="preserve"> obtained is also constrained by the window size. Some flows receive fair service while some of them suffer due to dropped packets. Specifically, the flows with the smaller start time have a greater </w:t>
      </w:r>
      <w:proofErr w:type="spellStart"/>
      <w:r>
        <w:t>goodput</w:t>
      </w:r>
      <w:proofErr w:type="spellEnd"/>
      <w:r>
        <w:t>, this is possibly because of the fact that packets from the other flows might be dropped frequently.</w:t>
      </w:r>
    </w:p>
    <w:p w:rsidR="008E4912" w:rsidRDefault="007F3D4A" w:rsidP="008E4912">
      <w:pPr>
        <w:pStyle w:val="Heading3"/>
      </w:pPr>
      <w:r>
        <w:t>E</w:t>
      </w:r>
      <w:r w:rsidR="008E4912">
        <w:t>ffect of SEgment Size on the goodput:</w:t>
      </w:r>
    </w:p>
    <w:p w:rsidR="002846B3" w:rsidRDefault="007F3D4A" w:rsidP="002846B3">
      <w:pPr>
        <w:jc w:val="both"/>
      </w:pPr>
      <w:r w:rsidRPr="002846B3">
        <w:rPr>
          <w:noProof/>
        </w:rPr>
        <w:drawing>
          <wp:anchor distT="0" distB="0" distL="114300" distR="114300" simplePos="0" relativeHeight="251660288" behindDoc="1" locked="0" layoutInCell="1" allowOverlap="1" wp14:anchorId="0596CC0C" wp14:editId="051E95EB">
            <wp:simplePos x="0" y="0"/>
            <wp:positionH relativeFrom="margin">
              <wp:posOffset>632436</wp:posOffset>
            </wp:positionH>
            <wp:positionV relativeFrom="paragraph">
              <wp:posOffset>188774</wp:posOffset>
            </wp:positionV>
            <wp:extent cx="4580255" cy="2501265"/>
            <wp:effectExtent l="0" t="0" r="10795" b="13335"/>
            <wp:wrapTight wrapText="bothSides">
              <wp:wrapPolygon edited="0">
                <wp:start x="0" y="0"/>
                <wp:lineTo x="0" y="21551"/>
                <wp:lineTo x="21561" y="21551"/>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87038A" w:rsidRDefault="0087038A" w:rsidP="002846B3">
      <w:pPr>
        <w:jc w:val="both"/>
      </w:pPr>
    </w:p>
    <w:p w:rsidR="002846B3" w:rsidRDefault="002846B3" w:rsidP="002846B3">
      <w:pPr>
        <w:jc w:val="both"/>
      </w:pPr>
      <w:r>
        <w:t xml:space="preserve"> </w:t>
      </w:r>
      <w:r w:rsidR="0087038A">
        <w:t xml:space="preserve">In </w:t>
      </w:r>
      <w:r>
        <w:t xml:space="preserve">this case we can see that the queue size is large and the window size is small, this means that there is a small stream of packets from all the flows which are queued and serviced fairly. The average </w:t>
      </w:r>
      <w:proofErr w:type="spellStart"/>
      <w:r>
        <w:t>goodput</w:t>
      </w:r>
      <w:proofErr w:type="spellEnd"/>
      <w:r>
        <w:t xml:space="preserve"> is uniform over all flows. The segment size plays a major role in this case because TCP Tahoe tends to enter the ‘Slow Start’ phase a lot of times during retransmissions and hence the window size drops to 1xMSS (maximum segment size). Thus we see that the flows that have slightly better segment sizes have slightly better </w:t>
      </w:r>
      <w:proofErr w:type="spellStart"/>
      <w:r>
        <w:t>goodputs</w:t>
      </w:r>
      <w:proofErr w:type="spellEnd"/>
      <w:r>
        <w:t xml:space="preserve"> on average.</w:t>
      </w:r>
    </w:p>
    <w:p w:rsidR="0087038A" w:rsidRDefault="0087038A" w:rsidP="002846B3">
      <w:pPr>
        <w:jc w:val="both"/>
      </w:pPr>
    </w:p>
    <w:p w:rsidR="009D2C46" w:rsidRPr="009D2C46" w:rsidRDefault="00315605" w:rsidP="009D2C46">
      <w:pPr>
        <w:pStyle w:val="Heading3"/>
      </w:pPr>
      <w:r w:rsidRPr="0087038A">
        <w:rPr>
          <w:noProof/>
        </w:rPr>
        <w:drawing>
          <wp:anchor distT="0" distB="0" distL="114300" distR="114300" simplePos="0" relativeHeight="251662336" behindDoc="1" locked="0" layoutInCell="1" allowOverlap="1" wp14:anchorId="396C554D" wp14:editId="0C114318">
            <wp:simplePos x="0" y="0"/>
            <wp:positionH relativeFrom="margin">
              <wp:posOffset>767715</wp:posOffset>
            </wp:positionH>
            <wp:positionV relativeFrom="paragraph">
              <wp:posOffset>367030</wp:posOffset>
            </wp:positionV>
            <wp:extent cx="4665980" cy="2510155"/>
            <wp:effectExtent l="0" t="0" r="1270" b="444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87038A">
        <w:t>Effect of Queue Size on the goodput:</w:t>
      </w:r>
    </w:p>
    <w:p w:rsidR="0087038A" w:rsidRDefault="00503AED" w:rsidP="002846B3">
      <w:pPr>
        <w:jc w:val="both"/>
      </w:pPr>
      <w:r w:rsidRPr="0087038A">
        <w:rPr>
          <w:noProof/>
        </w:rPr>
        <w:drawing>
          <wp:anchor distT="0" distB="0" distL="114300" distR="114300" simplePos="0" relativeHeight="251663360" behindDoc="1" locked="0" layoutInCell="1" allowOverlap="1" wp14:anchorId="4AFAB365" wp14:editId="0EC0FAFE">
            <wp:simplePos x="0" y="0"/>
            <wp:positionH relativeFrom="margin">
              <wp:posOffset>-845449</wp:posOffset>
            </wp:positionH>
            <wp:positionV relativeFrom="paragraph">
              <wp:posOffset>3747399</wp:posOffset>
            </wp:positionV>
            <wp:extent cx="3812540" cy="2311400"/>
            <wp:effectExtent l="0" t="0" r="16510" b="1270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883F51" wp14:editId="25F1C717">
            <wp:simplePos x="0" y="0"/>
            <wp:positionH relativeFrom="page">
              <wp:align>right</wp:align>
            </wp:positionH>
            <wp:positionV relativeFrom="paragraph">
              <wp:posOffset>3756552</wp:posOffset>
            </wp:positionV>
            <wp:extent cx="3833495" cy="2302510"/>
            <wp:effectExtent l="0" t="0" r="14605" b="254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BC6473">
        <w:t xml:space="preserve">In </w:t>
      </w:r>
      <w:r w:rsidR="009D2C46">
        <w:t xml:space="preserve">the case of the queue size being equal to the window size, the </w:t>
      </w:r>
      <w:proofErr w:type="spellStart"/>
      <w:r w:rsidR="009D2C46">
        <w:t>goodput</w:t>
      </w:r>
      <w:proofErr w:type="spellEnd"/>
      <w:r w:rsidR="009D2C46">
        <w:t xml:space="preserve"> is h</w:t>
      </w:r>
      <w:r w:rsidR="00494D7C">
        <w:t>igher, on average for all flows. A</w:t>
      </w:r>
      <w:r w:rsidR="009D2C46">
        <w:t>ll flows are getting serviced fairly and equally on average</w:t>
      </w:r>
      <w:r w:rsidR="00494D7C">
        <w:t xml:space="preserve">. This might be because the queue is buffering exactly the right amount and there is no loss of packets from each of the flows. There still seem to be certain odd cases where there are peaks and drops but the average performance is evidently better than the other cases. </w:t>
      </w:r>
      <w:r w:rsidR="009D2C46">
        <w:t xml:space="preserve"> Therefore, there seems to be both an upper and lower bounds for queue siz</w:t>
      </w:r>
      <w:r w:rsidR="00494D7C">
        <w:t>e to ensure optimal performance.</w:t>
      </w:r>
      <w:r w:rsidR="007E28F9" w:rsidRPr="007E28F9">
        <w:rPr>
          <w:noProof/>
        </w:rPr>
        <w:t xml:space="preserve"> </w:t>
      </w:r>
    </w:p>
    <w:p w:rsidR="00315605" w:rsidRDefault="00315605" w:rsidP="002846B3">
      <w:pPr>
        <w:jc w:val="both"/>
      </w:pPr>
    </w:p>
    <w:p w:rsidR="00807E91" w:rsidRDefault="00494D7C" w:rsidP="002846B3">
      <w:pPr>
        <w:jc w:val="both"/>
      </w:pPr>
      <w:r>
        <w:t>In the case of the queue siz</w:t>
      </w:r>
      <w:r w:rsidR="007E28F9">
        <w:t>e being much large</w:t>
      </w:r>
      <w:r w:rsidR="00315605">
        <w:t xml:space="preserve">, we see that it results in unfairness and poor performance amongst all the flows. This might be due to the fact that certain flows flood the queue and certain flows are not being served at all. This causes a large queueing delay to build up in the other flows and hence causes a lot of loss in </w:t>
      </w:r>
      <w:proofErr w:type="spellStart"/>
      <w:r w:rsidR="00315605">
        <w:t>goodput</w:t>
      </w:r>
      <w:proofErr w:type="spellEnd"/>
      <w:r w:rsidR="00315605">
        <w:t xml:space="preserve"> when viewed over a short timespan like 10 seconds, hence short term fairness is not pres</w:t>
      </w:r>
      <w:r w:rsidR="00BE4F88">
        <w:t>ent.</w:t>
      </w:r>
    </w:p>
    <w:p w:rsidR="005407B3" w:rsidRDefault="005407B3" w:rsidP="002846B3">
      <w:pPr>
        <w:jc w:val="both"/>
      </w:pPr>
    </w:p>
    <w:p w:rsidR="005407B3" w:rsidRDefault="005407B3" w:rsidP="005407B3">
      <w:pPr>
        <w:pStyle w:val="Heading3"/>
      </w:pPr>
      <w:r>
        <w:lastRenderedPageBreak/>
        <w:t>Effect of Window Size on the goodput:</w:t>
      </w:r>
    </w:p>
    <w:p w:rsidR="00C30141" w:rsidRPr="00C30141" w:rsidRDefault="00C30141" w:rsidP="00C30141"/>
    <w:p w:rsidR="005407B3" w:rsidRDefault="00FA0306" w:rsidP="00245810">
      <w:pPr>
        <w:jc w:val="center"/>
      </w:pPr>
      <w:r>
        <w:rPr>
          <w:noProof/>
        </w:rPr>
        <w:drawing>
          <wp:inline distT="0" distB="0" distL="0" distR="0" wp14:anchorId="6FC87530" wp14:editId="7EBCACF0">
            <wp:extent cx="4088921" cy="2803585"/>
            <wp:effectExtent l="0" t="0" r="698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5810" w:rsidRDefault="00245810" w:rsidP="00245810">
      <w:r>
        <w:t xml:space="preserve">This is the case of a single flow in the case of the </w:t>
      </w:r>
      <w:r w:rsidRPr="00245810">
        <w:rPr>
          <w:b/>
        </w:rPr>
        <w:t>queue size being fixed at 64000</w:t>
      </w:r>
      <w:r>
        <w:t xml:space="preserve">. It is clear that window size is directly proportional to the </w:t>
      </w:r>
      <w:proofErr w:type="spellStart"/>
      <w:r>
        <w:t>goodput</w:t>
      </w:r>
      <w:proofErr w:type="spellEnd"/>
      <w:r>
        <w:t>.</w:t>
      </w:r>
    </w:p>
    <w:p w:rsidR="001173FB" w:rsidRDefault="001173FB" w:rsidP="00245810">
      <w:r>
        <w:t>References:</w:t>
      </w:r>
    </w:p>
    <w:p w:rsidR="001173FB" w:rsidRDefault="001173FB" w:rsidP="001173FB">
      <w:pPr>
        <w:pStyle w:val="NoSpacing"/>
        <w:rPr>
          <w:shd w:val="clear" w:color="auto" w:fill="F2F2F2"/>
        </w:rPr>
      </w:pPr>
      <w:r>
        <w:t xml:space="preserve">[1] </w:t>
      </w:r>
      <w:proofErr w:type="spellStart"/>
      <w:r w:rsidRPr="001173FB">
        <w:t>Amogh</w:t>
      </w:r>
      <w:proofErr w:type="spellEnd"/>
      <w:r w:rsidRPr="001173FB">
        <w:t xml:space="preserve"> </w:t>
      </w:r>
      <w:proofErr w:type="spellStart"/>
      <w:r w:rsidRPr="001173FB">
        <w:t>Dhamdhere</w:t>
      </w:r>
      <w:proofErr w:type="spellEnd"/>
      <w:r w:rsidRPr="001173FB">
        <w:t xml:space="preserve">, </w:t>
      </w:r>
      <w:proofErr w:type="spellStart"/>
      <w:r w:rsidRPr="001173FB">
        <w:t>Hao</w:t>
      </w:r>
      <w:proofErr w:type="spellEnd"/>
      <w:r w:rsidRPr="001173FB">
        <w:t xml:space="preserve"> Jiang, </w:t>
      </w:r>
      <w:proofErr w:type="spellStart"/>
      <w:r w:rsidRPr="001173FB">
        <w:t>Constantinos</w:t>
      </w:r>
      <w:proofErr w:type="spellEnd"/>
      <w:r w:rsidRPr="001173FB">
        <w:t xml:space="preserve"> </w:t>
      </w:r>
      <w:proofErr w:type="spellStart"/>
      <w:r w:rsidRPr="001173FB">
        <w:t>Dovrolis</w:t>
      </w:r>
      <w:proofErr w:type="spellEnd"/>
      <w:r w:rsidRPr="001173FB">
        <w:t>. Networking and Telecommunications Group</w:t>
      </w:r>
      <w:r>
        <w:t>.</w:t>
      </w:r>
      <w:r w:rsidRPr="001173FB">
        <w:t xml:space="preserve"> Georgia Institute of Technology. </w:t>
      </w:r>
      <w:r w:rsidRPr="001173FB">
        <w:rPr>
          <w:i/>
        </w:rPr>
        <w:t>"Buffer Sizing for Congested Internet Links”</w:t>
      </w:r>
      <w:r>
        <w:t>.</w:t>
      </w:r>
      <w:r>
        <w:rPr>
          <w:shd w:val="clear" w:color="auto" w:fill="F2F2F2"/>
        </w:rPr>
        <w:t xml:space="preserve"> </w:t>
      </w:r>
    </w:p>
    <w:p w:rsidR="001173FB" w:rsidRDefault="001173FB" w:rsidP="001173FB">
      <w:pPr>
        <w:pStyle w:val="NoSpacing"/>
        <w:rPr>
          <w:i/>
        </w:rPr>
      </w:pPr>
      <w:r w:rsidRPr="004F7607">
        <w:t>[2]</w:t>
      </w:r>
      <w:r w:rsidRPr="001173FB">
        <w:t xml:space="preserve"> </w:t>
      </w:r>
      <w:proofErr w:type="spellStart"/>
      <w:r>
        <w:t>Anshul</w:t>
      </w:r>
      <w:proofErr w:type="spellEnd"/>
      <w:r>
        <w:t xml:space="preserve"> </w:t>
      </w:r>
      <w:proofErr w:type="spellStart"/>
      <w:r>
        <w:t>Kantawala</w:t>
      </w:r>
      <w:proofErr w:type="spellEnd"/>
      <w:r>
        <w:t xml:space="preserve">, </w:t>
      </w:r>
      <w:r>
        <w:t>Jonathan Turner</w:t>
      </w:r>
      <w:r>
        <w:t>.</w:t>
      </w:r>
      <w:r>
        <w:t xml:space="preserve"> Department of Computer Science</w:t>
      </w:r>
      <w:r>
        <w:t>.</w:t>
      </w:r>
      <w:r>
        <w:t xml:space="preserve"> Washington University</w:t>
      </w:r>
      <w:r>
        <w:t>. “</w:t>
      </w:r>
      <w:r w:rsidRPr="001173FB">
        <w:rPr>
          <w:i/>
        </w:rPr>
        <w:t>Efficient Queue Management for TCP Flows</w:t>
      </w:r>
      <w:r>
        <w:rPr>
          <w:i/>
        </w:rPr>
        <w:t>”</w:t>
      </w:r>
    </w:p>
    <w:p w:rsidR="004F7607" w:rsidRPr="004F7607" w:rsidRDefault="004F7607" w:rsidP="001173FB">
      <w:pPr>
        <w:pStyle w:val="NoSpacing"/>
      </w:pPr>
      <w:r>
        <w:t xml:space="preserve">[3] Chi Zhang, </w:t>
      </w:r>
      <w:proofErr w:type="spellStart"/>
      <w:r>
        <w:t>Lefteris</w:t>
      </w:r>
      <w:proofErr w:type="spellEnd"/>
      <w:r>
        <w:t xml:space="preserve"> </w:t>
      </w:r>
      <w:proofErr w:type="spellStart"/>
      <w:r>
        <w:t>Mamatas</w:t>
      </w:r>
      <w:proofErr w:type="spellEnd"/>
      <w:r>
        <w:t>. School of Computer Science.</w:t>
      </w:r>
      <w:r>
        <w:t xml:space="preserve"> F</w:t>
      </w:r>
      <w:r>
        <w:t>lorida International University. Departm</w:t>
      </w:r>
      <w:bookmarkStart w:id="0" w:name="_GoBack"/>
      <w:bookmarkEnd w:id="0"/>
      <w:r>
        <w:t>ent o</w:t>
      </w:r>
      <w:r>
        <w:t>f Electrical and Computer Enginee</w:t>
      </w:r>
      <w:r>
        <w:t xml:space="preserve">ring, </w:t>
      </w:r>
      <w:proofErr w:type="spellStart"/>
      <w:r>
        <w:t>Demokritos</w:t>
      </w:r>
      <w:proofErr w:type="spellEnd"/>
      <w:r>
        <w:t xml:space="preserve"> University. “</w:t>
      </w:r>
      <w:r w:rsidRPr="004F7607">
        <w:rPr>
          <w:i/>
        </w:rPr>
        <w:t>The Interaction between Window Adjustment Strategies and Queue Management Schemes</w:t>
      </w:r>
      <w:r>
        <w:t>”.</w:t>
      </w:r>
    </w:p>
    <w:sectPr w:rsidR="004F7607" w:rsidRPr="004F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B3"/>
    <w:rsid w:val="000065EB"/>
    <w:rsid w:val="00013B67"/>
    <w:rsid w:val="0001798A"/>
    <w:rsid w:val="00027FB3"/>
    <w:rsid w:val="0006198C"/>
    <w:rsid w:val="00077FD4"/>
    <w:rsid w:val="00090626"/>
    <w:rsid w:val="00095A69"/>
    <w:rsid w:val="000A4D46"/>
    <w:rsid w:val="000B0112"/>
    <w:rsid w:val="000B1066"/>
    <w:rsid w:val="000C07C5"/>
    <w:rsid w:val="000E05C2"/>
    <w:rsid w:val="000E2441"/>
    <w:rsid w:val="000E486E"/>
    <w:rsid w:val="000E49B7"/>
    <w:rsid w:val="00104B1D"/>
    <w:rsid w:val="00112376"/>
    <w:rsid w:val="001173FB"/>
    <w:rsid w:val="00117DB4"/>
    <w:rsid w:val="00125316"/>
    <w:rsid w:val="00131575"/>
    <w:rsid w:val="0015055C"/>
    <w:rsid w:val="00184C72"/>
    <w:rsid w:val="00186B4C"/>
    <w:rsid w:val="001A0DF3"/>
    <w:rsid w:val="001A2284"/>
    <w:rsid w:val="001B6DB4"/>
    <w:rsid w:val="001C02F2"/>
    <w:rsid w:val="001C1A60"/>
    <w:rsid w:val="001E6001"/>
    <w:rsid w:val="001E607F"/>
    <w:rsid w:val="001F381F"/>
    <w:rsid w:val="001F44C1"/>
    <w:rsid w:val="00203966"/>
    <w:rsid w:val="00206E22"/>
    <w:rsid w:val="00230254"/>
    <w:rsid w:val="00230726"/>
    <w:rsid w:val="00245810"/>
    <w:rsid w:val="00255BFD"/>
    <w:rsid w:val="002575BC"/>
    <w:rsid w:val="00261CEF"/>
    <w:rsid w:val="00282017"/>
    <w:rsid w:val="00284496"/>
    <w:rsid w:val="002846B3"/>
    <w:rsid w:val="002854BA"/>
    <w:rsid w:val="00286BEF"/>
    <w:rsid w:val="00290F0C"/>
    <w:rsid w:val="00294D31"/>
    <w:rsid w:val="002C4D28"/>
    <w:rsid w:val="002D21B4"/>
    <w:rsid w:val="002F6B16"/>
    <w:rsid w:val="0030203D"/>
    <w:rsid w:val="00302F85"/>
    <w:rsid w:val="00315605"/>
    <w:rsid w:val="00320F7A"/>
    <w:rsid w:val="003240C0"/>
    <w:rsid w:val="00332F36"/>
    <w:rsid w:val="003333AE"/>
    <w:rsid w:val="003506C0"/>
    <w:rsid w:val="003510A0"/>
    <w:rsid w:val="0035324A"/>
    <w:rsid w:val="003638E5"/>
    <w:rsid w:val="003C38AC"/>
    <w:rsid w:val="003E400C"/>
    <w:rsid w:val="003E5420"/>
    <w:rsid w:val="003F31E0"/>
    <w:rsid w:val="003F3CCB"/>
    <w:rsid w:val="003F45E4"/>
    <w:rsid w:val="004125FB"/>
    <w:rsid w:val="00413CAC"/>
    <w:rsid w:val="00426E53"/>
    <w:rsid w:val="004503DA"/>
    <w:rsid w:val="004769D2"/>
    <w:rsid w:val="00494D7C"/>
    <w:rsid w:val="004A0999"/>
    <w:rsid w:val="004B409D"/>
    <w:rsid w:val="004D453E"/>
    <w:rsid w:val="004F10E8"/>
    <w:rsid w:val="004F29B5"/>
    <w:rsid w:val="004F7607"/>
    <w:rsid w:val="005007F2"/>
    <w:rsid w:val="00503AED"/>
    <w:rsid w:val="005071E5"/>
    <w:rsid w:val="00510013"/>
    <w:rsid w:val="00524894"/>
    <w:rsid w:val="00527F44"/>
    <w:rsid w:val="00527FAF"/>
    <w:rsid w:val="005407B3"/>
    <w:rsid w:val="005516B5"/>
    <w:rsid w:val="00554EFD"/>
    <w:rsid w:val="00557DB3"/>
    <w:rsid w:val="005625A9"/>
    <w:rsid w:val="00573805"/>
    <w:rsid w:val="005A3D72"/>
    <w:rsid w:val="005B71BA"/>
    <w:rsid w:val="005C14E7"/>
    <w:rsid w:val="005C1AD7"/>
    <w:rsid w:val="005C4CF6"/>
    <w:rsid w:val="005D18DF"/>
    <w:rsid w:val="005E73F9"/>
    <w:rsid w:val="005F17AD"/>
    <w:rsid w:val="005F1DED"/>
    <w:rsid w:val="00602DBD"/>
    <w:rsid w:val="0061605B"/>
    <w:rsid w:val="00616CEC"/>
    <w:rsid w:val="00616FBD"/>
    <w:rsid w:val="00626ACD"/>
    <w:rsid w:val="0063089A"/>
    <w:rsid w:val="00635C36"/>
    <w:rsid w:val="00652290"/>
    <w:rsid w:val="00660088"/>
    <w:rsid w:val="00661DF2"/>
    <w:rsid w:val="00677961"/>
    <w:rsid w:val="00687112"/>
    <w:rsid w:val="006921C9"/>
    <w:rsid w:val="006933BD"/>
    <w:rsid w:val="006967C7"/>
    <w:rsid w:val="006C639B"/>
    <w:rsid w:val="006C6A75"/>
    <w:rsid w:val="006E4A10"/>
    <w:rsid w:val="00711B8A"/>
    <w:rsid w:val="00730BD2"/>
    <w:rsid w:val="007359A3"/>
    <w:rsid w:val="007476D5"/>
    <w:rsid w:val="00751F58"/>
    <w:rsid w:val="00764DB3"/>
    <w:rsid w:val="00771128"/>
    <w:rsid w:val="0079776E"/>
    <w:rsid w:val="007B26A8"/>
    <w:rsid w:val="007E28F9"/>
    <w:rsid w:val="007E6E59"/>
    <w:rsid w:val="007F3D4A"/>
    <w:rsid w:val="008031A0"/>
    <w:rsid w:val="00807E91"/>
    <w:rsid w:val="00813B0C"/>
    <w:rsid w:val="0082325B"/>
    <w:rsid w:val="0083734F"/>
    <w:rsid w:val="008604DA"/>
    <w:rsid w:val="0087038A"/>
    <w:rsid w:val="0087472F"/>
    <w:rsid w:val="00883A76"/>
    <w:rsid w:val="008859C5"/>
    <w:rsid w:val="00891C91"/>
    <w:rsid w:val="00894F40"/>
    <w:rsid w:val="008B2348"/>
    <w:rsid w:val="008D043A"/>
    <w:rsid w:val="008D4FC7"/>
    <w:rsid w:val="008D7FBD"/>
    <w:rsid w:val="008E4912"/>
    <w:rsid w:val="008F6DF4"/>
    <w:rsid w:val="0091353F"/>
    <w:rsid w:val="00920945"/>
    <w:rsid w:val="00924128"/>
    <w:rsid w:val="00933868"/>
    <w:rsid w:val="00943807"/>
    <w:rsid w:val="00944E4E"/>
    <w:rsid w:val="009528F8"/>
    <w:rsid w:val="00965FA7"/>
    <w:rsid w:val="009766D6"/>
    <w:rsid w:val="00980277"/>
    <w:rsid w:val="00982DA9"/>
    <w:rsid w:val="009908B5"/>
    <w:rsid w:val="009A4A07"/>
    <w:rsid w:val="009C18D0"/>
    <w:rsid w:val="009C379C"/>
    <w:rsid w:val="009D2C46"/>
    <w:rsid w:val="009D2F9E"/>
    <w:rsid w:val="009D4BA2"/>
    <w:rsid w:val="009D68A9"/>
    <w:rsid w:val="009E0FCE"/>
    <w:rsid w:val="00A01561"/>
    <w:rsid w:val="00A52F01"/>
    <w:rsid w:val="00A52FD0"/>
    <w:rsid w:val="00A63C87"/>
    <w:rsid w:val="00A84661"/>
    <w:rsid w:val="00A84E1F"/>
    <w:rsid w:val="00A86A78"/>
    <w:rsid w:val="00AA58BE"/>
    <w:rsid w:val="00AB390F"/>
    <w:rsid w:val="00AC5C8F"/>
    <w:rsid w:val="00AC75AF"/>
    <w:rsid w:val="00AD1714"/>
    <w:rsid w:val="00AD7AEE"/>
    <w:rsid w:val="00AF4B2F"/>
    <w:rsid w:val="00B10D37"/>
    <w:rsid w:val="00B30A47"/>
    <w:rsid w:val="00B33A69"/>
    <w:rsid w:val="00B35318"/>
    <w:rsid w:val="00B832C4"/>
    <w:rsid w:val="00B83D0C"/>
    <w:rsid w:val="00B877AF"/>
    <w:rsid w:val="00BA575A"/>
    <w:rsid w:val="00BA6492"/>
    <w:rsid w:val="00BC272A"/>
    <w:rsid w:val="00BC6473"/>
    <w:rsid w:val="00BD2EB6"/>
    <w:rsid w:val="00BD4580"/>
    <w:rsid w:val="00BD5B11"/>
    <w:rsid w:val="00BE0142"/>
    <w:rsid w:val="00BE4F88"/>
    <w:rsid w:val="00BE727A"/>
    <w:rsid w:val="00BF05E5"/>
    <w:rsid w:val="00BF112B"/>
    <w:rsid w:val="00BF42CA"/>
    <w:rsid w:val="00C13FC2"/>
    <w:rsid w:val="00C1671F"/>
    <w:rsid w:val="00C30141"/>
    <w:rsid w:val="00C429A4"/>
    <w:rsid w:val="00C50FD4"/>
    <w:rsid w:val="00C520B9"/>
    <w:rsid w:val="00C74078"/>
    <w:rsid w:val="00C939AB"/>
    <w:rsid w:val="00C9542D"/>
    <w:rsid w:val="00CA4991"/>
    <w:rsid w:val="00CA73E5"/>
    <w:rsid w:val="00CA7B44"/>
    <w:rsid w:val="00CD56AF"/>
    <w:rsid w:val="00CE15E8"/>
    <w:rsid w:val="00CE4F27"/>
    <w:rsid w:val="00CF1967"/>
    <w:rsid w:val="00CF5B2A"/>
    <w:rsid w:val="00D02E41"/>
    <w:rsid w:val="00D073E8"/>
    <w:rsid w:val="00D31AC5"/>
    <w:rsid w:val="00D33657"/>
    <w:rsid w:val="00D47347"/>
    <w:rsid w:val="00D53233"/>
    <w:rsid w:val="00D6255C"/>
    <w:rsid w:val="00D638CA"/>
    <w:rsid w:val="00D65538"/>
    <w:rsid w:val="00D741AC"/>
    <w:rsid w:val="00D77BD5"/>
    <w:rsid w:val="00D83102"/>
    <w:rsid w:val="00D955C5"/>
    <w:rsid w:val="00DB6FAA"/>
    <w:rsid w:val="00DC5F5E"/>
    <w:rsid w:val="00E13993"/>
    <w:rsid w:val="00E319C0"/>
    <w:rsid w:val="00E36F7C"/>
    <w:rsid w:val="00E6766B"/>
    <w:rsid w:val="00E82B13"/>
    <w:rsid w:val="00E867BB"/>
    <w:rsid w:val="00E9338E"/>
    <w:rsid w:val="00EA6741"/>
    <w:rsid w:val="00EC1879"/>
    <w:rsid w:val="00EC4649"/>
    <w:rsid w:val="00ED24C7"/>
    <w:rsid w:val="00ED2ACC"/>
    <w:rsid w:val="00ED5F19"/>
    <w:rsid w:val="00ED6DE8"/>
    <w:rsid w:val="00F04791"/>
    <w:rsid w:val="00F06953"/>
    <w:rsid w:val="00F1044A"/>
    <w:rsid w:val="00F1570D"/>
    <w:rsid w:val="00F47291"/>
    <w:rsid w:val="00F50B2E"/>
    <w:rsid w:val="00F658AE"/>
    <w:rsid w:val="00F709E7"/>
    <w:rsid w:val="00F72F12"/>
    <w:rsid w:val="00F8404F"/>
    <w:rsid w:val="00F84BDC"/>
    <w:rsid w:val="00F929FE"/>
    <w:rsid w:val="00F953E7"/>
    <w:rsid w:val="00F9602D"/>
    <w:rsid w:val="00F975D4"/>
    <w:rsid w:val="00FA020C"/>
    <w:rsid w:val="00FA0306"/>
    <w:rsid w:val="00FA12E1"/>
    <w:rsid w:val="00FA7A1D"/>
    <w:rsid w:val="00FA7C86"/>
    <w:rsid w:val="00FC3A21"/>
    <w:rsid w:val="00FD074D"/>
    <w:rsid w:val="00FF6EFC"/>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669F5-CCFE-4BA6-8C9A-6C7153C2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6B3"/>
  </w:style>
  <w:style w:type="paragraph" w:styleId="Heading1">
    <w:name w:val="heading 1"/>
    <w:basedOn w:val="Normal"/>
    <w:next w:val="Normal"/>
    <w:link w:val="Heading1Char"/>
    <w:uiPriority w:val="9"/>
    <w:qFormat/>
    <w:rsid w:val="002846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6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6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46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46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46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46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46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6B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B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46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46B3"/>
    <w:rPr>
      <w:caps/>
      <w:color w:val="1F4D78" w:themeColor="accent1" w:themeShade="7F"/>
      <w:spacing w:val="15"/>
    </w:rPr>
  </w:style>
  <w:style w:type="character" w:customStyle="1" w:styleId="Heading4Char">
    <w:name w:val="Heading 4 Char"/>
    <w:basedOn w:val="DefaultParagraphFont"/>
    <w:link w:val="Heading4"/>
    <w:uiPriority w:val="9"/>
    <w:semiHidden/>
    <w:rsid w:val="002846B3"/>
    <w:rPr>
      <w:caps/>
      <w:color w:val="2E74B5" w:themeColor="accent1" w:themeShade="BF"/>
      <w:spacing w:val="10"/>
    </w:rPr>
  </w:style>
  <w:style w:type="character" w:customStyle="1" w:styleId="Heading5Char">
    <w:name w:val="Heading 5 Char"/>
    <w:basedOn w:val="DefaultParagraphFont"/>
    <w:link w:val="Heading5"/>
    <w:uiPriority w:val="9"/>
    <w:semiHidden/>
    <w:rsid w:val="002846B3"/>
    <w:rPr>
      <w:caps/>
      <w:color w:val="2E74B5" w:themeColor="accent1" w:themeShade="BF"/>
      <w:spacing w:val="10"/>
    </w:rPr>
  </w:style>
  <w:style w:type="character" w:customStyle="1" w:styleId="Heading6Char">
    <w:name w:val="Heading 6 Char"/>
    <w:basedOn w:val="DefaultParagraphFont"/>
    <w:link w:val="Heading6"/>
    <w:uiPriority w:val="9"/>
    <w:semiHidden/>
    <w:rsid w:val="002846B3"/>
    <w:rPr>
      <w:caps/>
      <w:color w:val="2E74B5" w:themeColor="accent1" w:themeShade="BF"/>
      <w:spacing w:val="10"/>
    </w:rPr>
  </w:style>
  <w:style w:type="character" w:customStyle="1" w:styleId="Heading7Char">
    <w:name w:val="Heading 7 Char"/>
    <w:basedOn w:val="DefaultParagraphFont"/>
    <w:link w:val="Heading7"/>
    <w:uiPriority w:val="9"/>
    <w:semiHidden/>
    <w:rsid w:val="002846B3"/>
    <w:rPr>
      <w:caps/>
      <w:color w:val="2E74B5" w:themeColor="accent1" w:themeShade="BF"/>
      <w:spacing w:val="10"/>
    </w:rPr>
  </w:style>
  <w:style w:type="character" w:customStyle="1" w:styleId="Heading8Char">
    <w:name w:val="Heading 8 Char"/>
    <w:basedOn w:val="DefaultParagraphFont"/>
    <w:link w:val="Heading8"/>
    <w:uiPriority w:val="9"/>
    <w:semiHidden/>
    <w:rsid w:val="002846B3"/>
    <w:rPr>
      <w:caps/>
      <w:spacing w:val="10"/>
      <w:sz w:val="18"/>
      <w:szCs w:val="18"/>
    </w:rPr>
  </w:style>
  <w:style w:type="character" w:customStyle="1" w:styleId="Heading9Char">
    <w:name w:val="Heading 9 Char"/>
    <w:basedOn w:val="DefaultParagraphFont"/>
    <w:link w:val="Heading9"/>
    <w:uiPriority w:val="9"/>
    <w:semiHidden/>
    <w:rsid w:val="002846B3"/>
    <w:rPr>
      <w:i/>
      <w:iCs/>
      <w:caps/>
      <w:spacing w:val="10"/>
      <w:sz w:val="18"/>
      <w:szCs w:val="18"/>
    </w:rPr>
  </w:style>
  <w:style w:type="paragraph" w:styleId="Caption">
    <w:name w:val="caption"/>
    <w:basedOn w:val="Normal"/>
    <w:next w:val="Normal"/>
    <w:uiPriority w:val="35"/>
    <w:semiHidden/>
    <w:unhideWhenUsed/>
    <w:qFormat/>
    <w:rsid w:val="002846B3"/>
    <w:rPr>
      <w:b/>
      <w:bCs/>
      <w:color w:val="2E74B5" w:themeColor="accent1" w:themeShade="BF"/>
      <w:sz w:val="16"/>
      <w:szCs w:val="16"/>
    </w:rPr>
  </w:style>
  <w:style w:type="paragraph" w:styleId="Title">
    <w:name w:val="Title"/>
    <w:basedOn w:val="Normal"/>
    <w:next w:val="Normal"/>
    <w:link w:val="TitleChar"/>
    <w:uiPriority w:val="10"/>
    <w:qFormat/>
    <w:rsid w:val="002846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46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846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6B3"/>
    <w:rPr>
      <w:caps/>
      <w:color w:val="595959" w:themeColor="text1" w:themeTint="A6"/>
      <w:spacing w:val="10"/>
      <w:sz w:val="21"/>
      <w:szCs w:val="21"/>
    </w:rPr>
  </w:style>
  <w:style w:type="character" w:styleId="Strong">
    <w:name w:val="Strong"/>
    <w:uiPriority w:val="22"/>
    <w:qFormat/>
    <w:rsid w:val="002846B3"/>
    <w:rPr>
      <w:b/>
      <w:bCs/>
    </w:rPr>
  </w:style>
  <w:style w:type="character" w:styleId="Emphasis">
    <w:name w:val="Emphasis"/>
    <w:uiPriority w:val="20"/>
    <w:qFormat/>
    <w:rsid w:val="002846B3"/>
    <w:rPr>
      <w:caps/>
      <w:color w:val="1F4D78" w:themeColor="accent1" w:themeShade="7F"/>
      <w:spacing w:val="5"/>
    </w:rPr>
  </w:style>
  <w:style w:type="paragraph" w:styleId="NoSpacing">
    <w:name w:val="No Spacing"/>
    <w:uiPriority w:val="1"/>
    <w:qFormat/>
    <w:rsid w:val="002846B3"/>
    <w:pPr>
      <w:spacing w:after="0" w:line="240" w:lineRule="auto"/>
    </w:pPr>
  </w:style>
  <w:style w:type="paragraph" w:styleId="Quote">
    <w:name w:val="Quote"/>
    <w:basedOn w:val="Normal"/>
    <w:next w:val="Normal"/>
    <w:link w:val="QuoteChar"/>
    <w:uiPriority w:val="29"/>
    <w:qFormat/>
    <w:rsid w:val="002846B3"/>
    <w:rPr>
      <w:i/>
      <w:iCs/>
      <w:sz w:val="24"/>
      <w:szCs w:val="24"/>
    </w:rPr>
  </w:style>
  <w:style w:type="character" w:customStyle="1" w:styleId="QuoteChar">
    <w:name w:val="Quote Char"/>
    <w:basedOn w:val="DefaultParagraphFont"/>
    <w:link w:val="Quote"/>
    <w:uiPriority w:val="29"/>
    <w:rsid w:val="002846B3"/>
    <w:rPr>
      <w:i/>
      <w:iCs/>
      <w:sz w:val="24"/>
      <w:szCs w:val="24"/>
    </w:rPr>
  </w:style>
  <w:style w:type="paragraph" w:styleId="IntenseQuote">
    <w:name w:val="Intense Quote"/>
    <w:basedOn w:val="Normal"/>
    <w:next w:val="Normal"/>
    <w:link w:val="IntenseQuoteChar"/>
    <w:uiPriority w:val="30"/>
    <w:qFormat/>
    <w:rsid w:val="002846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846B3"/>
    <w:rPr>
      <w:color w:val="5B9BD5" w:themeColor="accent1"/>
      <w:sz w:val="24"/>
      <w:szCs w:val="24"/>
    </w:rPr>
  </w:style>
  <w:style w:type="character" w:styleId="SubtleEmphasis">
    <w:name w:val="Subtle Emphasis"/>
    <w:uiPriority w:val="19"/>
    <w:qFormat/>
    <w:rsid w:val="002846B3"/>
    <w:rPr>
      <w:i/>
      <w:iCs/>
      <w:color w:val="1F4D78" w:themeColor="accent1" w:themeShade="7F"/>
    </w:rPr>
  </w:style>
  <w:style w:type="character" w:styleId="IntenseEmphasis">
    <w:name w:val="Intense Emphasis"/>
    <w:uiPriority w:val="21"/>
    <w:qFormat/>
    <w:rsid w:val="002846B3"/>
    <w:rPr>
      <w:b/>
      <w:bCs/>
      <w:caps/>
      <w:color w:val="1F4D78" w:themeColor="accent1" w:themeShade="7F"/>
      <w:spacing w:val="10"/>
    </w:rPr>
  </w:style>
  <w:style w:type="character" w:styleId="SubtleReference">
    <w:name w:val="Subtle Reference"/>
    <w:uiPriority w:val="31"/>
    <w:qFormat/>
    <w:rsid w:val="002846B3"/>
    <w:rPr>
      <w:b/>
      <w:bCs/>
      <w:color w:val="5B9BD5" w:themeColor="accent1"/>
    </w:rPr>
  </w:style>
  <w:style w:type="character" w:styleId="IntenseReference">
    <w:name w:val="Intense Reference"/>
    <w:uiPriority w:val="32"/>
    <w:qFormat/>
    <w:rsid w:val="002846B3"/>
    <w:rPr>
      <w:b/>
      <w:bCs/>
      <w:i/>
      <w:iCs/>
      <w:caps/>
      <w:color w:val="5B9BD5" w:themeColor="accent1"/>
    </w:rPr>
  </w:style>
  <w:style w:type="character" w:styleId="BookTitle">
    <w:name w:val="Book Title"/>
    <w:uiPriority w:val="33"/>
    <w:qFormat/>
    <w:rsid w:val="002846B3"/>
    <w:rPr>
      <w:b/>
      <w:bCs/>
      <w:i/>
      <w:iCs/>
      <w:spacing w:val="0"/>
    </w:rPr>
  </w:style>
  <w:style w:type="paragraph" w:styleId="TOCHeading">
    <w:name w:val="TOC Heading"/>
    <w:basedOn w:val="Heading1"/>
    <w:next w:val="Normal"/>
    <w:uiPriority w:val="39"/>
    <w:semiHidden/>
    <w:unhideWhenUsed/>
    <w:qFormat/>
    <w:rsid w:val="002846B3"/>
    <w:pPr>
      <w:outlineLvl w:val="9"/>
    </w:pPr>
  </w:style>
  <w:style w:type="character" w:customStyle="1" w:styleId="apple-converted-space">
    <w:name w:val="apple-converted-space"/>
    <w:basedOn w:val="DefaultParagraphFont"/>
    <w:rsid w:val="00117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hargav\Desktop\all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w2000-q2000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allresults!$H$3:$H$12</c:f>
              <c:numCache>
                <c:formatCode>General</c:formatCode>
                <c:ptCount val="10"/>
                <c:pt idx="0">
                  <c:v>10063.799999999999</c:v>
                </c:pt>
                <c:pt idx="1">
                  <c:v>5671</c:v>
                </c:pt>
                <c:pt idx="2">
                  <c:v>5817.5</c:v>
                </c:pt>
                <c:pt idx="3">
                  <c:v>7499.98</c:v>
                </c:pt>
                <c:pt idx="4">
                  <c:v>9369.4</c:v>
                </c:pt>
                <c:pt idx="5">
                  <c:v>7904.74</c:v>
                </c:pt>
                <c:pt idx="6">
                  <c:v>9693.84</c:v>
                </c:pt>
                <c:pt idx="7">
                  <c:v>8367.49</c:v>
                </c:pt>
                <c:pt idx="8">
                  <c:v>10031.1</c:v>
                </c:pt>
                <c:pt idx="9">
                  <c:v>8175.3</c:v>
                </c:pt>
              </c:numCache>
            </c:numRef>
          </c:val>
        </c:ser>
        <c:ser>
          <c:idx val="1"/>
          <c:order val="1"/>
          <c:tx>
            <c:v>s256</c:v>
          </c:tx>
          <c:spPr>
            <a:solidFill>
              <a:schemeClr val="accent2"/>
            </a:solidFill>
            <a:ln>
              <a:noFill/>
            </a:ln>
            <a:effectLst/>
          </c:spPr>
          <c:invertIfNegative val="0"/>
          <c:val>
            <c:numRef>
              <c:f>allresults!$H$16:$H$25</c:f>
              <c:numCache>
                <c:formatCode>General</c:formatCode>
                <c:ptCount val="10"/>
                <c:pt idx="0">
                  <c:v>6932.54</c:v>
                </c:pt>
                <c:pt idx="1">
                  <c:v>9396.19</c:v>
                </c:pt>
                <c:pt idx="2">
                  <c:v>11454</c:v>
                </c:pt>
                <c:pt idx="3">
                  <c:v>8512.7999999999993</c:v>
                </c:pt>
                <c:pt idx="4">
                  <c:v>7387.41</c:v>
                </c:pt>
                <c:pt idx="5">
                  <c:v>10247.799999999999</c:v>
                </c:pt>
                <c:pt idx="6">
                  <c:v>11818</c:v>
                </c:pt>
                <c:pt idx="7">
                  <c:v>9856.18</c:v>
                </c:pt>
                <c:pt idx="8">
                  <c:v>12851.1</c:v>
                </c:pt>
                <c:pt idx="9">
                  <c:v>10883.3</c:v>
                </c:pt>
              </c:numCache>
            </c:numRef>
          </c:val>
        </c:ser>
        <c:ser>
          <c:idx val="2"/>
          <c:order val="2"/>
          <c:tx>
            <c:v>s512</c:v>
          </c:tx>
          <c:spPr>
            <a:solidFill>
              <a:schemeClr val="accent3"/>
            </a:solidFill>
            <a:ln>
              <a:noFill/>
            </a:ln>
            <a:effectLst/>
          </c:spPr>
          <c:invertIfNegative val="0"/>
          <c:val>
            <c:numRef>
              <c:f>allresults!$H$29:$H$38</c:f>
              <c:numCache>
                <c:formatCode>General</c:formatCode>
                <c:ptCount val="10"/>
                <c:pt idx="0">
                  <c:v>10566.3</c:v>
                </c:pt>
                <c:pt idx="1">
                  <c:v>10958</c:v>
                </c:pt>
                <c:pt idx="2">
                  <c:v>11014.5</c:v>
                </c:pt>
                <c:pt idx="3">
                  <c:v>10102.5</c:v>
                </c:pt>
                <c:pt idx="4">
                  <c:v>11428.6</c:v>
                </c:pt>
                <c:pt idx="5">
                  <c:v>10968.8</c:v>
                </c:pt>
                <c:pt idx="6">
                  <c:v>11431.8</c:v>
                </c:pt>
                <c:pt idx="7">
                  <c:v>11036.9</c:v>
                </c:pt>
                <c:pt idx="8">
                  <c:v>9271.34</c:v>
                </c:pt>
                <c:pt idx="9">
                  <c:v>10677.9</c:v>
                </c:pt>
              </c:numCache>
            </c:numRef>
          </c:val>
        </c:ser>
        <c:dLbls>
          <c:showLegendKey val="0"/>
          <c:showVal val="0"/>
          <c:showCatName val="0"/>
          <c:showSerName val="0"/>
          <c:showPercent val="0"/>
          <c:showBubbleSize val="0"/>
        </c:dLbls>
        <c:gapWidth val="219"/>
        <c:overlap val="-27"/>
        <c:axId val="733287952"/>
        <c:axId val="733288496"/>
      </c:barChart>
      <c:catAx>
        <c:axId val="7332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88496"/>
        <c:crosses val="autoZero"/>
        <c:auto val="1"/>
        <c:lblAlgn val="ctr"/>
        <c:lblOffset val="100"/>
        <c:noMultiLvlLbl val="0"/>
      </c:catAx>
      <c:valAx>
        <c:axId val="73328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87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w2000-q64000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allresults!$H$120:$H$129</c:f>
              <c:numCache>
                <c:formatCode>General</c:formatCode>
                <c:ptCount val="10"/>
                <c:pt idx="0">
                  <c:v>9123.1200000000008</c:v>
                </c:pt>
                <c:pt idx="1">
                  <c:v>9242.58</c:v>
                </c:pt>
                <c:pt idx="2">
                  <c:v>8971.8700000000008</c:v>
                </c:pt>
                <c:pt idx="3">
                  <c:v>9243.56</c:v>
                </c:pt>
                <c:pt idx="4">
                  <c:v>9111.99</c:v>
                </c:pt>
                <c:pt idx="5">
                  <c:v>9114.92</c:v>
                </c:pt>
                <c:pt idx="6">
                  <c:v>9114.5300000000007</c:v>
                </c:pt>
                <c:pt idx="7">
                  <c:v>9086.17</c:v>
                </c:pt>
                <c:pt idx="8">
                  <c:v>9116.82</c:v>
                </c:pt>
                <c:pt idx="9">
                  <c:v>9086.51</c:v>
                </c:pt>
              </c:numCache>
            </c:numRef>
          </c:val>
        </c:ser>
        <c:ser>
          <c:idx val="1"/>
          <c:order val="1"/>
          <c:tx>
            <c:v>s256</c:v>
          </c:tx>
          <c:spPr>
            <a:solidFill>
              <a:schemeClr val="accent2"/>
            </a:solidFill>
            <a:ln>
              <a:noFill/>
            </a:ln>
            <a:effectLst/>
          </c:spPr>
          <c:invertIfNegative val="0"/>
          <c:val>
            <c:numRef>
              <c:f>allresults!$H$133:$H$142</c:f>
              <c:numCache>
                <c:formatCode>General</c:formatCode>
                <c:ptCount val="10"/>
                <c:pt idx="0">
                  <c:v>10463.200000000001</c:v>
                </c:pt>
                <c:pt idx="1">
                  <c:v>10548.3</c:v>
                </c:pt>
                <c:pt idx="2">
                  <c:v>10497.3</c:v>
                </c:pt>
                <c:pt idx="3">
                  <c:v>10564.1</c:v>
                </c:pt>
                <c:pt idx="4">
                  <c:v>10476.200000000001</c:v>
                </c:pt>
                <c:pt idx="5">
                  <c:v>10453.799999999999</c:v>
                </c:pt>
                <c:pt idx="6">
                  <c:v>10453.4</c:v>
                </c:pt>
                <c:pt idx="7">
                  <c:v>10574.9</c:v>
                </c:pt>
                <c:pt idx="8">
                  <c:v>10456</c:v>
                </c:pt>
                <c:pt idx="9">
                  <c:v>10575.3</c:v>
                </c:pt>
              </c:numCache>
            </c:numRef>
          </c:val>
        </c:ser>
        <c:ser>
          <c:idx val="2"/>
          <c:order val="2"/>
          <c:tx>
            <c:v>s512</c:v>
          </c:tx>
          <c:spPr>
            <a:solidFill>
              <a:schemeClr val="accent3"/>
            </a:solidFill>
            <a:ln>
              <a:noFill/>
            </a:ln>
            <a:effectLst/>
          </c:spPr>
          <c:invertIfNegative val="0"/>
          <c:val>
            <c:numRef>
              <c:f>allresults!$H$146:$H$155</c:f>
              <c:numCache>
                <c:formatCode>General</c:formatCode>
                <c:ptCount val="10"/>
                <c:pt idx="0">
                  <c:v>11339.5</c:v>
                </c:pt>
                <c:pt idx="1">
                  <c:v>11367.6</c:v>
                </c:pt>
                <c:pt idx="2">
                  <c:v>11376.4</c:v>
                </c:pt>
                <c:pt idx="3">
                  <c:v>11384.6</c:v>
                </c:pt>
                <c:pt idx="4">
                  <c:v>11428.6</c:v>
                </c:pt>
                <c:pt idx="5">
                  <c:v>11432.3</c:v>
                </c:pt>
                <c:pt idx="6">
                  <c:v>11431.8</c:v>
                </c:pt>
                <c:pt idx="7">
                  <c:v>11396.2</c:v>
                </c:pt>
                <c:pt idx="8">
                  <c:v>11331.6</c:v>
                </c:pt>
                <c:pt idx="9">
                  <c:v>11396.6</c:v>
                </c:pt>
              </c:numCache>
            </c:numRef>
          </c:val>
        </c:ser>
        <c:dLbls>
          <c:showLegendKey val="0"/>
          <c:showVal val="0"/>
          <c:showCatName val="0"/>
          <c:showSerName val="0"/>
          <c:showPercent val="0"/>
          <c:showBubbleSize val="0"/>
        </c:dLbls>
        <c:gapWidth val="219"/>
        <c:overlap val="-27"/>
        <c:axId val="733297744"/>
        <c:axId val="733292304"/>
      </c:barChart>
      <c:catAx>
        <c:axId val="73329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92304"/>
        <c:crosses val="autoZero"/>
        <c:auto val="1"/>
        <c:lblAlgn val="ctr"/>
        <c:lblOffset val="100"/>
        <c:noMultiLvlLbl val="0"/>
      </c:catAx>
      <c:valAx>
        <c:axId val="73329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Goodput(bytes/sec)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97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w8000-q8000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allresults!$H$198:$H$207</c:f>
              <c:numCache>
                <c:formatCode>General</c:formatCode>
                <c:ptCount val="10"/>
                <c:pt idx="0">
                  <c:v>8672.1200000000008</c:v>
                </c:pt>
                <c:pt idx="1">
                  <c:v>5235.75</c:v>
                </c:pt>
                <c:pt idx="2">
                  <c:v>13871.5</c:v>
                </c:pt>
                <c:pt idx="3">
                  <c:v>7179.47</c:v>
                </c:pt>
                <c:pt idx="4">
                  <c:v>5057.93</c:v>
                </c:pt>
                <c:pt idx="5">
                  <c:v>13826.9</c:v>
                </c:pt>
                <c:pt idx="6">
                  <c:v>6089.23</c:v>
                </c:pt>
                <c:pt idx="7">
                  <c:v>4928.09</c:v>
                </c:pt>
                <c:pt idx="8">
                  <c:v>11370.3</c:v>
                </c:pt>
                <c:pt idx="9">
                  <c:v>10061.9</c:v>
                </c:pt>
              </c:numCache>
            </c:numRef>
          </c:val>
        </c:ser>
        <c:ser>
          <c:idx val="1"/>
          <c:order val="1"/>
          <c:tx>
            <c:v>s256</c:v>
          </c:tx>
          <c:spPr>
            <a:solidFill>
              <a:schemeClr val="accent2"/>
            </a:solidFill>
            <a:ln>
              <a:noFill/>
            </a:ln>
            <a:effectLst/>
          </c:spPr>
          <c:invertIfNegative val="0"/>
          <c:val>
            <c:numRef>
              <c:f>allresults!$H$211:$H$220</c:f>
              <c:numCache>
                <c:formatCode>General</c:formatCode>
                <c:ptCount val="10"/>
                <c:pt idx="0">
                  <c:v>12628</c:v>
                </c:pt>
                <c:pt idx="1">
                  <c:v>7424.78</c:v>
                </c:pt>
                <c:pt idx="2">
                  <c:v>10419.799999999999</c:v>
                </c:pt>
                <c:pt idx="3">
                  <c:v>11384.6</c:v>
                </c:pt>
                <c:pt idx="4">
                  <c:v>9086.25</c:v>
                </c:pt>
                <c:pt idx="5">
                  <c:v>9887.3700000000008</c:v>
                </c:pt>
                <c:pt idx="6">
                  <c:v>12255.7</c:v>
                </c:pt>
                <c:pt idx="7">
                  <c:v>14322.3</c:v>
                </c:pt>
                <c:pt idx="8">
                  <c:v>6515.69</c:v>
                </c:pt>
                <c:pt idx="9">
                  <c:v>8213.7999999999993</c:v>
                </c:pt>
              </c:numCache>
            </c:numRef>
          </c:val>
        </c:ser>
        <c:ser>
          <c:idx val="2"/>
          <c:order val="2"/>
          <c:tx>
            <c:v>s512</c:v>
          </c:tx>
          <c:spPr>
            <a:solidFill>
              <a:schemeClr val="accent3"/>
            </a:solidFill>
            <a:ln>
              <a:noFill/>
            </a:ln>
            <a:effectLst/>
          </c:spPr>
          <c:invertIfNegative val="0"/>
          <c:val>
            <c:numRef>
              <c:f>allresults!$H$224:$H$233</c:f>
              <c:numCache>
                <c:formatCode>General</c:formatCode>
                <c:ptCount val="10"/>
                <c:pt idx="0">
                  <c:v>12473.4</c:v>
                </c:pt>
                <c:pt idx="1">
                  <c:v>12135.7</c:v>
                </c:pt>
                <c:pt idx="2">
                  <c:v>16754.400000000001</c:v>
                </c:pt>
                <c:pt idx="3">
                  <c:v>16820.5</c:v>
                </c:pt>
                <c:pt idx="4">
                  <c:v>8545.7099999999991</c:v>
                </c:pt>
                <c:pt idx="5">
                  <c:v>6231.1</c:v>
                </c:pt>
                <c:pt idx="6">
                  <c:v>8599.58</c:v>
                </c:pt>
                <c:pt idx="7">
                  <c:v>9394.17</c:v>
                </c:pt>
                <c:pt idx="8">
                  <c:v>7983.66</c:v>
                </c:pt>
                <c:pt idx="9">
                  <c:v>11037.3</c:v>
                </c:pt>
              </c:numCache>
            </c:numRef>
          </c:val>
        </c:ser>
        <c:dLbls>
          <c:showLegendKey val="0"/>
          <c:showVal val="0"/>
          <c:showCatName val="0"/>
          <c:showSerName val="0"/>
          <c:showPercent val="0"/>
          <c:showBubbleSize val="0"/>
        </c:dLbls>
        <c:gapWidth val="219"/>
        <c:overlap val="-27"/>
        <c:axId val="733291760"/>
        <c:axId val="733285232"/>
      </c:barChart>
      <c:catAx>
        <c:axId val="73329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85232"/>
        <c:crosses val="autoZero"/>
        <c:auto val="1"/>
        <c:lblAlgn val="ctr"/>
        <c:lblOffset val="100"/>
        <c:noMultiLvlLbl val="0"/>
      </c:catAx>
      <c:valAx>
        <c:axId val="73328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917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w8000-q64000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allresults!$H$276:$H$285</c:f>
              <c:numCache>
                <c:formatCode>General</c:formatCode>
                <c:ptCount val="10"/>
                <c:pt idx="0">
                  <c:v>5167.1899999999996</c:v>
                </c:pt>
                <c:pt idx="1">
                  <c:v>24220.2</c:v>
                </c:pt>
                <c:pt idx="2">
                  <c:v>4731.5600000000004</c:v>
                </c:pt>
                <c:pt idx="3">
                  <c:v>5897.42</c:v>
                </c:pt>
                <c:pt idx="4">
                  <c:v>5019.32</c:v>
                </c:pt>
                <c:pt idx="5">
                  <c:v>5008.05</c:v>
                </c:pt>
                <c:pt idx="6">
                  <c:v>17353.599999999999</c:v>
                </c:pt>
                <c:pt idx="7">
                  <c:v>5030.76</c:v>
                </c:pt>
                <c:pt idx="8">
                  <c:v>5047.7299999999996</c:v>
                </c:pt>
                <c:pt idx="9">
                  <c:v>4979.6099999999997</c:v>
                </c:pt>
              </c:numCache>
            </c:numRef>
          </c:val>
        </c:ser>
        <c:ser>
          <c:idx val="1"/>
          <c:order val="1"/>
          <c:tx>
            <c:v>s256</c:v>
          </c:tx>
          <c:spPr>
            <a:solidFill>
              <a:schemeClr val="accent2"/>
            </a:solidFill>
            <a:ln>
              <a:noFill/>
            </a:ln>
            <a:effectLst/>
          </c:spPr>
          <c:invertIfNegative val="0"/>
          <c:val>
            <c:numRef>
              <c:f>allresults!$H$289:$H$298</c:f>
              <c:numCache>
                <c:formatCode>General</c:formatCode>
                <c:ptCount val="10"/>
                <c:pt idx="0">
                  <c:v>4381.16</c:v>
                </c:pt>
                <c:pt idx="1">
                  <c:v>15310.4</c:v>
                </c:pt>
                <c:pt idx="2">
                  <c:v>10316.4</c:v>
                </c:pt>
                <c:pt idx="3">
                  <c:v>14384.6</c:v>
                </c:pt>
                <c:pt idx="4">
                  <c:v>13642.3</c:v>
                </c:pt>
                <c:pt idx="5">
                  <c:v>4377.22</c:v>
                </c:pt>
                <c:pt idx="6">
                  <c:v>4377.03</c:v>
                </c:pt>
                <c:pt idx="7">
                  <c:v>14758.6</c:v>
                </c:pt>
                <c:pt idx="8">
                  <c:v>4506.8999999999996</c:v>
                </c:pt>
                <c:pt idx="9">
                  <c:v>14322.8</c:v>
                </c:pt>
              </c:numCache>
            </c:numRef>
          </c:val>
        </c:ser>
        <c:ser>
          <c:idx val="2"/>
          <c:order val="2"/>
          <c:tx>
            <c:v>s512</c:v>
          </c:tx>
          <c:spPr>
            <a:solidFill>
              <a:schemeClr val="accent3"/>
            </a:solidFill>
            <a:ln>
              <a:noFill/>
            </a:ln>
            <a:effectLst/>
          </c:spPr>
          <c:invertIfNegative val="0"/>
          <c:val>
            <c:numRef>
              <c:f>allresults!$H$302:$H$311</c:f>
              <c:numCache>
                <c:formatCode>General</c:formatCode>
                <c:ptCount val="10"/>
                <c:pt idx="0">
                  <c:v>11700.3</c:v>
                </c:pt>
                <c:pt idx="1">
                  <c:v>16641.8</c:v>
                </c:pt>
                <c:pt idx="2">
                  <c:v>9101.15</c:v>
                </c:pt>
                <c:pt idx="3">
                  <c:v>10153.799999999999</c:v>
                </c:pt>
                <c:pt idx="4">
                  <c:v>8957.5499999999993</c:v>
                </c:pt>
                <c:pt idx="5">
                  <c:v>11741.2</c:v>
                </c:pt>
                <c:pt idx="6">
                  <c:v>12101.2</c:v>
                </c:pt>
                <c:pt idx="7">
                  <c:v>11858.2</c:v>
                </c:pt>
                <c:pt idx="8">
                  <c:v>11692.2</c:v>
                </c:pt>
                <c:pt idx="9">
                  <c:v>9343.19</c:v>
                </c:pt>
              </c:numCache>
            </c:numRef>
          </c:val>
        </c:ser>
        <c:dLbls>
          <c:showLegendKey val="0"/>
          <c:showVal val="0"/>
          <c:showCatName val="0"/>
          <c:showSerName val="0"/>
          <c:showPercent val="0"/>
          <c:showBubbleSize val="0"/>
        </c:dLbls>
        <c:gapWidth val="219"/>
        <c:overlap val="-27"/>
        <c:axId val="733285776"/>
        <c:axId val="846652000"/>
      </c:barChart>
      <c:catAx>
        <c:axId val="73328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52000"/>
        <c:crosses val="autoZero"/>
        <c:auto val="1"/>
        <c:lblAlgn val="ctr"/>
        <c:lblOffset val="100"/>
        <c:noMultiLvlLbl val="0"/>
      </c:catAx>
      <c:valAx>
        <c:axId val="84665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85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w64000-q64000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s128</c:v>
          </c:tx>
          <c:spPr>
            <a:solidFill>
              <a:schemeClr val="accent1"/>
            </a:solidFill>
            <a:ln>
              <a:noFill/>
            </a:ln>
            <a:effectLst/>
          </c:spPr>
          <c:invertIfNegative val="0"/>
          <c:val>
            <c:numRef>
              <c:f>allresults!$H$588:$H$597</c:f>
              <c:numCache>
                <c:formatCode>General</c:formatCode>
                <c:ptCount val="10"/>
                <c:pt idx="0">
                  <c:v>23233</c:v>
                </c:pt>
                <c:pt idx="1">
                  <c:v>5799.01</c:v>
                </c:pt>
                <c:pt idx="2">
                  <c:v>6657.8</c:v>
                </c:pt>
                <c:pt idx="3">
                  <c:v>7025.62</c:v>
                </c:pt>
                <c:pt idx="4">
                  <c:v>6589.47</c:v>
                </c:pt>
                <c:pt idx="5">
                  <c:v>6746.07</c:v>
                </c:pt>
                <c:pt idx="6">
                  <c:v>6539.8</c:v>
                </c:pt>
                <c:pt idx="7">
                  <c:v>6763.29</c:v>
                </c:pt>
                <c:pt idx="8">
                  <c:v>6464.19</c:v>
                </c:pt>
                <c:pt idx="9">
                  <c:v>5659.82</c:v>
                </c:pt>
              </c:numCache>
            </c:numRef>
          </c:val>
        </c:ser>
        <c:ser>
          <c:idx val="1"/>
          <c:order val="1"/>
          <c:tx>
            <c:v>s256</c:v>
          </c:tx>
          <c:spPr>
            <a:solidFill>
              <a:schemeClr val="accent2"/>
            </a:solidFill>
            <a:ln>
              <a:noFill/>
            </a:ln>
            <a:effectLst/>
          </c:spPr>
          <c:invertIfNegative val="0"/>
          <c:val>
            <c:numRef>
              <c:f>allresults!$H$601:$H$610</c:f>
              <c:numCache>
                <c:formatCode>General</c:formatCode>
                <c:ptCount val="10"/>
                <c:pt idx="0">
                  <c:v>6855.23</c:v>
                </c:pt>
                <c:pt idx="1">
                  <c:v>7527.2</c:v>
                </c:pt>
                <c:pt idx="2">
                  <c:v>17581.8</c:v>
                </c:pt>
                <c:pt idx="3">
                  <c:v>7256.39</c:v>
                </c:pt>
                <c:pt idx="4">
                  <c:v>22033.5</c:v>
                </c:pt>
                <c:pt idx="5">
                  <c:v>6694.57</c:v>
                </c:pt>
                <c:pt idx="6">
                  <c:v>6720.03</c:v>
                </c:pt>
                <c:pt idx="7">
                  <c:v>7469.14</c:v>
                </c:pt>
                <c:pt idx="8">
                  <c:v>7339.81</c:v>
                </c:pt>
                <c:pt idx="9">
                  <c:v>5826.66</c:v>
                </c:pt>
              </c:numCache>
            </c:numRef>
          </c:val>
        </c:ser>
        <c:ser>
          <c:idx val="2"/>
          <c:order val="2"/>
          <c:tx>
            <c:v>s512</c:v>
          </c:tx>
          <c:spPr>
            <a:solidFill>
              <a:schemeClr val="accent3"/>
            </a:solidFill>
            <a:ln>
              <a:noFill/>
            </a:ln>
            <a:effectLst/>
          </c:spPr>
          <c:invertIfNegative val="0"/>
          <c:val>
            <c:numRef>
              <c:f>allresults!$H$614:$H$623</c:f>
              <c:numCache>
                <c:formatCode>General</c:formatCode>
                <c:ptCount val="10"/>
                <c:pt idx="0">
                  <c:v>13916.6</c:v>
                </c:pt>
                <c:pt idx="1">
                  <c:v>7629.61</c:v>
                </c:pt>
                <c:pt idx="2">
                  <c:v>12876.1</c:v>
                </c:pt>
                <c:pt idx="3">
                  <c:v>7435.88</c:v>
                </c:pt>
                <c:pt idx="4">
                  <c:v>6743.91</c:v>
                </c:pt>
                <c:pt idx="5">
                  <c:v>13955.6</c:v>
                </c:pt>
                <c:pt idx="6">
                  <c:v>14006.5</c:v>
                </c:pt>
                <c:pt idx="7">
                  <c:v>6827.46</c:v>
                </c:pt>
                <c:pt idx="8">
                  <c:v>13907</c:v>
                </c:pt>
                <c:pt idx="9">
                  <c:v>6827.72</c:v>
                </c:pt>
              </c:numCache>
            </c:numRef>
          </c:val>
        </c:ser>
        <c:dLbls>
          <c:showLegendKey val="0"/>
          <c:showVal val="0"/>
          <c:showCatName val="0"/>
          <c:showSerName val="0"/>
          <c:showPercent val="0"/>
          <c:showBubbleSize val="0"/>
        </c:dLbls>
        <c:gapWidth val="150"/>
        <c:axId val="846645472"/>
        <c:axId val="846656896"/>
      </c:barChart>
      <c:catAx>
        <c:axId val="84664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56896"/>
        <c:crosses val="autoZero"/>
        <c:auto val="1"/>
        <c:lblAlgn val="ctr"/>
        <c:lblOffset val="100"/>
        <c:noMultiLvlLbl val="0"/>
      </c:catAx>
      <c:valAx>
        <c:axId val="84665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cap="all" baseline="0">
                    <a:effectLst/>
                  </a:rPr>
                  <a:t>Goodput(bytes/sec)</a:t>
                </a:r>
                <a:endParaRPr lang="en-US"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45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a:t>Window Size vs. Goodput (q64000)</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4166796086348809E-2"/>
          <c:y val="0.14919645803051512"/>
          <c:w val="0.77644716680953796"/>
          <c:h val="0.74571512649254068"/>
        </c:manualLayout>
      </c:layout>
      <c:bar3DChart>
        <c:barDir val="col"/>
        <c:grouping val="standard"/>
        <c:varyColors val="0"/>
        <c:ser>
          <c:idx val="0"/>
          <c:order val="0"/>
          <c:tx>
            <c:v>Window Size</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allresults!$N$112:$N$115</c:f>
              <c:numCache>
                <c:formatCode>General</c:formatCode>
                <c:ptCount val="4"/>
                <c:pt idx="0">
                  <c:v>2000</c:v>
                </c:pt>
                <c:pt idx="1">
                  <c:v>8000</c:v>
                </c:pt>
                <c:pt idx="2">
                  <c:v>32000</c:v>
                </c:pt>
                <c:pt idx="3">
                  <c:v>64000</c:v>
                </c:pt>
              </c:numCache>
            </c:numRef>
          </c:val>
        </c:ser>
        <c:ser>
          <c:idx val="1"/>
          <c:order val="1"/>
          <c:tx>
            <c:v>Goodput</c:v>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allresults!$R$112:$R$115</c:f>
              <c:numCache>
                <c:formatCode>General</c:formatCode>
                <c:ptCount val="4"/>
                <c:pt idx="0">
                  <c:v>20694.5</c:v>
                </c:pt>
                <c:pt idx="1">
                  <c:v>86669.6</c:v>
                </c:pt>
                <c:pt idx="2">
                  <c:v>99890.4</c:v>
                </c:pt>
                <c:pt idx="3">
                  <c:v>108601</c:v>
                </c:pt>
              </c:numCache>
            </c:numRef>
          </c:val>
        </c:ser>
        <c:dLbls>
          <c:showLegendKey val="0"/>
          <c:showVal val="1"/>
          <c:showCatName val="0"/>
          <c:showSerName val="0"/>
          <c:showPercent val="0"/>
          <c:showBubbleSize val="0"/>
        </c:dLbls>
        <c:gapWidth val="150"/>
        <c:shape val="box"/>
        <c:axId val="846648192"/>
        <c:axId val="846648736"/>
        <c:axId val="844924304"/>
      </c:bar3DChart>
      <c:catAx>
        <c:axId val="84664819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46648736"/>
        <c:crosses val="autoZero"/>
        <c:auto val="1"/>
        <c:lblAlgn val="ctr"/>
        <c:lblOffset val="100"/>
        <c:noMultiLvlLbl val="0"/>
      </c:catAx>
      <c:valAx>
        <c:axId val="8466487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48192"/>
        <c:crosses val="autoZero"/>
        <c:crossBetween val="between"/>
      </c:valAx>
      <c:serAx>
        <c:axId val="844924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487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Srinivasan</dc:creator>
  <cp:keywords/>
  <dc:description/>
  <cp:lastModifiedBy>Bhargav Srinivasan</cp:lastModifiedBy>
  <cp:revision>12</cp:revision>
  <dcterms:created xsi:type="dcterms:W3CDTF">2015-02-01T21:38:00Z</dcterms:created>
  <dcterms:modified xsi:type="dcterms:W3CDTF">2015-02-02T00:38:00Z</dcterms:modified>
</cp:coreProperties>
</file>