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1E293B"/>
          <w:sz w:val="48"/>
        </w:rPr>
        <w:t>SMART JOB MARKET &amp; SKILL-GAP ADVISOR</w:t>
      </w:r>
    </w:p>
    <w:p>
      <w:pPr>
        <w:spacing w:after="560"/>
        <w:jc w:val="center"/>
      </w:pPr>
      <w:r>
        <w:rPr>
          <w:i/>
          <w:color w:val="4F46E5"/>
          <w:sz w:val="26"/>
        </w:rPr>
        <w:t>A Multi-Dimensional Competency Intelligence &amp; Talent Telemetry System</w:t>
      </w:r>
    </w:p>
    <w:tbl>
      <w:tblPr>
        <w:tblW w:type="auto" w:w="0"/>
        <w:jc w:val="center"/>
        <w:tblLook w:firstColumn="1" w:firstRow="1" w:lastColumn="0" w:lastRow="0" w:noHBand="0" w:noVBand="1" w:val="04A0"/>
      </w:tblPr>
      <w:tblGrid>
        <w:gridCol w:w="4680"/>
        <w:gridCol w:w="4680"/>
      </w:tblGrid>
      <w:tr>
        <w:tc>
          <w:tcPr>
            <w:tcW w:type="dxa" w:w="3168"/>
            <w:shd w:val="clear" w:color="auto" w:fill="F8FAFC"/>
            <w:tcMar>
              <w:top w:w="80" w:type="dxa"/>
              <w:bottom w:w="80" w:type="dxa"/>
              <w:left w:w="120" w:type="dxa"/>
              <w:right w:w="120" w:type="dxa"/>
            </w:tcMar>
          </w:tcPr>
          <w:p>
            <w:pPr>
              <w:spacing w:after="60"/>
            </w:pPr>
            <w:r>
              <w:rPr>
                <w:b/>
                <w:color w:val="1E293B"/>
              </w:rPr>
              <w:t>Document Type:</w:t>
            </w:r>
          </w:p>
        </w:tc>
        <w:tc>
          <w:tcPr>
            <w:tcW w:type="dxa" w:w="6192"/>
            <w:shd w:val="clear" w:color="auto" w:fill="F1F5F9"/>
            <w:tcMar>
              <w:top w:w="80" w:type="dxa"/>
              <w:bottom w:w="80" w:type="dxa"/>
              <w:left w:w="120" w:type="dxa"/>
              <w:right w:w="120" w:type="dxa"/>
            </w:tcMar>
          </w:tcPr>
          <w:p>
            <w:pPr>
              <w:spacing w:after="60"/>
            </w:pPr>
            <w:r>
              <w:rPr>
                <w:color w:val="334155"/>
              </w:rPr>
              <w:t>Technical Project Documentation &amp; Academic Report</w:t>
            </w:r>
          </w:p>
        </w:tc>
      </w:tr>
      <w:tr>
        <w:tc>
          <w:tcPr>
            <w:tcW w:type="dxa" w:w="3168"/>
            <w:shd w:val="clear" w:color="auto" w:fill="F8FAFC"/>
            <w:tcMar>
              <w:top w:w="80" w:type="dxa"/>
              <w:bottom w:w="80" w:type="dxa"/>
              <w:left w:w="120" w:type="dxa"/>
              <w:right w:w="120" w:type="dxa"/>
            </w:tcMar>
          </w:tcPr>
          <w:p>
            <w:pPr>
              <w:spacing w:after="60"/>
            </w:pPr>
            <w:r>
              <w:rPr>
                <w:b/>
                <w:color w:val="1E293B"/>
              </w:rPr>
              <w:t>Domain:</w:t>
            </w:r>
          </w:p>
        </w:tc>
        <w:tc>
          <w:tcPr>
            <w:tcW w:type="dxa" w:w="6192"/>
            <w:shd w:val="clear" w:color="auto" w:fill="F1F5F9"/>
            <w:tcMar>
              <w:top w:w="80" w:type="dxa"/>
              <w:bottom w:w="80" w:type="dxa"/>
              <w:left w:w="120" w:type="dxa"/>
              <w:right w:w="120" w:type="dxa"/>
            </w:tcMar>
          </w:tcPr>
          <w:p>
            <w:pPr>
              <w:spacing w:after="60"/>
            </w:pPr>
            <w:r>
              <w:rPr>
                <w:color w:val="334155"/>
              </w:rPr>
              <w:t>Cloud-Native Systems, Talent Telemetry &amp; Web Intelligence</w:t>
            </w:r>
          </w:p>
        </w:tc>
      </w:tr>
      <w:tr>
        <w:tc>
          <w:tcPr>
            <w:tcW w:type="dxa" w:w="3168"/>
            <w:shd w:val="clear" w:color="auto" w:fill="F8FAFC"/>
            <w:tcMar>
              <w:top w:w="80" w:type="dxa"/>
              <w:bottom w:w="80" w:type="dxa"/>
              <w:left w:w="120" w:type="dxa"/>
              <w:right w:w="120" w:type="dxa"/>
            </w:tcMar>
          </w:tcPr>
          <w:p>
            <w:pPr>
              <w:spacing w:after="60"/>
            </w:pPr>
            <w:r>
              <w:rPr>
                <w:b/>
                <w:color w:val="1E293B"/>
              </w:rPr>
              <w:t>Technology Stack:</w:t>
            </w:r>
          </w:p>
        </w:tc>
        <w:tc>
          <w:tcPr>
            <w:tcW w:type="dxa" w:w="6192"/>
            <w:shd w:val="clear" w:color="auto" w:fill="F1F5F9"/>
            <w:tcMar>
              <w:top w:w="80" w:type="dxa"/>
              <w:bottom w:w="80" w:type="dxa"/>
              <w:left w:w="120" w:type="dxa"/>
              <w:right w:w="120" w:type="dxa"/>
            </w:tcMar>
          </w:tcPr>
          <w:p>
            <w:pPr>
              <w:spacing w:after="60"/>
            </w:pPr>
            <w:r>
              <w:rPr>
                <w:color w:val="334155"/>
              </w:rPr>
              <w:t>Java 21 / Spring Boot 3.2.3, React 18, Vite 5, Tailwind CSS</w:t>
            </w:r>
          </w:p>
        </w:tc>
      </w:tr>
      <w:tr>
        <w:tc>
          <w:tcPr>
            <w:tcW w:type="dxa" w:w="3168"/>
            <w:shd w:val="clear" w:color="auto" w:fill="F8FAFC"/>
            <w:tcMar>
              <w:top w:w="80" w:type="dxa"/>
              <w:bottom w:w="80" w:type="dxa"/>
              <w:left w:w="120" w:type="dxa"/>
              <w:right w:w="120" w:type="dxa"/>
            </w:tcMar>
          </w:tcPr>
          <w:p>
            <w:pPr>
              <w:spacing w:after="60"/>
            </w:pPr>
            <w:r>
              <w:rPr>
                <w:b/>
                <w:color w:val="1E293B"/>
              </w:rPr>
              <w:t>Status:</w:t>
            </w:r>
          </w:p>
        </w:tc>
        <w:tc>
          <w:tcPr>
            <w:tcW w:type="dxa" w:w="6192"/>
            <w:shd w:val="clear" w:color="auto" w:fill="F1F5F9"/>
            <w:tcMar>
              <w:top w:w="80" w:type="dxa"/>
              <w:bottom w:w="80" w:type="dxa"/>
              <w:left w:w="120" w:type="dxa"/>
              <w:right w:w="120" w:type="dxa"/>
            </w:tcMar>
          </w:tcPr>
          <w:p>
            <w:pPr>
              <w:spacing w:after="60"/>
            </w:pPr>
            <w:r>
              <w:rPr>
                <w:color w:val="334155"/>
              </w:rPr>
              <w:t>Fully Implemented, Verified &amp; Production-Ready</w:t>
            </w:r>
          </w:p>
        </w:tc>
      </w:tr>
    </w:tbl>
    <w:p>
      <w:r>
        <w:br w:type="page"/>
      </w:r>
    </w:p>
    <w:p>
      <w:pPr>
        <w:keepNext/>
        <w:spacing w:before="360" w:after="160"/>
      </w:pPr>
      <w:r>
        <w:rPr>
          <w:rFonts w:ascii="Arial" w:hAnsi="Arial"/>
          <w:b/>
          <w:color w:val="4F46E5"/>
          <w:sz w:val="32"/>
        </w:rPr>
        <w:t>1. Introduction</w:t>
      </w:r>
    </w:p>
    <w:p>
      <w:pPr>
        <w:keepNext/>
        <w:spacing w:before="280" w:after="120"/>
      </w:pPr>
      <w:r>
        <w:rPr>
          <w:rFonts w:ascii="Arial" w:hAnsi="Arial"/>
          <w:b/>
          <w:color w:val="1E293B"/>
          <w:sz w:val="26"/>
        </w:rPr>
        <w:t>1.1 Introduction</w:t>
      </w:r>
    </w:p>
    <w:p>
      <w:pPr>
        <w:spacing w:after="120"/>
      </w:pPr>
      <w:r>
        <w:rPr>
          <w:color w:val="334155"/>
          <w:sz w:val="22"/>
        </w:rPr>
        <w:t>The software engineering and digital technology landscape is undergoing profound transformations. The velocity at which enterprise technologies evolve—spanning distributed cloud microservices, reactive architectures, and artificial intelligence frameworks—has outpaced traditional academic curricula. While computer science programs provide fundamental theoretical principles, graduates and early-career software engineers routinely confront steep competency gaps when transitioning into industrial engineering environments. Concurrently, recruitment teams grapple with overwhelming volumes of candidate applications that cannot be accurately or objectively evaluated solely through static resumes.</w:t>
      </w:r>
    </w:p>
    <w:p>
      <w:pPr>
        <w:spacing w:after="120"/>
      </w:pPr>
      <w:r>
        <w:rPr>
          <w:color w:val="334155"/>
          <w:sz w:val="22"/>
        </w:rPr>
        <w:t>The Smart Job Market &amp; Skill-Gap Advisor is an enterprise-grade, cloud-native talent intelligence platform designed to bridge this structural divide. By unifying bidirectional resume parsing, role-calibrated weighted skill-gap analysis, dual-format technical interview simulations, and acoustic voice competency telemetry into a cohesive system, the platform transforms conventional recruitment into an objective, data-driven competency evaluation lifecycle. Candidates receive actionable diagnostics and roadmaps to bridge their technical deficits, while hiring teams access an auditable, multi-dimensional candidate leaderboard fortified by cryptographic data integrity and role-based privacy.</w:t>
      </w:r>
    </w:p>
    <w:p>
      <w:pPr>
        <w:keepNext/>
        <w:spacing w:before="280" w:after="120"/>
      </w:pPr>
      <w:r>
        <w:rPr>
          <w:rFonts w:ascii="Arial" w:hAnsi="Arial"/>
          <w:b/>
          <w:color w:val="1E293B"/>
          <w:sz w:val="26"/>
        </w:rPr>
        <w:t>1.2 Problem Statement</w:t>
      </w:r>
    </w:p>
    <w:p>
      <w:pPr>
        <w:spacing w:after="120"/>
      </w:pPr>
      <w:r>
        <w:rPr>
          <w:color w:val="334155"/>
          <w:sz w:val="22"/>
        </w:rPr>
        <w:t>The contemporary technical recruitment ecosystem is fundamentally broken by structural information asymmetry and operational bottlenecks:</w:t>
      </w:r>
    </w:p>
    <w:p>
      <w:pPr>
        <w:pStyle w:val="ListBullet"/>
        <w:spacing w:after="60"/>
      </w:pPr>
      <w:r>
        <w:rPr>
          <w:b/>
          <w:color w:val="1E293B"/>
        </w:rPr>
        <w:t xml:space="preserve">1. Static &amp; Superficial Keyword Matching: </w:t>
      </w:r>
      <w:r>
        <w:rPr>
          <w:color w:val="334155"/>
        </w:rPr>
        <w:t>Traditional Applicant Tracking Systems (ATS) and job portals rely heavily on exact string matching. This penalizes qualified candidates who use alternative phrasing while rewarding individuals who unethically 'stuff' resumes with unverified keywords.</w:t>
      </w:r>
    </w:p>
    <w:p>
      <w:pPr>
        <w:pStyle w:val="ListBullet"/>
        <w:spacing w:after="60"/>
      </w:pPr>
      <w:r>
        <w:rPr>
          <w:b/>
          <w:color w:val="1E293B"/>
        </w:rPr>
        <w:t xml:space="preserve">2. Opaque Diagnostic Deficits: </w:t>
      </w:r>
      <w:r>
        <w:rPr>
          <w:color w:val="334155"/>
        </w:rPr>
        <w:t>When candidates are rejected, they receive zero actionable feedback regarding which competencies were missing or what specific learning pathways would satisfy enterprise requisitions.</w:t>
      </w:r>
    </w:p>
    <w:p>
      <w:pPr>
        <w:pStyle w:val="ListBullet"/>
        <w:spacing w:after="60"/>
      </w:pPr>
      <w:r>
        <w:rPr>
          <w:b/>
          <w:color w:val="1E293B"/>
        </w:rPr>
        <w:t xml:space="preserve">3. Lack of Multi-Modal Assessment: </w:t>
      </w:r>
      <w:r>
        <w:rPr>
          <w:color w:val="334155"/>
        </w:rPr>
        <w:t>Conventional screening evaluates either written resumes or synthetic algorithmic coding challenges in isolation. Neither approach measures real-world system architecture problem-solving, explanatory communication clarity, or spoken technical fluency.</w:t>
      </w:r>
    </w:p>
    <w:p>
      <w:pPr>
        <w:pStyle w:val="ListBullet"/>
        <w:spacing w:after="60"/>
      </w:pPr>
      <w:r>
        <w:rPr>
          <w:b/>
          <w:color w:val="1E293B"/>
        </w:rPr>
        <w:t xml:space="preserve">4. Candidate Data Mutability &amp; Recruiter Audit Inefficiencies: </w:t>
      </w:r>
      <w:r>
        <w:rPr>
          <w:color w:val="334155"/>
        </w:rPr>
        <w:t>Most hiring platforms permit candidates to arbitrarily modify application profiles post-submission, destroying data provenance. Meanwhile, recruiters lack centralized, holistic candidate dossiers synthesizing written, spoken, and architectural telemetry.</w:t>
      </w:r>
    </w:p>
    <w:p>
      <w:pPr>
        <w:keepNext/>
        <w:spacing w:before="280" w:after="120"/>
      </w:pPr>
      <w:r>
        <w:rPr>
          <w:rFonts w:ascii="Arial" w:hAnsi="Arial"/>
          <w:b/>
          <w:color w:val="1E293B"/>
          <w:sz w:val="26"/>
        </w:rPr>
        <w:t>1.3 Objective of Project</w:t>
      </w:r>
    </w:p>
    <w:p>
      <w:pPr>
        <w:spacing w:after="120"/>
      </w:pPr>
      <w:r>
        <w:rPr>
          <w:color w:val="334155"/>
          <w:sz w:val="22"/>
        </w:rPr>
        <w:t>The primary engineering objectives of the Smart Job Market &amp; Skill-Gap Advisor encompass:</w:t>
      </w:r>
    </w:p>
    <w:p>
      <w:pPr>
        <w:pStyle w:val="ListBullet"/>
        <w:spacing w:after="60"/>
      </w:pPr>
      <w:r>
        <w:rPr>
          <w:b/>
          <w:color w:val="1E293B"/>
        </w:rPr>
        <w:t xml:space="preserve">Automated Resume Intelligence &amp; Self-Audit: </w:t>
      </w:r>
      <w:r>
        <w:rPr>
          <w:color w:val="334155"/>
        </w:rPr>
        <w:t>Provide deep bidirectional document parsing with candidate self-review capability (allowing modification of extracted names, file references, and identified skills prior to submission) backed by irreversible post-submission profile locking.</w:t>
      </w:r>
    </w:p>
    <w:p>
      <w:pPr>
        <w:pStyle w:val="ListBullet"/>
        <w:spacing w:after="60"/>
      </w:pPr>
      <w:r>
        <w:rPr>
          <w:b/>
          <w:color w:val="1E293B"/>
        </w:rPr>
        <w:t xml:space="preserve">Weighted Competency Gap Engine: </w:t>
      </w:r>
      <w:r>
        <w:rPr>
          <w:color w:val="334155"/>
        </w:rPr>
        <w:t>Implement dynamic mathematical modeling that computes percentage readiness against live enterprise job specifications, assigning importance weights (1 to 10) to required competencies.</w:t>
      </w:r>
    </w:p>
    <w:p>
      <w:pPr>
        <w:pStyle w:val="ListBullet"/>
        <w:spacing w:after="60"/>
      </w:pPr>
      <w:r>
        <w:rPr>
          <w:b/>
          <w:color w:val="1E293B"/>
        </w:rPr>
        <w:t xml:space="preserve">Dual-Format Technical Assessment: </w:t>
      </w:r>
      <w:r>
        <w:rPr>
          <w:color w:val="334155"/>
        </w:rPr>
        <w:t>Deliver role-tailored 10-question evaluation batteries comprising 5 architectural multiple-choice questions (MCQs) and 5 scenario-driven descriptive prompts with automated conceptual grading.</w:t>
      </w:r>
    </w:p>
    <w:p>
      <w:pPr>
        <w:pStyle w:val="ListBullet"/>
        <w:spacing w:after="60"/>
      </w:pPr>
      <w:r>
        <w:rPr>
          <w:b/>
          <w:color w:val="1E293B"/>
        </w:rPr>
        <w:t xml:space="preserve">Acoustic &amp; Voice Articulation Telemetry: </w:t>
      </w:r>
      <w:r>
        <w:rPr>
          <w:color w:val="334155"/>
        </w:rPr>
        <w:t>Utilize the HTML5 Web Audio API and Speech Recognition to analyze frequency dynamics, speech cadence, and spoken technical keyword density during verbal screening simulations.</w:t>
      </w:r>
    </w:p>
    <w:p>
      <w:pPr>
        <w:pStyle w:val="ListBullet"/>
        <w:spacing w:after="60"/>
      </w:pPr>
      <w:r>
        <w:rPr>
          <w:b/>
          <w:color w:val="1E293B"/>
        </w:rPr>
        <w:t xml:space="preserve">Composite Talent Leaderboard: </w:t>
      </w:r>
      <w:r>
        <w:rPr>
          <w:color w:val="334155"/>
        </w:rPr>
        <w:t>Synthesize multiple assessment vectors into a single, weighted Composite Readiness Score (30% ATS + 30% Skill Match + 20% Technical Interview + 20% Voice Screening) to power an administrative candidate leaderboard.</w:t>
      </w:r>
    </w:p>
    <w:p>
      <w:pPr>
        <w:pStyle w:val="ListBullet"/>
        <w:spacing w:after="60"/>
      </w:pPr>
      <w:r>
        <w:rPr>
          <w:b/>
          <w:color w:val="1E293B"/>
        </w:rPr>
        <w:t xml:space="preserve">Enterprise Privacy &amp; Access Governance: </w:t>
      </w:r>
      <w:r>
        <w:rPr>
          <w:color w:val="334155"/>
        </w:rPr>
        <w:t>Enforce strict Role-Based Access Control (RBAC) ensuring candidate records remain completely private to the individual candidate, while granting authorized administrators holistic evaluation dossiers, registration approval gates, and certificate authentication.</w:t>
      </w:r>
    </w:p>
    <w:p>
      <w:pPr>
        <w:keepNext/>
        <w:spacing w:before="360" w:after="160"/>
      </w:pPr>
      <w:r>
        <w:rPr>
          <w:rFonts w:ascii="Arial" w:hAnsi="Arial"/>
          <w:b/>
          <w:color w:val="4F46E5"/>
          <w:sz w:val="32"/>
        </w:rPr>
        <w:t>2. Problem Identification</w:t>
      </w:r>
    </w:p>
    <w:p>
      <w:pPr>
        <w:keepNext/>
        <w:spacing w:before="280" w:after="120"/>
      </w:pPr>
      <w:r>
        <w:rPr>
          <w:rFonts w:ascii="Arial" w:hAnsi="Arial"/>
          <w:b/>
          <w:color w:val="1E293B"/>
          <w:sz w:val="26"/>
        </w:rPr>
        <w:t>2.1 Existing System</w:t>
      </w:r>
    </w:p>
    <w:p>
      <w:pPr>
        <w:spacing w:after="120"/>
      </w:pPr>
      <w:r>
        <w:rPr>
          <w:color w:val="334155"/>
          <w:sz w:val="22"/>
        </w:rPr>
        <w:t>Modern talent acquisition workflows rely on a disconnected array of single-purpose tools that fail to address the holistic engineering profile of candidates. A systematic examination of existing architectures reveals severe limitations: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100" w:type="dxa"/>
              <w:bottom w:w="100" w:type="dxa"/>
              <w:left w:w="140" w:type="dxa"/>
              <w:right w:w="140" w:type="dxa"/>
            </w:tcMar>
          </w:tcPr>
          <w:p>
            <w:pPr>
              <w:spacing w:after="0"/>
              <w:jc w:val="left"/>
            </w:pPr>
            <w:r>
              <w:rPr>
                <w:rFonts w:ascii="Arial" w:hAnsi="Arial"/>
                <w:b/>
                <w:color w:val="FFFFFF"/>
                <w:sz w:val="20"/>
              </w:rPr>
              <w:t>Platform Category</w:t>
            </w:r>
          </w:p>
        </w:tc>
        <w:tc>
          <w:tcPr>
            <w:tcW w:type="dxa" w:w="3120"/>
            <w:shd w:val="clear" w:color="auto" w:fill="1E293B"/>
            <w:tcMar>
              <w:top w:w="100" w:type="dxa"/>
              <w:bottom w:w="100" w:type="dxa"/>
              <w:left w:w="140" w:type="dxa"/>
              <w:right w:w="140" w:type="dxa"/>
            </w:tcMar>
          </w:tcPr>
          <w:p>
            <w:pPr>
              <w:spacing w:after="0"/>
              <w:jc w:val="left"/>
            </w:pPr>
            <w:r>
              <w:rPr>
                <w:rFonts w:ascii="Arial" w:hAnsi="Arial"/>
                <w:b/>
                <w:color w:val="FFFFFF"/>
                <w:sz w:val="20"/>
              </w:rPr>
              <w:t>Representative Systems</w:t>
            </w:r>
          </w:p>
        </w:tc>
        <w:tc>
          <w:tcPr>
            <w:tcW w:type="dxa" w:w="3120"/>
            <w:shd w:val="clear" w:color="auto" w:fill="1E293B"/>
            <w:tcMar>
              <w:top w:w="100" w:type="dxa"/>
              <w:bottom w:w="100" w:type="dxa"/>
              <w:left w:w="140" w:type="dxa"/>
              <w:right w:w="140" w:type="dxa"/>
            </w:tcMar>
          </w:tcPr>
          <w:p>
            <w:pPr>
              <w:spacing w:after="0"/>
              <w:jc w:val="left"/>
            </w:pPr>
            <w:r>
              <w:rPr>
                <w:rFonts w:ascii="Arial" w:hAnsi="Arial"/>
                <w:b/>
                <w:color w:val="FFFFFF"/>
                <w:sz w:val="20"/>
              </w:rPr>
              <w:t>Architectural Deficiencies &amp; Core Limitations</w:t>
            </w:r>
          </w:p>
        </w:tc>
      </w:tr>
      <w:tr>
        <w:tc>
          <w:tcPr>
            <w:tcW w:type="dxa" w:w="3120"/>
            <w:shd w:val="clear" w:color="auto" w:fill="FFFFFF"/>
            <w:tcMar>
              <w:top w:w="80" w:type="dxa"/>
              <w:bottom w:w="80" w:type="dxa"/>
              <w:left w:w="140" w:type="dxa"/>
              <w:right w:w="140" w:type="dxa"/>
            </w:tcMar>
          </w:tcPr>
          <w:p>
            <w:pPr>
              <w:spacing w:after="0"/>
              <w:jc w:val="left"/>
            </w:pPr>
            <w:r>
              <w:rPr>
                <w:rFonts w:ascii="Calibri" w:hAnsi="Calibri"/>
                <w:color w:val="334155"/>
                <w:sz w:val="19"/>
              </w:rPr>
              <w:t>Traditional Job Boards</w:t>
            </w:r>
          </w:p>
        </w:tc>
        <w:tc>
          <w:tcPr>
            <w:tcW w:type="dxa" w:w="3120"/>
            <w:shd w:val="clear" w:color="auto" w:fill="FFFFFF"/>
            <w:tcMar>
              <w:top w:w="80" w:type="dxa"/>
              <w:bottom w:w="80" w:type="dxa"/>
              <w:left w:w="140" w:type="dxa"/>
              <w:right w:w="140" w:type="dxa"/>
            </w:tcMar>
          </w:tcPr>
          <w:p>
            <w:pPr>
              <w:spacing w:after="0"/>
              <w:jc w:val="left"/>
            </w:pPr>
            <w:r>
              <w:rPr>
                <w:rFonts w:ascii="Calibri" w:hAnsi="Calibri"/>
                <w:color w:val="334155"/>
                <w:sz w:val="19"/>
              </w:rPr>
              <w:t>LinkedIn, Indeed, Monster</w:t>
            </w:r>
          </w:p>
        </w:tc>
        <w:tc>
          <w:tcPr>
            <w:tcW w:type="dxa" w:w="3120"/>
            <w:shd w:val="clear" w:color="auto" w:fill="FFFFFF"/>
            <w:tcMar>
              <w:top w:w="80" w:type="dxa"/>
              <w:bottom w:w="80" w:type="dxa"/>
              <w:left w:w="140" w:type="dxa"/>
              <w:right w:w="140" w:type="dxa"/>
            </w:tcMar>
          </w:tcPr>
          <w:p>
            <w:pPr>
              <w:spacing w:after="0"/>
              <w:jc w:val="left"/>
            </w:pPr>
            <w:r>
              <w:rPr>
                <w:rFonts w:ascii="Calibri" w:hAnsi="Calibri"/>
                <w:color w:val="334155"/>
                <w:sz w:val="19"/>
              </w:rPr>
              <w:t>Operate as static bulletin boards; rely on keyword matching without semantic understanding; provide zero diagnostic feedback to candidates.</w:t>
            </w:r>
          </w:p>
        </w:tc>
      </w:tr>
      <w:tr>
        <w:tc>
          <w:tcPr>
            <w:tcW w:type="dxa" w:w="3120"/>
            <w:shd w:val="clear" w:color="auto" w:fill="F8FAFC"/>
            <w:tcMar>
              <w:top w:w="80" w:type="dxa"/>
              <w:bottom w:w="80" w:type="dxa"/>
              <w:left w:w="140" w:type="dxa"/>
              <w:right w:w="140" w:type="dxa"/>
            </w:tcMar>
          </w:tcPr>
          <w:p>
            <w:pPr>
              <w:spacing w:after="0"/>
              <w:jc w:val="left"/>
            </w:pPr>
            <w:r>
              <w:rPr>
                <w:rFonts w:ascii="Calibri" w:hAnsi="Calibri"/>
                <w:color w:val="334155"/>
                <w:sz w:val="19"/>
              </w:rPr>
              <w:t>Legacy ATS Portals</w:t>
            </w:r>
          </w:p>
        </w:tc>
        <w:tc>
          <w:tcPr>
            <w:tcW w:type="dxa" w:w="3120"/>
            <w:shd w:val="clear" w:color="auto" w:fill="F8FAFC"/>
            <w:tcMar>
              <w:top w:w="80" w:type="dxa"/>
              <w:bottom w:w="80" w:type="dxa"/>
              <w:left w:w="140" w:type="dxa"/>
              <w:right w:w="140" w:type="dxa"/>
            </w:tcMar>
          </w:tcPr>
          <w:p>
            <w:pPr>
              <w:spacing w:after="0"/>
              <w:jc w:val="left"/>
            </w:pPr>
            <w:r>
              <w:rPr>
                <w:rFonts w:ascii="Calibri" w:hAnsi="Calibri"/>
                <w:color w:val="334155"/>
                <w:sz w:val="19"/>
              </w:rPr>
              <w:t>Workday, Taleo, Greenhouse</w:t>
            </w:r>
          </w:p>
        </w:tc>
        <w:tc>
          <w:tcPr>
            <w:tcW w:type="dxa" w:w="3120"/>
            <w:shd w:val="clear" w:color="auto" w:fill="F8FAFC"/>
            <w:tcMar>
              <w:top w:w="80" w:type="dxa"/>
              <w:bottom w:w="80" w:type="dxa"/>
              <w:left w:w="140" w:type="dxa"/>
              <w:right w:w="140" w:type="dxa"/>
            </w:tcMar>
          </w:tcPr>
          <w:p>
            <w:pPr>
              <w:spacing w:after="0"/>
              <w:jc w:val="left"/>
            </w:pPr>
            <w:r>
              <w:rPr>
                <w:rFonts w:ascii="Calibri" w:hAnsi="Calibri"/>
                <w:color w:val="334155"/>
                <w:sz w:val="19"/>
              </w:rPr>
              <w:t>Rigid regex filtering leading to high false-rejection rates; no verification of technical claims; unsealed mutable profile records.</w:t>
            </w:r>
          </w:p>
        </w:tc>
      </w:tr>
      <w:tr>
        <w:tc>
          <w:tcPr>
            <w:tcW w:type="dxa" w:w="3120"/>
            <w:shd w:val="clear" w:color="auto" w:fill="FFFFFF"/>
            <w:tcMar>
              <w:top w:w="80" w:type="dxa"/>
              <w:bottom w:w="80" w:type="dxa"/>
              <w:left w:w="140" w:type="dxa"/>
              <w:right w:w="140" w:type="dxa"/>
            </w:tcMar>
          </w:tcPr>
          <w:p>
            <w:pPr>
              <w:spacing w:after="0"/>
              <w:jc w:val="left"/>
            </w:pPr>
            <w:r>
              <w:rPr>
                <w:rFonts w:ascii="Calibri" w:hAnsi="Calibri"/>
                <w:color w:val="334155"/>
                <w:sz w:val="19"/>
              </w:rPr>
              <w:t>Online Learning MOOCs</w:t>
            </w:r>
          </w:p>
        </w:tc>
        <w:tc>
          <w:tcPr>
            <w:tcW w:type="dxa" w:w="3120"/>
            <w:shd w:val="clear" w:color="auto" w:fill="FFFFFF"/>
            <w:tcMar>
              <w:top w:w="80" w:type="dxa"/>
              <w:bottom w:w="80" w:type="dxa"/>
              <w:left w:w="140" w:type="dxa"/>
              <w:right w:w="140" w:type="dxa"/>
            </w:tcMar>
          </w:tcPr>
          <w:p>
            <w:pPr>
              <w:spacing w:after="0"/>
              <w:jc w:val="left"/>
            </w:pPr>
            <w:r>
              <w:rPr>
                <w:rFonts w:ascii="Calibri" w:hAnsi="Calibri"/>
                <w:color w:val="334155"/>
                <w:sz w:val="19"/>
              </w:rPr>
              <w:t>Coursera, Udemy, edX</w:t>
            </w:r>
          </w:p>
        </w:tc>
        <w:tc>
          <w:tcPr>
            <w:tcW w:type="dxa" w:w="3120"/>
            <w:shd w:val="clear" w:color="auto" w:fill="FFFFFF"/>
            <w:tcMar>
              <w:top w:w="80" w:type="dxa"/>
              <w:bottom w:w="80" w:type="dxa"/>
              <w:left w:w="140" w:type="dxa"/>
              <w:right w:w="140" w:type="dxa"/>
            </w:tcMar>
          </w:tcPr>
          <w:p>
            <w:pPr>
              <w:spacing w:after="0"/>
              <w:jc w:val="left"/>
            </w:pPr>
            <w:r>
              <w:rPr>
                <w:rFonts w:ascii="Calibri" w:hAnsi="Calibri"/>
                <w:color w:val="334155"/>
                <w:sz w:val="19"/>
              </w:rPr>
              <w:t>Course delivery occurs in total isolation from live enterprise hiring requisitions; certificates denote video completion rather than audited skill competency.</w:t>
            </w:r>
          </w:p>
        </w:tc>
      </w:tr>
      <w:tr>
        <w:tc>
          <w:tcPr>
            <w:tcW w:type="dxa" w:w="3120"/>
            <w:shd w:val="clear" w:color="auto" w:fill="F8FAFC"/>
            <w:tcMar>
              <w:top w:w="80" w:type="dxa"/>
              <w:bottom w:w="80" w:type="dxa"/>
              <w:left w:w="140" w:type="dxa"/>
              <w:right w:w="140" w:type="dxa"/>
            </w:tcMar>
          </w:tcPr>
          <w:p>
            <w:pPr>
              <w:spacing w:after="0"/>
              <w:jc w:val="left"/>
            </w:pPr>
            <w:r>
              <w:rPr>
                <w:rFonts w:ascii="Calibri" w:hAnsi="Calibri"/>
                <w:color w:val="334155"/>
                <w:sz w:val="19"/>
              </w:rPr>
              <w:t>Synthetic Coding Sites</w:t>
            </w:r>
          </w:p>
        </w:tc>
        <w:tc>
          <w:tcPr>
            <w:tcW w:type="dxa" w:w="3120"/>
            <w:shd w:val="clear" w:color="auto" w:fill="F8FAFC"/>
            <w:tcMar>
              <w:top w:w="80" w:type="dxa"/>
              <w:bottom w:w="80" w:type="dxa"/>
              <w:left w:w="140" w:type="dxa"/>
              <w:right w:w="140" w:type="dxa"/>
            </w:tcMar>
          </w:tcPr>
          <w:p>
            <w:pPr>
              <w:spacing w:after="0"/>
              <w:jc w:val="left"/>
            </w:pPr>
            <w:r>
              <w:rPr>
                <w:rFonts w:ascii="Calibri" w:hAnsi="Calibri"/>
                <w:color w:val="334155"/>
                <w:sz w:val="19"/>
              </w:rPr>
              <w:t>LeetCode, HackerRank</w:t>
            </w:r>
          </w:p>
        </w:tc>
        <w:tc>
          <w:tcPr>
            <w:tcW w:type="dxa" w:w="3120"/>
            <w:shd w:val="clear" w:color="auto" w:fill="F8FAFC"/>
            <w:tcMar>
              <w:top w:w="80" w:type="dxa"/>
              <w:bottom w:w="80" w:type="dxa"/>
              <w:left w:w="140" w:type="dxa"/>
              <w:right w:w="140" w:type="dxa"/>
            </w:tcMar>
          </w:tcPr>
          <w:p>
            <w:pPr>
              <w:spacing w:after="0"/>
              <w:jc w:val="left"/>
            </w:pPr>
            <w:r>
              <w:rPr>
                <w:rFonts w:ascii="Calibri" w:hAnsi="Calibri"/>
                <w:color w:val="334155"/>
                <w:sz w:val="19"/>
              </w:rPr>
              <w:t>Over-index on artificial competitive algorithmic puzzles; neglect software engineering design, system architecture, verbal communication, and collaborative ability.</w:t>
            </w:r>
          </w:p>
        </w:tc>
      </w:tr>
    </w:tbl>
    <w:p>
      <w:pPr>
        <w:spacing w:after="80"/>
      </w:pPr>
    </w:p>
    <w:p>
      <w:pPr>
        <w:keepNext/>
        <w:spacing w:before="280" w:after="120"/>
      </w:pPr>
      <w:r>
        <w:rPr>
          <w:rFonts w:ascii="Arial" w:hAnsi="Arial"/>
          <w:b/>
          <w:color w:val="1E293B"/>
          <w:sz w:val="26"/>
        </w:rPr>
        <w:t>2.2 Proposed System</w:t>
      </w:r>
    </w:p>
    <w:p>
      <w:pPr>
        <w:spacing w:after="120"/>
      </w:pPr>
      <w:r>
        <w:rPr>
          <w:color w:val="334155"/>
          <w:sz w:val="22"/>
        </w:rPr>
        <w:t>The proposed system establishes an end-to-end, bidirectional talent telemetry ecosystem. It bridges the gap between candidates seeking career advancement and enterprises hiring qualified software engineers:</w:t>
      </w:r>
    </w:p>
    <w:p>
      <w:pPr>
        <w:pStyle w:val="ListBullet"/>
        <w:spacing w:after="60"/>
      </w:pPr>
      <w:r>
        <w:rPr>
          <w:b/>
          <w:color w:val="1E293B"/>
        </w:rPr>
        <w:t xml:space="preserve">1. Closed-Loop Telemetry Pipeline: </w:t>
      </w:r>
      <w:r>
        <w:rPr>
          <w:color w:val="334155"/>
        </w:rPr>
        <w:t>Integrates candidate ingestion, resume parsing, competency gap computation, technical assessment, verbal screening, and recruiter auditing into an interconnected stateful workflow.</w:t>
      </w:r>
    </w:p>
    <w:p>
      <w:pPr>
        <w:pStyle w:val="ListBullet"/>
        <w:spacing w:after="60"/>
      </w:pPr>
      <w:r>
        <w:rPr>
          <w:b/>
          <w:color w:val="1E293B"/>
        </w:rPr>
        <w:t xml:space="preserve">2. Candidate Empowerment with Controlled Sealing: </w:t>
      </w:r>
      <w:r>
        <w:rPr>
          <w:color w:val="334155"/>
        </w:rPr>
        <w:t>Before submitting their profile, candidates can inspect, correct, and curate extracted attributes (file names, personal details, detected skill tags). Once submitted, the profile is sealed cryptographically, ensuring that recruiters evaluate authentic, un-tampered submissions.</w:t>
      </w:r>
    </w:p>
    <w:p>
      <w:pPr>
        <w:pStyle w:val="ListBullet"/>
        <w:spacing w:after="60"/>
      </w:pPr>
      <w:r>
        <w:rPr>
          <w:b/>
          <w:color w:val="1E293B"/>
        </w:rPr>
        <w:t xml:space="preserve">3. Acoustic Voice Screening Studio: </w:t>
      </w:r>
      <w:r>
        <w:rPr>
          <w:color w:val="334155"/>
        </w:rPr>
        <w:t>Directly addresses the industry's need for communicative engineers by capturing real-time audio waveforms and calculating verbal articulation and technical keyword articulation scores.</w:t>
      </w:r>
    </w:p>
    <w:p>
      <w:pPr>
        <w:pStyle w:val="ListBullet"/>
        <w:spacing w:after="60"/>
      </w:pPr>
      <w:r>
        <w:rPr>
          <w:b/>
          <w:color w:val="1E293B"/>
        </w:rPr>
        <w:t xml:space="preserve">4. Candidate Privacy &amp; Recruiter Transparency: </w:t>
      </w:r>
      <w:r>
        <w:rPr>
          <w:color w:val="334155"/>
        </w:rPr>
        <w:t>Enforces mathematical data isolation. Candidates can only access their own results and learning pathways. Recruiters and administrators access comprehensive cross-candidate rankings, detailed response dossiers, and approval switches.</w:t>
      </w:r>
    </w:p>
    <w:p>
      <w:pPr>
        <w:keepNext/>
        <w:spacing w:before="360" w:after="160"/>
      </w:pPr>
      <w:r>
        <w:rPr>
          <w:rFonts w:ascii="Arial" w:hAnsi="Arial"/>
          <w:b/>
          <w:color w:val="4F46E5"/>
          <w:sz w:val="32"/>
        </w:rPr>
        <w:t>3. Requirements</w:t>
      </w:r>
    </w:p>
    <w:p>
      <w:pPr>
        <w:keepNext/>
        <w:spacing w:before="280" w:after="120"/>
      </w:pPr>
      <w:r>
        <w:rPr>
          <w:rFonts w:ascii="Arial" w:hAnsi="Arial"/>
          <w:b/>
          <w:color w:val="1E293B"/>
          <w:sz w:val="26"/>
        </w:rPr>
        <w:t>3.1 Software Requirements</w:t>
      </w:r>
    </w:p>
    <w:p>
      <w:pPr>
        <w:spacing w:after="120"/>
      </w:pPr>
      <w:r>
        <w:rPr>
          <w:color w:val="334155"/>
          <w:sz w:val="22"/>
        </w:rPr>
        <w:t>The system leverages modern, enterprise-grade open-source technologies across both frontend and backend layers: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Subsystem / Component</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Technology / Specification</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Version / Runtime</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Purpose / Role</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Backend Language</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Java (LTS)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OpenJDK 21</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Core backend enterprise services, type-safe multithreading</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Backend Framework</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Spring Boot</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3.2.3</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Microservice architecture, REST endpoints, dependency injection</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Security Architecture</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Spring Security + JWT</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6.2.x</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Stateless authentication, RBAC, HMAC-SHA512 token encoding</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Persistence Layer</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Spring Data JPA / Hibernate</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6.4.x</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Object-Relational Mapping and database abstraction</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Database Engines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PostgreSQL / H2</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PostgreSQL 15+ / H2 In-Memory</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Production enterprise store / In-memory test &amp; dev database</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Frontend Library</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React.js</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18.2.0 / 19.x</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Component-driven reactive single-page user interface</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Build Tool &amp; Dev Server</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Vite</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5.4.x</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Lightning-fast HMR and optimized production rollup bundling</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Styling Architecture</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Tailwind CSS</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3.4.x</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Utility-first responsive design, dark/light theme tokens</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Web Acoustic APIs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HTML5 Web Audio API</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W3C Recommendation</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AudioContext, AnalyserNode frequency spectrum processing</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Web Speech Engine</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Web Speech Recognition API</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W3C Draft Standard</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Client-side speech-to-text live transcript capture</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API Documentation</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Springdoc OpenAPI / Swagger UI</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2.3.0</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Interactive REST endpoint documentation &amp; testing</w:t>
            </w:r>
          </w:p>
        </w:tc>
      </w:tr>
    </w:tbl>
    <w:p>
      <w:pPr>
        <w:spacing w:after="80"/>
      </w:pPr>
    </w:p>
    <w:p>
      <w:pPr>
        <w:keepNext/>
        <w:spacing w:before="280" w:after="120"/>
      </w:pPr>
      <w:r>
        <w:rPr>
          <w:rFonts w:ascii="Arial" w:hAnsi="Arial"/>
          <w:b/>
          <w:color w:val="1E293B"/>
          <w:sz w:val="26"/>
        </w:rPr>
        <w:t>3.2 Hardware Requirements</w:t>
      </w:r>
    </w:p>
    <w:p>
      <w:pPr>
        <w:spacing w:after="120"/>
      </w:pPr>
      <w:r>
        <w:rPr>
          <w:color w:val="334155"/>
          <w:sz w:val="22"/>
        </w:rPr>
        <w:t>The platform has been engineered for high efficiency, allowing both server execution and client interaction on commodity hardware: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Environment</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Component</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Minimum Specification</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Recommended Specification</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Server (Host)</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Processor (CPU)</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Dual-Core 2.0 GHz (x86_64 / ARM64)</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Quad-Core 3.0 GHz or higher</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Server (Host)</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Memory (RAM)</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4 GB DDR4</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8 GB - 16 GB DDR4/DDR5</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Server (Host)</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Disk Storage</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10 GB Free Storage (SSD)</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50 GB Free Storage (NVMe SSD)</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Client Machine</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Processor (CPU)</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Intel Core i3 / AMD Ryzen 3 / Apple M1</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Intel Core i5/i7 / AMD Ryzen 5/7 / Apple M-series</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Client Machine</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Memory (RAM)</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4 GB RAM</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8 GB RAM or higher</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Client Peripherals</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Audio Hardware</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Standard Microphone Input</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Noise-cancelling Headset / Microphone</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Client Network</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Internet / Intranet</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Broadband connection (512 Kbps)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High-speed broadband (10 Mbps+)</w:t>
            </w:r>
          </w:p>
        </w:tc>
      </w:tr>
    </w:tbl>
    <w:p>
      <w:pPr>
        <w:spacing w:after="80"/>
      </w:pPr>
    </w:p>
    <w:p>
      <w:pPr>
        <w:keepNext/>
        <w:spacing w:before="360" w:after="160"/>
      </w:pPr>
      <w:r>
        <w:rPr>
          <w:rFonts w:ascii="Arial" w:hAnsi="Arial"/>
          <w:b/>
          <w:color w:val="4F46E5"/>
          <w:sz w:val="32"/>
        </w:rPr>
        <w:t>4. Design and Implementation</w:t>
      </w:r>
    </w:p>
    <w:p>
      <w:pPr>
        <w:keepNext/>
        <w:spacing w:before="280" w:after="120"/>
      </w:pPr>
      <w:r>
        <w:rPr>
          <w:rFonts w:ascii="Arial" w:hAnsi="Arial"/>
          <w:b/>
          <w:color w:val="1E293B"/>
          <w:sz w:val="26"/>
        </w:rPr>
        <w:t>4.1 Design</w:t>
      </w:r>
    </w:p>
    <w:p>
      <w:pPr>
        <w:spacing w:after="120"/>
      </w:pPr>
      <w:r>
        <w:rPr>
          <w:color w:val="334155"/>
          <w:sz w:val="22"/>
        </w:rPr>
        <w:t>The architecture adheres to the Decoupled Client-Server pattern, dividing responsibilities between a reactive presentation tier and a resilient, stateless service tier.</w:t>
      </w:r>
    </w:p>
    <w:p>
      <w:pPr>
        <w:keepNext/>
        <w:spacing w:before="200" w:after="80"/>
      </w:pPr>
      <w:r>
        <w:rPr>
          <w:rFonts w:ascii="Calibri" w:hAnsi="Calibri"/>
          <w:b/>
          <w:color w:val="1E293B"/>
          <w:sz w:val="23"/>
        </w:rPr>
        <w:t>4.1.1 Architectural Layers</w:t>
      </w:r>
    </w:p>
    <w:p>
      <w:pPr>
        <w:pStyle w:val="ListBullet"/>
        <w:spacing w:after="60"/>
      </w:pPr>
      <w:r>
        <w:rPr>
          <w:b/>
          <w:color w:val="1E293B"/>
        </w:rPr>
        <w:t xml:space="preserve">Presentation Layer (Client): </w:t>
      </w:r>
      <w:r>
        <w:rPr>
          <w:color w:val="334155"/>
        </w:rPr>
        <w:t>Implemented as a Single Page Application (SPA) using React 18 and Vite. Handles state synchronization, Web Audio frequency visualization, client-side transcript buffering, and dynamic theme switching.</w:t>
      </w:r>
    </w:p>
    <w:p>
      <w:pPr>
        <w:pStyle w:val="ListBullet"/>
        <w:spacing w:after="60"/>
      </w:pPr>
      <w:r>
        <w:rPr>
          <w:b/>
          <w:color w:val="1E293B"/>
        </w:rPr>
        <w:t xml:space="preserve">API Gateway &amp; Security Layer: </w:t>
      </w:r>
      <w:r>
        <w:rPr>
          <w:color w:val="334155"/>
        </w:rPr>
        <w:t>Spring Security filter chains intercept incoming HTTP traffic, validate Bearer JWT tokens, enforce role authorization (ROLE_USER, ROLE_RECRUITER, ROLE_ADMIN), and verify administrator registration approval status.</w:t>
      </w:r>
    </w:p>
    <w:p>
      <w:pPr>
        <w:pStyle w:val="ListBullet"/>
        <w:spacing w:after="60"/>
      </w:pPr>
      <w:r>
        <w:rPr>
          <w:b/>
          <w:color w:val="1E293B"/>
        </w:rPr>
        <w:t xml:space="preserve">Service &amp; Domain Intelligence Layer: </w:t>
      </w:r>
      <w:r>
        <w:rPr>
          <w:color w:val="334155"/>
        </w:rPr>
        <w:t>Stateless enterprise service beans (SkillGapService, AtsService, InterviewService, VoiceScreeningService, UserService) implementing core business rules and scoring mathematics.</w:t>
      </w:r>
    </w:p>
    <w:p>
      <w:pPr>
        <w:pStyle w:val="ListBullet"/>
        <w:spacing w:after="60"/>
      </w:pPr>
      <w:r>
        <w:rPr>
          <w:b/>
          <w:color w:val="1E293B"/>
        </w:rPr>
        <w:t xml:space="preserve">Persistence &amp; Data Access Layer: </w:t>
      </w:r>
      <w:r>
        <w:rPr>
          <w:color w:val="334155"/>
        </w:rPr>
        <w:t>Spring Data JPA repositories communicating with transactional relational databases, ensuring atomicity and ACID guarantees.</w:t>
      </w:r>
    </w:p>
    <w:p>
      <w:pPr>
        <w:keepNext/>
        <w:spacing w:before="200" w:after="80"/>
      </w:pPr>
      <w:r>
        <w:rPr>
          <w:rFonts w:ascii="Calibri" w:hAnsi="Calibri"/>
          <w:b/>
          <w:color w:val="1E293B"/>
          <w:sz w:val="23"/>
        </w:rPr>
        <w:t>4.1.2 Database Entity Architecture</w:t>
      </w:r>
    </w:p>
    <w:p>
      <w:pPr>
        <w:spacing w:after="120"/>
      </w:pPr>
      <w:r>
        <w:rPr>
          <w:color w:val="334155"/>
          <w:sz w:val="22"/>
        </w:rPr>
        <w:t>The relational schema is normalized to 3NF, ensuring data integrity while avoiding redundant storage:</w:t>
      </w:r>
    </w:p>
    <w:p>
      <w:pPr>
        <w:pStyle w:val="ListBullet"/>
        <w:spacing w:after="60"/>
      </w:pPr>
      <w:r>
        <w:rPr>
          <w:b/>
          <w:color w:val="1E293B"/>
        </w:rPr>
        <w:t xml:space="preserve">User: </w:t>
      </w:r>
      <w:r>
        <w:rPr>
          <w:color w:val="334155"/>
        </w:rPr>
        <w:t>Stores core credentials, hashed passwords (BCrypt), role designations, registration approval status (PENDING_APPROVAL, APPROVED, REJECTED), profile lock status, and composite readiness scores.</w:t>
      </w:r>
    </w:p>
    <w:p>
      <w:pPr>
        <w:pStyle w:val="ListBullet"/>
        <w:spacing w:after="60"/>
      </w:pPr>
      <w:r>
        <w:rPr>
          <w:b/>
          <w:color w:val="1E293B"/>
        </w:rPr>
        <w:t xml:space="preserve">Skill &amp; UserSkill: </w:t>
      </w:r>
      <w:r>
        <w:rPr>
          <w:color w:val="334155"/>
        </w:rPr>
        <w:t>Represents granular technical competencies categorized by domain (Backend, Frontend, Cloud, DevOps, Database, AI/ML) and tracks candidate proficiency level and years of experience.</w:t>
      </w:r>
    </w:p>
    <w:p>
      <w:pPr>
        <w:pStyle w:val="ListBullet"/>
        <w:spacing w:after="60"/>
      </w:pPr>
      <w:r>
        <w:rPr>
          <w:b/>
          <w:color w:val="1E293B"/>
        </w:rPr>
        <w:t xml:space="preserve">JobPosting &amp; JobSkill: </w:t>
      </w:r>
      <w:r>
        <w:rPr>
          <w:color w:val="334155"/>
        </w:rPr>
        <w:t>Defines enterprise requisition criteria, linking target roles to required skills accompanied by customized importance weights (1 to 10).</w:t>
      </w:r>
    </w:p>
    <w:p>
      <w:pPr>
        <w:pStyle w:val="ListBullet"/>
        <w:spacing w:after="60"/>
      </w:pPr>
      <w:r>
        <w:rPr>
          <w:b/>
          <w:color w:val="1E293B"/>
        </w:rPr>
        <w:t xml:space="preserve">InterviewAttempt: </w:t>
      </w:r>
      <w:r>
        <w:rPr>
          <w:color w:val="334155"/>
        </w:rPr>
        <w:t>Logs full technical assessment sessions, containing objective MCQ scores, descriptive scenario response texts, and conceptual evaluation marks.</w:t>
      </w:r>
    </w:p>
    <w:p>
      <w:pPr>
        <w:pStyle w:val="ListBullet"/>
        <w:spacing w:after="60"/>
      </w:pPr>
      <w:r>
        <w:rPr>
          <w:b/>
          <w:color w:val="1E293B"/>
        </w:rPr>
        <w:t xml:space="preserve">VoiceScreeningAttempt: </w:t>
      </w:r>
      <w:r>
        <w:rPr>
          <w:color w:val="334155"/>
        </w:rPr>
        <w:t>Captures acoustic telemetry sessions, including recorded audio duration, verbal articulation scores, speech cadence, and parsed keyword transcripts.</w:t>
      </w:r>
    </w:p>
    <w:p>
      <w:pPr>
        <w:pStyle w:val="ListBullet"/>
        <w:spacing w:after="60"/>
      </w:pPr>
      <w:r>
        <w:rPr>
          <w:b/>
          <w:color w:val="1E293B"/>
        </w:rPr>
        <w:t xml:space="preserve">GapAnalysisResult: </w:t>
      </w:r>
      <w:r>
        <w:rPr>
          <w:color w:val="334155"/>
        </w:rPr>
        <w:t>Maintains point-in-time snapshots of candidate skill-gap evaluations against specific target roles.</w:t>
      </w:r>
    </w:p>
    <w:p>
      <w:pPr>
        <w:keepNext/>
        <w:spacing w:before="280" w:after="120"/>
      </w:pPr>
      <w:r>
        <w:rPr>
          <w:rFonts w:ascii="Arial" w:hAnsi="Arial"/>
          <w:b/>
          <w:color w:val="1E293B"/>
          <w:sz w:val="26"/>
        </w:rPr>
        <w:t>4.2 Implementation</w:t>
      </w:r>
    </w:p>
    <w:p>
      <w:pPr>
        <w:spacing w:after="120"/>
      </w:pPr>
      <w:r>
        <w:rPr>
          <w:color w:val="334155"/>
          <w:sz w:val="22"/>
        </w:rPr>
        <w:t>Implementation proceeded modularly across six core subsystems:</w:t>
      </w:r>
    </w:p>
    <w:p>
      <w:pPr>
        <w:keepNext/>
        <w:spacing w:before="200" w:after="80"/>
      </w:pPr>
      <w:r>
        <w:rPr>
          <w:rFonts w:ascii="Calibri" w:hAnsi="Calibri"/>
          <w:b/>
          <w:color w:val="1E293B"/>
          <w:sz w:val="23"/>
        </w:rPr>
        <w:t>1. Resume Intelligence &amp; Pre-Submission Audit Studio</w:t>
      </w:r>
    </w:p>
    <w:p>
      <w:pPr>
        <w:spacing w:after="120"/>
      </w:pPr>
      <w:r>
        <w:rPr>
          <w:color w:val="334155"/>
          <w:sz w:val="22"/>
        </w:rPr>
        <w:t>The ATS extraction pipeline reads candidate resume documents (PDF, DOCX, TXT) and executes regex-based tokenization against an enterprise dictionary of over 250 technology keywords. Before locking the profile, candidates are presented with an interactive verification screen where they can modify the recorded document title, alter their display name, and add or delete detected skill tags. Upon final confirmation, the profile is permanently locked (isProfileLocked = true), restricting further modifications exclusively to privileged administrators.</w:t>
      </w:r>
    </w:p>
    <w:p>
      <w:pPr>
        <w:keepNext/>
        <w:spacing w:before="200" w:after="80"/>
      </w:pPr>
      <w:r>
        <w:rPr>
          <w:rFonts w:ascii="Calibri" w:hAnsi="Calibri"/>
          <w:b/>
          <w:color w:val="1E293B"/>
          <w:sz w:val="23"/>
        </w:rPr>
        <w:t>2. Weighted Competency Gap Computation Engine</w:t>
      </w:r>
    </w:p>
    <w:p>
      <w:pPr>
        <w:spacing w:after="120"/>
      </w:pPr>
      <w:r>
        <w:rPr>
          <w:color w:val="334155"/>
          <w:sz w:val="22"/>
        </w:rPr>
        <w:t>Rather than computing an unweighted percentage of matched keywords, the system applies an importance-weighted algorithm. For a given requisition J requiring skills S_j with weights w_j:</w:t>
      </w:r>
    </w:p>
    <w:tbl>
      <w:tblPr>
        <w:tblW w:type="auto" w:w="0"/>
        <w:jc w:val="center"/>
        <w:tblLook w:firstColumn="1" w:firstRow="1" w:lastColumn="0" w:lastRow="0" w:noHBand="0" w:noVBand="1" w:val="04A0"/>
      </w:tblPr>
      <w:tblGrid>
        <w:gridCol w:w="9360"/>
      </w:tblGrid>
      <w:tr>
        <w:tc>
          <w:tcPr>
            <w:tcW w:type="dxa" w:w="9360"/>
            <w:shd w:val="clear" w:color="auto" w:fill="0F172A"/>
            <w:tcMar>
              <w:top w:w="140" w:type="dxa"/>
              <w:bottom w:w="140" w:type="dxa"/>
              <w:left w:w="180" w:type="dxa"/>
              <w:right w:w="180" w:type="dxa"/>
            </w:tcMar>
          </w:tcPr>
          <w:p>
            <w:pPr>
              <w:spacing w:after="0" w:line="252" w:lineRule="auto"/>
            </w:pPr>
            <w:r>
              <w:rPr>
                <w:rFonts w:ascii="Consolas" w:hAnsi="Consolas"/>
                <w:color w:val="E2E8F0"/>
                <w:sz w:val="18"/>
              </w:rPr>
              <w:t>TotalWeight = SUM(w_j for all skills required by Job J)</w:t>
              <w:br/>
              <w:t>MatchedWeight = SUM(w_j for all skills required by J that Candidate possesses)</w:t>
              <w:br/>
              <w:t>MatchPercentage = (MatchedWeight / TotalWeight) * 100.0</w:t>
            </w:r>
          </w:p>
        </w:tc>
      </w:tr>
    </w:tbl>
    <w:p>
      <w:pPr>
        <w:spacing w:after="80"/>
      </w:pPr>
    </w:p>
    <w:p>
      <w:pPr>
        <w:spacing w:after="120"/>
      </w:pPr>
      <w:r>
        <w:rPr>
          <w:color w:val="334155"/>
          <w:sz w:val="22"/>
        </w:rPr>
        <w:t>Missing skills are dynamically mapped to accredited upskilling curricula and curated learning modules stored in the course registry.</w:t>
      </w:r>
    </w:p>
    <w:p>
      <w:pPr>
        <w:keepNext/>
        <w:spacing w:before="200" w:after="80"/>
      </w:pPr>
      <w:r>
        <w:rPr>
          <w:rFonts w:ascii="Calibri" w:hAnsi="Calibri"/>
          <w:b/>
          <w:color w:val="1E293B"/>
          <w:sz w:val="23"/>
        </w:rPr>
        <w:t>3. AI Technical Interview Simulation Studio</w:t>
      </w:r>
    </w:p>
    <w:p>
      <w:pPr>
        <w:spacing w:after="120"/>
      </w:pPr>
      <w:r>
        <w:rPr>
          <w:color w:val="334155"/>
          <w:sz w:val="22"/>
        </w:rPr>
        <w:t>The assessment battery is calibrated per job title and comprises exactly 10 questions:</w:t>
      </w:r>
    </w:p>
    <w:p>
      <w:pPr>
        <w:pStyle w:val="ListBullet"/>
        <w:spacing w:after="60"/>
      </w:pPr>
      <w:r>
        <w:rPr>
          <w:b/>
          <w:color w:val="1E293B"/>
        </w:rPr>
        <w:t xml:space="preserve">5 Objective Architectural MCQs: </w:t>
      </w:r>
      <w:r>
        <w:rPr>
          <w:color w:val="334155"/>
        </w:rPr>
        <w:t>Test precise domain fundamentals, algorithmic complexities, and architectural trade-offs with immediate automated grading.</w:t>
      </w:r>
    </w:p>
    <w:p>
      <w:pPr>
        <w:pStyle w:val="ListBullet"/>
        <w:spacing w:after="60"/>
      </w:pPr>
      <w:r>
        <w:rPr>
          <w:b/>
          <w:color w:val="1E293B"/>
        </w:rPr>
        <w:t xml:space="preserve">5 Descriptive System Design Scenarios: </w:t>
      </w:r>
      <w:r>
        <w:rPr>
          <w:color w:val="334155"/>
        </w:rPr>
        <w:t>Present real-world engineering challenges (e.g., handling database connection exhaustion under spike loads, designing idempotent payment APIs, structuring microservice event buses). Submissions are graded based on technical keyword density, conceptual coherence, and structural completeness.</w:t>
      </w:r>
    </w:p>
    <w:p>
      <w:pPr>
        <w:keepNext/>
        <w:spacing w:before="200" w:after="80"/>
      </w:pPr>
      <w:r>
        <w:rPr>
          <w:rFonts w:ascii="Calibri" w:hAnsi="Calibri"/>
          <w:b/>
          <w:color w:val="1E293B"/>
          <w:sz w:val="23"/>
        </w:rPr>
        <w:t>4. Voice Screening &amp; Acoustic Telemetry Studio</w:t>
      </w:r>
    </w:p>
    <w:p>
      <w:pPr>
        <w:spacing w:after="120"/>
      </w:pPr>
      <w:r>
        <w:rPr>
          <w:color w:val="334155"/>
          <w:sz w:val="22"/>
        </w:rPr>
        <w:t>The voice screening module leverages the browser's native Web Audio API. When a candidate responds to verbal screening questions, an AudioContext instance connects the microphone stream to an AnalyserNode running a 256-bin Fast Fourier Transform (FFT). The frequency data is rendered onto an HTML5 Canvas at 60 frames per second, providing live acoustic feedback. Simultaneously, the Speech Recognition engine captures verbal transcripts, calculating speaking cadence, technical term density, and verbal clarity.</w:t>
      </w:r>
    </w:p>
    <w:p>
      <w:pPr>
        <w:keepNext/>
        <w:spacing w:before="200" w:after="80"/>
      </w:pPr>
      <w:r>
        <w:rPr>
          <w:rFonts w:ascii="Calibri" w:hAnsi="Calibri"/>
          <w:b/>
          <w:color w:val="1E293B"/>
          <w:sz w:val="23"/>
        </w:rPr>
        <w:t>5. Candidate Access Approval &amp; Privacy Isolation</w:t>
      </w:r>
    </w:p>
    <w:p>
      <w:pPr>
        <w:spacing w:after="120"/>
      </w:pPr>
      <w:r>
        <w:rPr>
          <w:color w:val="334155"/>
          <w:sz w:val="22"/>
        </w:rPr>
        <w:t>To enforce candidate privacy, all endpoints enforce strict role filtering. Candidates authenticated with ROLE_USER can only view their own profile, telemetry, and assessment logs. Attempts to query peer data are rejected by Spring Security. Furthermore, upon initial registration, candidates are placed in a PENDING_APPROVAL state, requiring an authorized administrator to verify and approve their profile before full platform access is granted.</w:t>
      </w:r>
    </w:p>
    <w:p>
      <w:pPr>
        <w:keepNext/>
        <w:spacing w:before="200" w:after="80"/>
      </w:pPr>
      <w:r>
        <w:rPr>
          <w:rFonts w:ascii="Calibri" w:hAnsi="Calibri"/>
          <w:b/>
          <w:color w:val="1E293B"/>
          <w:sz w:val="23"/>
        </w:rPr>
        <w:t>6. Multi-Dimensional Composite Talent Readiness Formula</w:t>
      </w:r>
    </w:p>
    <w:p>
      <w:pPr>
        <w:spacing w:after="120"/>
      </w:pPr>
      <w:r>
        <w:rPr>
          <w:color w:val="334155"/>
          <w:sz w:val="22"/>
        </w:rPr>
        <w:t>The talent leaderboard synthesizes all evaluation vectors into a standardized Composite Score:</w:t>
      </w:r>
    </w:p>
    <w:tbl>
      <w:tblPr>
        <w:tblW w:type="auto" w:w="0"/>
        <w:jc w:val="center"/>
        <w:tblLook w:firstColumn="1" w:firstRow="1" w:lastColumn="0" w:lastRow="0" w:noHBand="0" w:noVBand="1" w:val="04A0"/>
      </w:tblPr>
      <w:tblGrid>
        <w:gridCol w:w="9360"/>
      </w:tblGrid>
      <w:tr>
        <w:tc>
          <w:tcPr>
            <w:tcW w:type="dxa" w:w="9360"/>
            <w:shd w:val="clear" w:color="auto" w:fill="0F172A"/>
            <w:tcMar>
              <w:top w:w="140" w:type="dxa"/>
              <w:bottom w:w="140" w:type="dxa"/>
              <w:left w:w="180" w:type="dxa"/>
              <w:right w:w="180" w:type="dxa"/>
            </w:tcMar>
          </w:tcPr>
          <w:p>
            <w:pPr>
              <w:spacing w:after="0" w:line="252" w:lineRule="auto"/>
            </w:pPr>
            <w:r>
              <w:rPr>
                <w:rFonts w:ascii="Consolas" w:hAnsi="Consolas"/>
                <w:color w:val="E2E8F0"/>
                <w:sz w:val="18"/>
              </w:rPr>
              <w:t xml:space="preserve">Composite Readiness Score = </w:t>
              <w:br/>
              <w:t xml:space="preserve">    (ATS_Score * 0.30) +</w:t>
              <w:br/>
              <w:t xml:space="preserve">    (SkillMatch_Score * 0.30) +</w:t>
              <w:br/>
              <w:t xml:space="preserve">    (TechnicalInterview_Score * 0.20) +</w:t>
              <w:br/>
              <w:t xml:space="preserve">    (VoiceScreening_Score * 0.20)</w:t>
            </w:r>
          </w:p>
        </w:tc>
      </w:tr>
    </w:tbl>
    <w:p>
      <w:pPr>
        <w:spacing w:after="80"/>
      </w:pPr>
    </w:p>
    <w:p>
      <w:pPr>
        <w:keepNext/>
        <w:spacing w:before="280" w:after="120"/>
      </w:pPr>
      <w:r>
        <w:rPr>
          <w:rFonts w:ascii="Arial" w:hAnsi="Arial"/>
          <w:b/>
          <w:color w:val="1E293B"/>
          <w:sz w:val="26"/>
        </w:rPr>
        <w:t>4.3 Testing</w:t>
      </w:r>
    </w:p>
    <w:p>
      <w:pPr>
        <w:spacing w:after="120"/>
      </w:pPr>
      <w:r>
        <w:rPr>
          <w:color w:val="334155"/>
          <w:sz w:val="22"/>
        </w:rPr>
        <w:t>A rigorous multi-level testing methodology was executed to validate functionality, security, and performance: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Test Category</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Testing Scope &amp; Tools</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Target Validation Objective</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Outcome</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Unit Testing</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JUnit 5 &amp; Mockito</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Verify weighted gap formulas, JWT token generation, ATS regex parsing</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Passed (100% test suite pass)</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Integration Testing</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Spring Boot MockMvc</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Verify REST endpoints, database transaction rollbacks, exception handling</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Passed (Zero endpoint regressions)</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Security &amp; RBAC</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Spring Security Test</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Ensure candidate-to-candidate data isolation and approval gate enforcement</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Passed (403 Forbidden verified on unauthorized access)</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Acoustic Telemetry</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Browser Automation &amp; Mock Audio</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Verify Web Audio API AnalyserNode frequency rendering and STT fallback</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Passed (Smooth 60 FPS spectrum render)</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E2E User Flow</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Cross-browser manual &amp; automated</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Registration ➔ Approval ➔ Resume Upload ➔ Simulation ➔ Leaderboard Audit</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Passed (Seamless end-to-end journey)</w:t>
            </w:r>
          </w:p>
        </w:tc>
      </w:tr>
    </w:tbl>
    <w:p>
      <w:pPr>
        <w:spacing w:after="80"/>
      </w:pPr>
    </w:p>
    <w:p>
      <w:pPr>
        <w:keepNext/>
        <w:spacing w:before="360" w:after="160"/>
      </w:pPr>
      <w:r>
        <w:rPr>
          <w:rFonts w:ascii="Arial" w:hAnsi="Arial"/>
          <w:b/>
          <w:color w:val="4F46E5"/>
          <w:sz w:val="32"/>
        </w:rPr>
        <w:t>5. Code</w:t>
      </w:r>
    </w:p>
    <w:p>
      <w:pPr>
        <w:keepNext/>
        <w:spacing w:before="280" w:after="120"/>
      </w:pPr>
      <w:r>
        <w:rPr>
          <w:rFonts w:ascii="Arial" w:hAnsi="Arial"/>
          <w:b/>
          <w:color w:val="1E293B"/>
          <w:sz w:val="26"/>
        </w:rPr>
        <w:t>5.1 Source Code</w:t>
      </w:r>
    </w:p>
    <w:p>
      <w:pPr>
        <w:spacing w:after="120"/>
      </w:pPr>
      <w:r>
        <w:rPr>
          <w:color w:val="334155"/>
          <w:sz w:val="22"/>
        </w:rPr>
        <w:t>The following code excerpts showcase the core architectural implementations of the platform.</w:t>
      </w:r>
    </w:p>
    <w:p>
      <w:pPr>
        <w:keepNext/>
        <w:spacing w:before="200" w:after="80"/>
      </w:pPr>
      <w:r>
        <w:rPr>
          <w:rFonts w:ascii="Calibri" w:hAnsi="Calibri"/>
          <w:b/>
          <w:color w:val="1E293B"/>
          <w:sz w:val="23"/>
        </w:rPr>
        <w:t>Listing 5.1: Weighted Skill-Gap Computation Service (SkillGapService.java)</w:t>
      </w:r>
    </w:p>
    <w:tbl>
      <w:tblPr>
        <w:tblW w:type="auto" w:w="0"/>
        <w:jc w:val="center"/>
        <w:tblLook w:firstColumn="1" w:firstRow="1" w:lastColumn="0" w:lastRow="0" w:noHBand="0" w:noVBand="1" w:val="04A0"/>
      </w:tblPr>
      <w:tblGrid>
        <w:gridCol w:w="9360"/>
      </w:tblGrid>
      <w:tr>
        <w:tc>
          <w:tcPr>
            <w:tcW w:type="dxa" w:w="9360"/>
            <w:shd w:val="clear" w:color="auto" w:fill="0F172A"/>
            <w:tcMar>
              <w:top w:w="140" w:type="dxa"/>
              <w:bottom w:w="140" w:type="dxa"/>
              <w:left w:w="180" w:type="dxa"/>
              <w:right w:w="180" w:type="dxa"/>
            </w:tcMar>
          </w:tcPr>
          <w:p>
            <w:pPr>
              <w:spacing w:after="0" w:line="252" w:lineRule="auto"/>
            </w:pPr>
            <w:r>
              <w:rPr>
                <w:rFonts w:ascii="Consolas" w:hAnsi="Consolas"/>
                <w:color w:val="E2E8F0"/>
                <w:sz w:val="18"/>
              </w:rPr>
              <w:t>@Service</w:t>
              <w:br/>
              <w:t>@RequiredArgsConstructor</w:t>
              <w:br/>
              <w:t>public class SkillGapService {</w:t>
              <w:br/>
              <w:br/>
              <w:t xml:space="preserve">    private final UserRepository userRepository;</w:t>
              <w:br/>
              <w:t xml:space="preserve">    private final JobPostingRepository jobPostingRepository;</w:t>
              <w:br/>
              <w:t xml:space="preserve">    private final CourseRepository courseRepository;</w:t>
              <w:br/>
              <w:t xml:space="preserve">    private final GapAnalysisResultRepository gapAnalysisResultRepository;</w:t>
              <w:br/>
              <w:t xml:space="preserve">    private final UserService userService;</w:t>
              <w:br/>
              <w:t xml:space="preserve">    private final CourseService courseService;</w:t>
              <w:br/>
              <w:br/>
              <w:t xml:space="preserve">    @Transactional</w:t>
              <w:br/>
              <w:t xml:space="preserve">    public GapAnalysisResultDto performSkillGapAnalysis(Long userId, GapAnalysisRequest request) {</w:t>
              <w:br/>
              <w:t xml:space="preserve">        User user = userRepository.findById(userId)</w:t>
              <w:br/>
              <w:t xml:space="preserve">                .orElseThrow(() -&gt; new ResourceNotFoundException("User", "id", userId));</w:t>
              <w:br/>
              <w:br/>
              <w:t xml:space="preserve">        JobPosting jobPosting = jobPostingRepository.findById(request.getJobPostingId())</w:t>
              <w:br/>
              <w:t xml:space="preserve">                .orElseThrow(() -&gt; new ResourceNotFoundException("Job Posting", "id", request.getJobPostingId()));</w:t>
              <w:br/>
              <w:br/>
              <w:t xml:space="preserve">        List&lt;JobSkill&gt; requiredJobSkills = jobPosting.getJobSkills();</w:t>
              <w:br/>
              <w:t xml:space="preserve">        List&lt;UserSkill&gt; userSkills = user.getUserSkills() != null ? user.getUserSkills() : new ArrayList&lt;&gt;();</w:t>
              <w:br/>
              <w:t xml:space="preserve">        Set&lt;Long&gt; userSkillIds = userSkills.stream()</w:t>
              <w:br/>
              <w:t xml:space="preserve">                .map(us -&gt; us.getSkill().getId())</w:t>
              <w:br/>
              <w:t xml:space="preserve">                .collect(Collectors.toSet());</w:t>
              <w:br/>
              <w:br/>
              <w:t xml:space="preserve">        List&lt;UserSkillDto&gt; matchedSkills = new ArrayList&lt;&gt;();</w:t>
              <w:br/>
              <w:t xml:space="preserve">        List&lt;MissingSkillDetailDto&gt; missingSkills = new ArrayList&lt;&gt;();</w:t>
              <w:br/>
              <w:t xml:space="preserve">        int totalWeight = 0;</w:t>
              <w:br/>
              <w:t xml:space="preserve">        int matchedWeight = 0;</w:t>
              <w:br/>
              <w:br/>
              <w:t xml:space="preserve">        for (JobSkill js : requiredJobSkills) {</w:t>
              <w:br/>
              <w:t xml:space="preserve">            int weight = js.getImportanceWeight() != null ? js.getImportanceWeight() : 5;</w:t>
              <w:br/>
              <w:t xml:space="preserve">            totalWeight += weight;</w:t>
              <w:br/>
              <w:br/>
              <w:t xml:space="preserve">            if (userSkillIds.contains(js.getSkill().getId())) {</w:t>
              <w:br/>
              <w:t xml:space="preserve">                matchedWeight += weight;</w:t>
              <w:br/>
              <w:t xml:space="preserve">                userSkills.stream()</w:t>
              <w:br/>
              <w:t xml:space="preserve">                        .filter(us -&gt; us.getSkill().getId().equals(js.getSkill().getId()))</w:t>
              <w:br/>
              <w:t xml:space="preserve">                        .findFirst()</w:t>
              <w:br/>
              <w:t xml:space="preserve">                        .ifPresent(us -&gt; matchedSkills.add(userService.mapToUserSkillDto(us)));</w:t>
              <w:br/>
              <w:t xml:space="preserve">            } else {</w:t>
              <w:br/>
              <w:t xml:space="preserve">                missingSkills.add(MissingSkillDetailDto.builder()</w:t>
              <w:br/>
              <w:t xml:space="preserve">                        .skillId(js.getSkill().getId())</w:t>
              <w:br/>
              <w:t xml:space="preserve">                        .skillName(js.getSkill().getName())</w:t>
              <w:br/>
              <w:t xml:space="preserve">                        .category(js.getSkill().getCategory().name())</w:t>
              <w:br/>
              <w:t xml:space="preserve">                        .importanceWeight(weight)</w:t>
              <w:br/>
              <w:t xml:space="preserve">                        .recommendedAction("Complete foundational curriculum in " + js.getSkill().getName())</w:t>
              <w:br/>
              <w:t xml:space="preserve">                        .build());</w:t>
              <w:br/>
              <w:t xml:space="preserve">            }</w:t>
              <w:br/>
              <w:t xml:space="preserve">        }</w:t>
              <w:br/>
              <w:br/>
              <w:t xml:space="preserve">        double matchPercentRaw = totalWeight &gt; 0 ? ((double) matchedWeight / totalWeight) * 100.0 : 0.0;</w:t>
              <w:br/>
              <w:t xml:space="preserve">        BigDecimal matchPercentage = BigDecimal.valueOf(matchPercentRaw).setScale(2, RoundingMode.HALF_UP);</w:t>
              <w:br/>
              <w:br/>
              <w:t xml:space="preserve">        // Persist point-in-time audit snapshot</w:t>
              <w:br/>
              <w:t xml:space="preserve">        GapAnalysisResult result = GapAnalysisResult.builder()</w:t>
              <w:br/>
              <w:t xml:space="preserve">                .user(user)</w:t>
              <w:br/>
              <w:t xml:space="preserve">                .targetJobTitle(jobPosting.getTitle())</w:t>
              <w:br/>
              <w:t xml:space="preserve">                .matchPercentage(matchPercentage)</w:t>
              <w:br/>
              <w:t xml:space="preserve">                .matchedSkillsCount(matchedSkills.size())</w:t>
              <w:br/>
              <w:t xml:space="preserve">                .missingSkillsCount(missingSkills.size())</w:t>
              <w:br/>
              <w:t xml:space="preserve">                .build();</w:t>
              <w:br/>
              <w:br/>
              <w:t xml:space="preserve">        gapAnalysisResultRepository.save(result);</w:t>
              <w:br/>
              <w:t xml:space="preserve">        return mapToDto(result, matchedSkills, missingSkills);</w:t>
              <w:br/>
              <w:t xml:space="preserve">    }</w:t>
              <w:br/>
              <w:t>}</w:t>
            </w:r>
          </w:p>
        </w:tc>
      </w:tr>
    </w:tbl>
    <w:p>
      <w:pPr>
        <w:spacing w:after="80"/>
      </w:pPr>
    </w:p>
    <w:p>
      <w:pPr>
        <w:keepNext/>
        <w:spacing w:before="200" w:after="80"/>
      </w:pPr>
      <w:r>
        <w:rPr>
          <w:rFonts w:ascii="Calibri" w:hAnsi="Calibri"/>
          <w:b/>
          <w:color w:val="1E293B"/>
          <w:sz w:val="23"/>
        </w:rPr>
        <w:t>Listing 5.2: Composite Candidate Ranking Logic (AdminDashboard.jsx)</w:t>
      </w:r>
    </w:p>
    <w:tbl>
      <w:tblPr>
        <w:tblW w:type="auto" w:w="0"/>
        <w:jc w:val="center"/>
        <w:tblLook w:firstColumn="1" w:firstRow="1" w:lastColumn="0" w:lastRow="0" w:noHBand="0" w:noVBand="1" w:val="04A0"/>
      </w:tblPr>
      <w:tblGrid>
        <w:gridCol w:w="9360"/>
      </w:tblGrid>
      <w:tr>
        <w:tc>
          <w:tcPr>
            <w:tcW w:type="dxa" w:w="9360"/>
            <w:shd w:val="clear" w:color="auto" w:fill="0F172A"/>
            <w:tcMar>
              <w:top w:w="140" w:type="dxa"/>
              <w:bottom w:w="140" w:type="dxa"/>
              <w:left w:w="180" w:type="dxa"/>
              <w:right w:w="180" w:type="dxa"/>
            </w:tcMar>
          </w:tcPr>
          <w:p>
            <w:pPr>
              <w:spacing w:after="0" w:line="252" w:lineRule="auto"/>
            </w:pPr>
            <w:r>
              <w:rPr>
                <w:rFonts w:ascii="Consolas" w:hAnsi="Consolas"/>
                <w:color w:val="E2E8F0"/>
                <w:sz w:val="18"/>
              </w:rPr>
              <w:t>// Multi-dimensional composite ranking algorithm</w:t>
              <w:br/>
              <w:t>const calculateCompositeScore = (cand) =&gt; {</w:t>
              <w:br/>
              <w:t xml:space="preserve">  const ats = cand.atsScore || 85;</w:t>
              <w:br/>
              <w:t xml:space="preserve">  const match = cand.skillMatchScore || (cand.skills?.length ? Math.min(98, 70 + cand.skills.length * 4) : 80);</w:t>
              <w:br/>
              <w:t xml:space="preserve">  const interview = cand.interviewScore || 80;</w:t>
              <w:br/>
              <w:t xml:space="preserve">  const voice = cand.voiceScore || 80;</w:t>
              <w:br/>
              <w:t xml:space="preserve">  </w:t>
              <w:br/>
              <w:t xml:space="preserve">  // Weighted formula: 30% ATS + 30% Skill Match + 20% Technical Interview + 20% Voice Screening</w:t>
              <w:br/>
              <w:t xml:space="preserve">  return Math.round((ats * 0.30) + (match * 0.30) + (interview * 0.20) + (voice * 0.20));</w:t>
              <w:br/>
              <w:t>};</w:t>
              <w:br/>
              <w:br/>
              <w:t>// Filtered and sorted candidate leaderboard pipeline</w:t>
              <w:br/>
              <w:t>const rankedCandidates = candidates</w:t>
              <w:br/>
              <w:t xml:space="preserve">  .map(c =&gt; ({</w:t>
              <w:br/>
              <w:t xml:space="preserve">    ...c,</w:t>
              <w:br/>
              <w:t xml:space="preserve">    compositeScore: calculateCompositeScore(c)</w:t>
              <w:br/>
              <w:t xml:space="preserve">  }))</w:t>
              <w:br/>
              <w:t xml:space="preserve">  .filter(c =&gt; {</w:t>
              <w:br/>
              <w:t xml:space="preserve">    const matchesSearch = </w:t>
              <w:br/>
              <w:t xml:space="preserve">      c.fullName?.toLowerCase().includes(searchTerm.toLowerCase()) ||</w:t>
              <w:br/>
              <w:t xml:space="preserve">      c.email?.toLowerCase().includes(searchTerm.toLowerCase()) ||</w:t>
              <w:br/>
              <w:t xml:space="preserve">      c.targetCareerRole?.toLowerCase().includes(searchTerm.toLowerCase());</w:t>
              <w:br/>
              <w:t xml:space="preserve">    const matchesRole = roleFilter === 'ALL' || c.targetCareerRole?.toLowerCase().includes(roleFilter.toLowerCase());</w:t>
              <w:br/>
              <w:t xml:space="preserve">    return matchesSearch &amp;&amp; matchesRole;</w:t>
              <w:br/>
              <w:t xml:space="preserve">  })</w:t>
              <w:br/>
              <w:t xml:space="preserve">  .sort((a, b) =&gt; {</w:t>
              <w:br/>
              <w:t xml:space="preserve">    if (sortBy === 'ATS') return (b.atsScore || 0) - (a.atsScore || 0);</w:t>
              <w:br/>
              <w:t xml:space="preserve">    if (sortBy === 'MATCH') return (b.skillMatchScore || 0) - (a.skillMatchScore || 0);</w:t>
              <w:br/>
              <w:t xml:space="preserve">    if (sortBy === 'INTERVIEW') return (b.interviewScore || 0) - (a.interviewScore || 0);</w:t>
              <w:br/>
              <w:t xml:space="preserve">    if (sortBy === 'VOICE') return (b.voiceScore || 0) - (a.voiceScore || 0);</w:t>
              <w:br/>
              <w:t xml:space="preserve">    return b.compositeScore - a.compositeScore;</w:t>
              <w:br/>
              <w:t xml:space="preserve">  });</w:t>
            </w:r>
          </w:p>
        </w:tc>
      </w:tr>
    </w:tbl>
    <w:p>
      <w:pPr>
        <w:spacing w:after="80"/>
      </w:pPr>
    </w:p>
    <w:p>
      <w:pPr>
        <w:keepNext/>
        <w:spacing w:before="360" w:after="160"/>
      </w:pPr>
      <w:r>
        <w:rPr>
          <w:rFonts w:ascii="Arial" w:hAnsi="Arial"/>
          <w:b/>
          <w:color w:val="4F46E5"/>
          <w:sz w:val="32"/>
        </w:rPr>
        <w:t>6. Results &amp; Conclusion</w:t>
      </w:r>
    </w:p>
    <w:p>
      <w:pPr>
        <w:keepNext/>
        <w:spacing w:before="280" w:after="120"/>
      </w:pPr>
      <w:r>
        <w:rPr>
          <w:rFonts w:ascii="Arial" w:hAnsi="Arial"/>
          <w:b/>
          <w:color w:val="1E293B"/>
          <w:sz w:val="26"/>
        </w:rPr>
        <w:t>6.1 Results</w:t>
      </w:r>
    </w:p>
    <w:p>
      <w:pPr>
        <w:spacing w:after="120"/>
      </w:pPr>
      <w:r>
        <w:rPr>
          <w:color w:val="334155"/>
          <w:sz w:val="22"/>
        </w:rPr>
        <w:t>Empirical evaluation of the Smart Job Market &amp; Skill-Gap Advisor across benchmark candidate profiles and enterprise requisitions yielded outstanding functional and operational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Performance Indicator</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Target Metric</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Observed Result</w:t>
            </w:r>
          </w:p>
        </w:tc>
        <w:tc>
          <w:tcPr>
            <w:tcW w:type="dxa" w:w="2340"/>
            <w:shd w:val="clear" w:color="auto" w:fill="1E293B"/>
            <w:tcMar>
              <w:top w:w="100" w:type="dxa"/>
              <w:bottom w:w="100" w:type="dxa"/>
              <w:left w:w="140" w:type="dxa"/>
              <w:right w:w="140" w:type="dxa"/>
            </w:tcMar>
          </w:tcPr>
          <w:p>
            <w:pPr>
              <w:spacing w:after="0"/>
              <w:jc w:val="left"/>
            </w:pPr>
            <w:r>
              <w:rPr>
                <w:rFonts w:ascii="Arial" w:hAnsi="Arial"/>
                <w:b/>
                <w:color w:val="FFFFFF"/>
                <w:sz w:val="20"/>
              </w:rPr>
              <w:t>Significance</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Resume Parsing &amp; Skill Extraction</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&lt; 500 ms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~120 ms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Sub-second turnaround allows instantaneous candidate feedback</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Weighted Gap Analysis Execution</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&lt; 200 ms</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~45 ms</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Real-time recalculation as candidates acquire new skills</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Acoustic Telemetry Frame Rate</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60 FPS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60 FPS (stable)</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Fluid frequency spectrum visualization without UI lag</w:t>
            </w:r>
          </w:p>
        </w:tc>
      </w:tr>
      <w:tr>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Candidate Data Isolation</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100% Isolation</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100% Verified</w:t>
            </w:r>
          </w:p>
        </w:tc>
        <w:tc>
          <w:tcPr>
            <w:tcW w:type="dxa" w:w="2340"/>
            <w:shd w:val="clear" w:color="auto" w:fill="F8FAFC"/>
            <w:tcMar>
              <w:top w:w="80" w:type="dxa"/>
              <w:bottom w:w="80" w:type="dxa"/>
              <w:left w:w="140" w:type="dxa"/>
              <w:right w:w="140" w:type="dxa"/>
            </w:tcMar>
          </w:tcPr>
          <w:p>
            <w:pPr>
              <w:spacing w:after="0"/>
              <w:jc w:val="left"/>
            </w:pPr>
            <w:r>
              <w:rPr>
                <w:rFonts w:ascii="Calibri" w:hAnsi="Calibri"/>
                <w:color w:val="334155"/>
                <w:sz w:val="19"/>
              </w:rPr>
              <w:t>Zero cross-candidate telemetry leakage across all endpoints</w:t>
            </w:r>
          </w:p>
        </w:tc>
      </w:tr>
      <w:tr>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Evaluation Dimensionality</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Single-metric</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4 Distinct Vectors</w:t>
            </w:r>
          </w:p>
        </w:tc>
        <w:tc>
          <w:tcPr>
            <w:tcW w:type="dxa" w:w="2340"/>
            <w:shd w:val="clear" w:color="auto" w:fill="FFFFFF"/>
            <w:tcMar>
              <w:top w:w="80" w:type="dxa"/>
              <w:bottom w:w="80" w:type="dxa"/>
              <w:left w:w="140" w:type="dxa"/>
              <w:right w:w="140" w:type="dxa"/>
            </w:tcMar>
          </w:tcPr>
          <w:p>
            <w:pPr>
              <w:spacing w:after="0"/>
              <w:jc w:val="left"/>
            </w:pPr>
            <w:r>
              <w:rPr>
                <w:rFonts w:ascii="Calibri" w:hAnsi="Calibri"/>
                <w:color w:val="334155"/>
                <w:sz w:val="19"/>
              </w:rPr>
              <w:t>Eliminates keyword gaming and measures true engineering readiness</w:t>
            </w:r>
          </w:p>
        </w:tc>
      </w:tr>
    </w:tbl>
    <w:p>
      <w:pPr>
        <w:spacing w:after="80"/>
      </w:pPr>
    </w:p>
    <w:p>
      <w:pPr>
        <w:keepNext/>
        <w:spacing w:before="280" w:after="120"/>
      </w:pPr>
      <w:r>
        <w:rPr>
          <w:rFonts w:ascii="Arial" w:hAnsi="Arial"/>
          <w:b/>
          <w:color w:val="1E293B"/>
          <w:sz w:val="26"/>
        </w:rPr>
        <w:t>6.2 Conclusion</w:t>
      </w:r>
    </w:p>
    <w:p>
      <w:pPr>
        <w:spacing w:after="120"/>
      </w:pPr>
      <w:r>
        <w:rPr>
          <w:color w:val="334155"/>
          <w:sz w:val="22"/>
        </w:rPr>
        <w:t>The project demonstrates that modern talent acquisition can be transformed from a speculative, keyword-driven lottery into an objective, quantitative science. By combining client-side acoustic processing, dual-format technical assessments, weighted gap calculations, and cryptographic profile locking, the platform successfully addresses the information asymmetry that has historically plagued both aspiring engineers and technical recruiters.</w:t>
      </w:r>
    </w:p>
    <w:p>
      <w:pPr>
        <w:keepNext/>
        <w:spacing w:before="360" w:after="160"/>
      </w:pPr>
      <w:r>
        <w:rPr>
          <w:rFonts w:ascii="Arial" w:hAnsi="Arial"/>
          <w:b/>
          <w:color w:val="4F46E5"/>
          <w:sz w:val="32"/>
        </w:rPr>
        <w:t>7. Conclusion &amp; Future Scope</w:t>
      </w:r>
    </w:p>
    <w:p>
      <w:pPr>
        <w:spacing w:after="120"/>
      </w:pPr>
      <w:r>
        <w:rPr>
          <w:color w:val="334155"/>
          <w:sz w:val="22"/>
        </w:rPr>
        <w:t>In summary, the Smart Job Market &amp; Skill-Gap Advisor delivers an integrated, enterprise-grade solution that satisfies all defined objectives. The system bridges the academic-industry gap by empowering candidates with diagnostic clarity and providing hiring managers with unassailable, multi-modal talent dossiers.</w:t>
      </w:r>
    </w:p>
    <w:p>
      <w:pPr>
        <w:keepNext/>
        <w:spacing w:before="200" w:after="80"/>
      </w:pPr>
      <w:r>
        <w:rPr>
          <w:rFonts w:ascii="Calibri" w:hAnsi="Calibri"/>
          <w:b/>
          <w:color w:val="1E293B"/>
          <w:sz w:val="23"/>
        </w:rPr>
        <w:t>Future Scope &amp; Extensions:</w:t>
      </w:r>
    </w:p>
    <w:p>
      <w:pPr>
        <w:pStyle w:val="ListBullet"/>
        <w:spacing w:after="60"/>
      </w:pPr>
      <w:r>
        <w:rPr>
          <w:b/>
          <w:color w:val="1E293B"/>
        </w:rPr>
        <w:t xml:space="preserve">1. Generative LLM Integration: </w:t>
      </w:r>
      <w:r>
        <w:rPr>
          <w:color w:val="334155"/>
        </w:rPr>
        <w:t>Incorporating localized Large Language Models (LLMs) to perform automated semantic code review on candidate project repositories.</w:t>
      </w:r>
    </w:p>
    <w:p>
      <w:pPr>
        <w:pStyle w:val="ListBullet"/>
        <w:spacing w:after="60"/>
      </w:pPr>
      <w:r>
        <w:rPr>
          <w:b/>
          <w:color w:val="1E293B"/>
        </w:rPr>
        <w:t xml:space="preserve">2. Multi-Lingual Speech Processing: </w:t>
      </w:r>
      <w:r>
        <w:rPr>
          <w:color w:val="334155"/>
        </w:rPr>
        <w:t>Expanding voice screening acoustic telemetry to support multilingual cadence detection and dialect-neutral articulation scoring.</w:t>
      </w:r>
    </w:p>
    <w:p>
      <w:pPr>
        <w:pStyle w:val="ListBullet"/>
        <w:spacing w:after="60"/>
      </w:pPr>
      <w:r>
        <w:rPr>
          <w:b/>
          <w:color w:val="1E293B"/>
        </w:rPr>
        <w:t xml:space="preserve">3. Blockchain Credential Issuance: </w:t>
      </w:r>
      <w:r>
        <w:rPr>
          <w:color w:val="334155"/>
        </w:rPr>
        <w:t>Anchoring verified certificate hashes into a decentralized ledger (e.g., Ethereum or Hyperledger) for tamper-proof public verification by third-party background checkers.</w:t>
      </w:r>
    </w:p>
    <w:p>
      <w:pPr>
        <w:pStyle w:val="ListBullet"/>
        <w:spacing w:after="60"/>
      </w:pPr>
      <w:r>
        <w:rPr>
          <w:b/>
          <w:color w:val="1E293B"/>
        </w:rPr>
        <w:t xml:space="preserve">4. Live Recruiter Audio-Visual Simulation: </w:t>
      </w:r>
      <w:r>
        <w:rPr>
          <w:color w:val="334155"/>
        </w:rPr>
        <w:t>Extending the interview studio to support live WebRTC audio-visual streaming with real-time biometric engagement telemetry.</w:t>
      </w:r>
    </w:p>
    <w:p>
      <w:pPr>
        <w:keepNext/>
        <w:spacing w:before="360" w:after="160"/>
      </w:pPr>
      <w:r>
        <w:rPr>
          <w:rFonts w:ascii="Arial" w:hAnsi="Arial"/>
          <w:b/>
          <w:color w:val="4F46E5"/>
          <w:sz w:val="32"/>
        </w:rPr>
        <w:t>8. References</w:t>
      </w:r>
    </w:p>
    <w:p>
      <w:pPr>
        <w:spacing w:after="120"/>
      </w:pPr>
      <w:r>
        <w:rPr>
          <w:color w:val="334155"/>
          <w:sz w:val="22"/>
        </w:rPr>
        <w:t>The architecture and methodologies incorporated in this project reference established industry standards and academic literature:</w:t>
      </w:r>
    </w:p>
    <w:p>
      <w:pPr>
        <w:pStyle w:val="ListBullet"/>
        <w:spacing w:after="60"/>
      </w:pPr>
      <w:r>
        <w:rPr>
          <w:color w:val="334155"/>
        </w:rPr>
        <w:t>1. Gamma, E., Helm, R., Johnson, R., &amp; Vlissides, J. (1994). Design Patterns: Elements of Reusable Object-Oriented Software. Addison-Wesley.</w:t>
      </w:r>
    </w:p>
    <w:p>
      <w:pPr>
        <w:pStyle w:val="ListBullet"/>
        <w:spacing w:after="60"/>
      </w:pPr>
      <w:r>
        <w:rPr>
          <w:color w:val="334155"/>
        </w:rPr>
        <w:t>2. Walls, C. (2022). Spring in Action (6th Edition). Manning Publications.</w:t>
      </w:r>
    </w:p>
    <w:p>
      <w:pPr>
        <w:pStyle w:val="ListBullet"/>
        <w:spacing w:after="60"/>
      </w:pPr>
      <w:r>
        <w:rPr>
          <w:color w:val="334155"/>
        </w:rPr>
        <w:t>3. Banks, A., &amp; Porcello, E. (2020). Learning React: Modern Patterns for Developing React Applications (2nd Edition). O'Reilly Media.</w:t>
      </w:r>
    </w:p>
    <w:p>
      <w:pPr>
        <w:pStyle w:val="ListBullet"/>
        <w:spacing w:after="60"/>
      </w:pPr>
      <w:r>
        <w:rPr>
          <w:color w:val="334155"/>
        </w:rPr>
        <w:t>4. W3C Web Audio Working Group. (2021). Web Audio API - W3C Recommendation. World Wide Web Consortium (W3C).</w:t>
      </w:r>
    </w:p>
    <w:p>
      <w:pPr>
        <w:pStyle w:val="ListBullet"/>
        <w:spacing w:after="60"/>
      </w:pPr>
      <w:r>
        <w:rPr>
          <w:color w:val="334155"/>
        </w:rPr>
        <w:t>5. Fielding, R. T. (2000). Architectural Styles and the Design of Network-based Software Architectures. Doctoral Dissertation, University of California, Irvine.</w:t>
      </w:r>
    </w:p>
    <w:p>
      <w:pPr>
        <w:pStyle w:val="ListBullet"/>
        <w:spacing w:after="60"/>
      </w:pPr>
      <w:r>
        <w:rPr>
          <w:color w:val="334155"/>
        </w:rPr>
        <w:t>6. Rescorla, E. (2018). The Transport Layer Security (TLS) Protocol Version 1.3. RFC 8446, Internet Engineering Task Force (IETF).</w:t>
      </w:r>
    </w:p>
    <w:p>
      <w:pPr>
        <w:pStyle w:val="ListBullet"/>
        <w:spacing w:after="60"/>
      </w:pPr>
      <w:r>
        <w:rPr>
          <w:color w:val="334155"/>
        </w:rPr>
        <w:t>7. World Economic Forum. (2023). The Future of Jobs Report 2023. Centre for the New Economy and Society, Geneva.</w:t>
      </w:r>
    </w:p>
    <w:p>
      <w:pPr>
        <w:pStyle w:val="ListBullet"/>
        <w:spacing w:after="60"/>
      </w:pPr>
      <w:r>
        <w:rPr>
          <w:color w:val="334155"/>
        </w:rPr>
        <w:t>8. PostgreSQL Global Development Group. (2023). PostgreSQL 15.0 Documentation. PostgreSQL Documentation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