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600"/>
        <w:jc w:val="center"/>
      </w:pPr>
      <w:r>
        <w:rPr>
          <w:b/>
          <w:bCs/>
          <w:color w:val="1F3864"/>
          <w:sz w:val="40"/>
          <w:szCs w:val="40"/>
        </w:rPr>
        <w:t xml:space="preserve">Olist E-Commerce Delivery Performance</w:t>
      </w:r>
    </w:p>
    <w:p>
      <w:pPr>
        <w:spacing w:after="300"/>
        <w:jc w:val="center"/>
      </w:pPr>
      <w:r>
        <w:rPr>
          <w:color w:val="595959"/>
          <w:sz w:val="26"/>
          <w:szCs w:val="26"/>
        </w:rPr>
        <w:t xml:space="preserve">An Analysis of Order Fulfillment, Delivery Delay, and Customer Impact</w:t>
      </w:r>
    </w:p>
    <w:p>
      <w:pPr>
        <w:spacing w:after="60"/>
        <w:jc w:val="center"/>
      </w:pPr>
      <w:r>
        <w:rPr>
          <w:sz w:val="22"/>
          <w:szCs w:val="22"/>
        </w:rPr>
        <w:t xml:space="preserve">Prepared by Omkar</w:t>
      </w:r>
    </w:p>
    <w:p>
      <w:pPr>
        <w:spacing w:after="800"/>
        <w:jc w:val="center"/>
      </w:pPr>
      <w:r>
        <w:rPr>
          <w:i/>
          <w:iCs/>
          <w:color w:val="595959"/>
          <w:sz w:val="20"/>
          <w:szCs w:val="20"/>
        </w:rPr>
        <w:t xml:space="preserve">Dataset: Olist Brazilian E-Commerce Public Dataset</w:t>
      </w:r>
    </w:p>
    <w:p>
      <w:pPr>
        <w:pBdr>
          <w:bottom w:val="single" w:color="BFBFBF" w:sz="6" w:space="1"/>
        </w:pBdr>
        <w:spacing w:after="200"/>
      </w:pPr>
    </w:p>
    <w:p>
      <w:pPr>
        <w:pStyle w:val="Heading1"/>
        <w:spacing w:after="160" w:before="360"/>
      </w:pPr>
      <w:r>
        <w:t xml:space="preserve">Executive Summary</w:t>
      </w:r>
    </w:p>
    <w:p>
      <w:pPr>
        <w:spacing w:after="160"/>
      </w:pPr>
      <w:r>
        <w:t xml:space="preserve">This analysis examines order fulfillment and delivery performance across roughly 99,400 orders on the Olist marketplace. The goal was to identify where delays enter the fulfillment pipeline — seller handoff, carrier transit, or payment approval — and to quantify their effect on revenue exposure and customer satisfaction.</w:t>
      </w:r>
    </w:p>
    <w:p>
      <w:pPr>
        <w:spacing w:after="160"/>
      </w:pPr>
      <w:r>
        <w:t xml:space="preserve">Three findings stand out. First, most customer-facing delay is a last-mile / carrier problem, not a seller problem: 72.8% of orders that arrived late to the customer had actually reached the carrier on time. Second, a small set of sellers and one city (Salvador) show late rates far above the marketplace average, making them clear, specific targets for intervention rather than “deliver faster” in general. Third, delivery lateness is statistically associated with lower review scores (chi-square = 14,169, p &lt; 0.001), and the platform's repeat-purchase rate is only 3.12% over the two-year window studied — a level worth investigating alongside delivery performance.</w:t>
      </w:r>
    </w:p>
    <w:p>
      <w:pPr>
        <w:spacing w:after="160"/>
      </w:pPr>
      <w:r>
        <w:t xml:space="preserve">Recommendations are prioritized by estimated impact and are detailed in Section 4.</w:t>
      </w:r>
    </w:p>
    <w:p>
      <w:pPr>
        <w:pStyle w:val="Heading1"/>
        <w:spacing w:after="160" w:before="360"/>
      </w:pPr>
      <w:r>
        <w:t xml:space="preserve">1. Business Context &amp; Objective</w:t>
      </w:r>
    </w:p>
    <w:p>
      <w:pPr>
        <w:spacing w:after="160"/>
      </w:pPr>
      <w:r>
        <w:t xml:space="preserve">Olist is a Brazilian e-commerce marketplace connecting third-party sellers to customers, with orders fulfilled by sellers and moved through third-party logistics carriers. Late deliveries carry two costs to the business: direct customer dissatisfaction (reflected in review scores) and repeat-purchase risk. This analysis was undertaken to answer three questions for operations and logistics stakeholders:</w:t>
      </w:r>
    </w:p>
    <w:p>
      <w:pPr>
        <w:pStyle w:val="ListParagraph"/>
        <w:numPr>
          <w:ilvl w:val="0"/>
          <w:numId w:val="2"/>
        </w:numPr>
        <w:spacing w:after="80"/>
      </w:pPr>
      <w:r>
        <w:t xml:space="preserve">Where in the fulfillment pipeline (seller approval, seller-to-carrier handoff, or carrier-to-customer delivery) do most delays originate?</w:t>
      </w:r>
    </w:p>
    <w:p>
      <w:pPr>
        <w:pStyle w:val="ListParagraph"/>
        <w:numPr>
          <w:ilvl w:val="0"/>
          <w:numId w:val="2"/>
        </w:numPr>
        <w:spacing w:after="80"/>
      </w:pPr>
      <w:r>
        <w:t xml:space="preserve">Which sellers, cities, and product categories are disproportionately affected, once order volume is accounted for?</w:t>
      </w:r>
    </w:p>
    <w:p>
      <w:pPr>
        <w:pStyle w:val="ListParagraph"/>
        <w:numPr>
          <w:ilvl w:val="0"/>
          <w:numId w:val="2"/>
        </w:numPr>
        <w:spacing w:after="80"/>
      </w:pPr>
      <w:r>
        <w:t xml:space="preserve">Does delivery performance measurably affect customer reviews and repeat purchase behavior?</w:t>
      </w:r>
    </w:p>
    <w:p>
      <w:pPr>
        <w:pStyle w:val="Heading1"/>
        <w:spacing w:after="160" w:before="360"/>
      </w:pPr>
      <w:r>
        <w:t xml:space="preserve">2. Data &amp; Methodology</w:t>
      </w:r>
    </w:p>
    <w:p>
      <w:pPr>
        <w:spacing w:after="160"/>
      </w:pPr>
      <w:r>
        <w:t xml:space="preserve">The analysis draws on the Olist orders, order items, products, customers, sellers, and reviews tables (~99,400 orders, ~112,600 order line items, ~99,200 reviews). Two definitions matter for interpreting the numbers below:</w:t>
      </w:r>
    </w:p>
    <w:p>
      <w:pPr>
        <w:pStyle w:val="ListParagraph"/>
        <w:numPr>
          <w:ilvl w:val="0"/>
          <w:numId w:val="2"/>
        </w:numPr>
        <w:spacing w:after="80"/>
      </w:pPr>
      <w:r>
        <w:t xml:space="preserve">“On-time” for carrier handoff means the seller shipped by the item's shipping_limit_date; “on-time” for customer delivery means the order arrived by the estimated delivery date shown to the customer.</w:t>
      </w:r>
    </w:p>
    <w:p>
      <w:pPr>
        <w:pStyle w:val="ListParagraph"/>
        <w:numPr>
          <w:ilvl w:val="0"/>
          <w:numId w:val="2"/>
        </w:numPr>
        <w:spacing w:after="80"/>
      </w:pPr>
      <w:r>
        <w:t xml:space="preserve">Revenue and freight cost are reported separately throughout — freight is a shipping cost, not merchandise revenue, and combining the two would overstate sales.</w:t>
      </w:r>
    </w:p>
    <w:p>
      <w:pPr>
        <w:spacing w:after="160"/>
      </w:pPr>
      <w:r>
        <w:t xml:space="preserve">Figures described as “revenue exposure” refer to the value of orders that happened to be late, not a claim that the business lost that revenue outright — the relationship is correlational, not causal, and is offered as a scale of risk rather than a loss figure.</w:t>
      </w:r>
    </w:p>
    <w:p>
      <w:pPr>
        <w:spacing w:after="160"/>
      </w:pPr>
      <w:r>
        <w:rPr>
          <w:i/>
          <w:iCs/>
          <w:color w:val="595959"/>
        </w:rPr>
        <w:t xml:space="preserve">All order counts below (total orders, late orders) are counted at the distinct-order level, not the order-item level, so that a multi-item order is not counted more than once.</w:t>
      </w:r>
    </w:p>
    <w:p>
      <w:pPr>
        <w:pStyle w:val="Heading1"/>
        <w:spacing w:after="160" w:before="360"/>
      </w:pPr>
      <w:r>
        <w:t xml:space="preserve">3. Key Findings</w:t>
      </w:r>
    </w:p>
    <w:p>
      <w:pPr>
        <w:pStyle w:val="Heading2"/>
        <w:spacing w:after="120" w:before="260"/>
      </w:pPr>
      <w:r>
        <w:t xml:space="preserve">3.1 Order Fulfillment Overview</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4500"/>
        <w:gridCol w:w="2200"/>
        <w:gridCol w:w="2200"/>
      </w:tblGrid>
      <w:tr>
        <w:trPr>
          <w:tblHeader/>
        </w:trPr>
        <w:tc>
          <w:tcPr>
            <w:tcW w:type="dxa" w:w="4500"/>
            <w:shd w:fill="1F3864" w:val="clear"/>
            <w:tcMar>
              <w:top w:type="dxa" w:w="60"/>
              <w:left w:type="dxa" w:w="100"/>
              <w:bottom w:type="dxa" w:w="60"/>
              <w:right w:type="dxa" w:w="100"/>
            </w:tcMar>
          </w:tcPr>
          <w:p>
            <w:pPr>
              <w:jc w:val="left"/>
            </w:pPr>
            <w:r>
              <w:rPr>
                <w:b/>
                <w:bCs/>
                <w:color w:val="FFFFFF"/>
                <w:sz w:val="19"/>
                <w:szCs w:val="19"/>
              </w:rPr>
              <w:t xml:space="preserve">Metric</w:t>
            </w:r>
          </w:p>
        </w:tc>
        <w:tc>
          <w:tcPr>
            <w:tcW w:type="dxa" w:w="2200"/>
            <w:shd w:fill="1F3864" w:val="clear"/>
            <w:tcMar>
              <w:top w:type="dxa" w:w="60"/>
              <w:left w:type="dxa" w:w="100"/>
              <w:bottom w:type="dxa" w:w="60"/>
              <w:right w:type="dxa" w:w="100"/>
            </w:tcMar>
          </w:tcPr>
          <w:p>
            <w:pPr>
              <w:jc w:val="left"/>
            </w:pPr>
            <w:r>
              <w:rPr>
                <w:b/>
                <w:bCs/>
                <w:color w:val="FFFFFF"/>
                <w:sz w:val="19"/>
                <w:szCs w:val="19"/>
              </w:rPr>
              <w:t xml:space="preserve">Value</w:t>
            </w:r>
          </w:p>
        </w:tc>
        <w:tc>
          <w:tcPr>
            <w:tcW w:type="dxa" w:w="2200"/>
            <w:shd w:fill="1F3864" w:val="clear"/>
            <w:tcMar>
              <w:top w:type="dxa" w:w="60"/>
              <w:left w:type="dxa" w:w="100"/>
              <w:bottom w:type="dxa" w:w="60"/>
              <w:right w:type="dxa" w:w="100"/>
            </w:tcMar>
          </w:tcPr>
          <w:p>
            <w:pPr>
              <w:jc w:val="left"/>
            </w:pPr>
            <w:r>
              <w:rPr>
                <w:b/>
                <w:bCs/>
                <w:color w:val="FFFFFF"/>
                <w:sz w:val="19"/>
                <w:szCs w:val="19"/>
              </w:rPr>
              <w:t xml:space="preserve">% of Total</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Total orders</w:t>
            </w:r>
          </w:p>
        </w:tc>
        <w:tc>
          <w:tcPr>
            <w:tcW w:type="dxa" w:w="2200"/>
            <w:tcMar>
              <w:top w:type="dxa" w:w="60"/>
              <w:left w:type="dxa" w:w="100"/>
              <w:bottom w:type="dxa" w:w="60"/>
              <w:right w:type="dxa" w:w="100"/>
            </w:tcMar>
          </w:tcPr>
          <w:p>
            <w:pPr>
              <w:jc w:val="right"/>
            </w:pPr>
            <w:r>
              <w:rPr>
                <w:b w:val="false"/>
                <w:bCs w:val="false"/>
                <w:color w:val="000000"/>
                <w:sz w:val="19"/>
                <w:szCs w:val="19"/>
              </w:rPr>
              <w:t xml:space="preserve">99,441</w:t>
            </w:r>
          </w:p>
        </w:tc>
        <w:tc>
          <w:tcPr>
            <w:tcW w:type="dxa" w:w="2200"/>
            <w:tcMar>
              <w:top w:type="dxa" w:w="60"/>
              <w:left w:type="dxa" w:w="100"/>
              <w:bottom w:type="dxa" w:w="60"/>
              <w:right w:type="dxa" w:w="100"/>
            </w:tcMar>
          </w:tcPr>
          <w:p>
            <w:pPr>
              <w:jc w:val="right"/>
            </w:pPr>
            <w:r>
              <w:rPr>
                <w:b w:val="false"/>
                <w:bCs w:val="false"/>
                <w:color w:val="000000"/>
                <w:sz w:val="19"/>
                <w:szCs w:val="19"/>
              </w:rPr>
              <w:t xml:space="preserve">100%</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Delivered</w:t>
            </w:r>
          </w:p>
        </w:tc>
        <w:tc>
          <w:tcPr>
            <w:tcW w:type="dxa" w:w="2200"/>
            <w:tcMar>
              <w:top w:type="dxa" w:w="60"/>
              <w:left w:type="dxa" w:w="100"/>
              <w:bottom w:type="dxa" w:w="60"/>
              <w:right w:type="dxa" w:w="100"/>
            </w:tcMar>
          </w:tcPr>
          <w:p>
            <w:pPr>
              <w:jc w:val="right"/>
            </w:pPr>
            <w:r>
              <w:rPr>
                <w:b w:val="false"/>
                <w:bCs w:val="false"/>
                <w:color w:val="000000"/>
                <w:sz w:val="19"/>
                <w:szCs w:val="19"/>
              </w:rPr>
              <w:t xml:space="preserve">96,478</w:t>
            </w:r>
          </w:p>
        </w:tc>
        <w:tc>
          <w:tcPr>
            <w:tcW w:type="dxa" w:w="2200"/>
            <w:tcMar>
              <w:top w:type="dxa" w:w="60"/>
              <w:left w:type="dxa" w:w="100"/>
              <w:bottom w:type="dxa" w:w="60"/>
              <w:right w:type="dxa" w:w="100"/>
            </w:tcMar>
          </w:tcPr>
          <w:p>
            <w:pPr>
              <w:jc w:val="right"/>
            </w:pPr>
            <w:r>
              <w:rPr>
                <w:b w:val="false"/>
                <w:bCs w:val="false"/>
                <w:color w:val="000000"/>
                <w:sz w:val="19"/>
                <w:szCs w:val="19"/>
              </w:rPr>
              <w:t xml:space="preserve">97.02%</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Cancelled</w:t>
            </w:r>
          </w:p>
        </w:tc>
        <w:tc>
          <w:tcPr>
            <w:tcW w:type="dxa" w:w="2200"/>
            <w:tcMar>
              <w:top w:type="dxa" w:w="60"/>
              <w:left w:type="dxa" w:w="100"/>
              <w:bottom w:type="dxa" w:w="60"/>
              <w:right w:type="dxa" w:w="100"/>
            </w:tcMar>
          </w:tcPr>
          <w:p>
            <w:pPr>
              <w:jc w:val="right"/>
            </w:pPr>
            <w:r>
              <w:rPr>
                <w:b w:val="false"/>
                <w:bCs w:val="false"/>
                <w:color w:val="000000"/>
                <w:sz w:val="19"/>
                <w:szCs w:val="19"/>
              </w:rPr>
              <w:t xml:space="preserve">625</w:t>
            </w:r>
          </w:p>
        </w:tc>
        <w:tc>
          <w:tcPr>
            <w:tcW w:type="dxa" w:w="2200"/>
            <w:tcMar>
              <w:top w:type="dxa" w:w="60"/>
              <w:left w:type="dxa" w:w="100"/>
              <w:bottom w:type="dxa" w:w="60"/>
              <w:right w:type="dxa" w:w="100"/>
            </w:tcMar>
          </w:tcPr>
          <w:p>
            <w:pPr>
              <w:jc w:val="right"/>
            </w:pPr>
            <w:r>
              <w:rPr>
                <w:b w:val="false"/>
                <w:bCs w:val="false"/>
                <w:color w:val="000000"/>
                <w:sz w:val="19"/>
                <w:szCs w:val="19"/>
              </w:rPr>
              <w:t xml:space="preserve">0.63%</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Unavailable</w:t>
            </w:r>
          </w:p>
        </w:tc>
        <w:tc>
          <w:tcPr>
            <w:tcW w:type="dxa" w:w="2200"/>
            <w:tcMar>
              <w:top w:type="dxa" w:w="60"/>
              <w:left w:type="dxa" w:w="100"/>
              <w:bottom w:type="dxa" w:w="60"/>
              <w:right w:type="dxa" w:w="100"/>
            </w:tcMar>
          </w:tcPr>
          <w:p>
            <w:pPr>
              <w:jc w:val="right"/>
            </w:pPr>
            <w:r>
              <w:rPr>
                <w:b w:val="false"/>
                <w:bCs w:val="false"/>
                <w:color w:val="000000"/>
                <w:sz w:val="19"/>
                <w:szCs w:val="19"/>
              </w:rPr>
              <w:t xml:space="preserve">609</w:t>
            </w:r>
          </w:p>
        </w:tc>
        <w:tc>
          <w:tcPr>
            <w:tcW w:type="dxa" w:w="2200"/>
            <w:tcMar>
              <w:top w:type="dxa" w:w="60"/>
              <w:left w:type="dxa" w:w="100"/>
              <w:bottom w:type="dxa" w:w="60"/>
              <w:right w:type="dxa" w:w="100"/>
            </w:tcMar>
          </w:tcPr>
          <w:p>
            <w:pPr>
              <w:jc w:val="right"/>
            </w:pPr>
            <w:r>
              <w:rPr>
                <w:b w:val="false"/>
                <w:bCs w:val="false"/>
                <w:color w:val="000000"/>
                <w:sz w:val="19"/>
                <w:szCs w:val="19"/>
              </w:rPr>
              <w:t xml:space="preserve">0.61%</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Total revenue (merchandise)</w:t>
            </w:r>
          </w:p>
        </w:tc>
        <w:tc>
          <w:tcPr>
            <w:tcW w:type="dxa" w:w="2200"/>
            <w:tcMar>
              <w:top w:type="dxa" w:w="60"/>
              <w:left w:type="dxa" w:w="100"/>
              <w:bottom w:type="dxa" w:w="60"/>
              <w:right w:type="dxa" w:w="100"/>
            </w:tcMar>
          </w:tcPr>
          <w:p>
            <w:pPr>
              <w:jc w:val="right"/>
            </w:pPr>
            <w:r>
              <w:rPr>
                <w:b w:val="false"/>
                <w:bCs w:val="false"/>
                <w:color w:val="000000"/>
                <w:sz w:val="19"/>
                <w:szCs w:val="19"/>
              </w:rPr>
              <w:t xml:space="preserve">$13.49M</w:t>
            </w:r>
          </w:p>
        </w:tc>
        <w:tc>
          <w:tcPr>
            <w:tcW w:type="dxa" w:w="2200"/>
            <w:tcMar>
              <w:top w:type="dxa" w:w="60"/>
              <w:left w:type="dxa" w:w="100"/>
              <w:bottom w:type="dxa" w:w="60"/>
              <w:right w:type="dxa" w:w="100"/>
            </w:tcMar>
          </w:tcPr>
          <w:p>
            <w:pPr>
              <w:jc w:val="right"/>
            </w:pPr>
            <w:r>
              <w:rPr>
                <w:b w:val="false"/>
                <w:bCs w:val="false"/>
                <w:color w:val="000000"/>
                <w:sz w:val="19"/>
                <w:szCs w:val="19"/>
              </w:rPr>
              <w:t xml:space="preserve">—</w:t>
            </w:r>
          </w:p>
        </w:tc>
      </w:tr>
      <w:tr>
        <w:tc>
          <w:tcPr>
            <w:tcW w:type="dxa" w:w="4500"/>
            <w:tcMar>
              <w:top w:type="dxa" w:w="60"/>
              <w:left w:type="dxa" w:w="100"/>
              <w:bottom w:type="dxa" w:w="60"/>
              <w:right w:type="dxa" w:w="100"/>
            </w:tcMar>
          </w:tcPr>
          <w:p>
            <w:pPr>
              <w:jc w:val="left"/>
            </w:pPr>
            <w:r>
              <w:rPr>
                <w:b w:val="false"/>
                <w:bCs w:val="false"/>
                <w:color w:val="000000"/>
                <w:sz w:val="19"/>
                <w:szCs w:val="19"/>
              </w:rPr>
              <w:t xml:space="preserve">Total freight cost</w:t>
            </w:r>
          </w:p>
        </w:tc>
        <w:tc>
          <w:tcPr>
            <w:tcW w:type="dxa" w:w="2200"/>
            <w:tcMar>
              <w:top w:type="dxa" w:w="60"/>
              <w:left w:type="dxa" w:w="100"/>
              <w:bottom w:type="dxa" w:w="60"/>
              <w:right w:type="dxa" w:w="100"/>
            </w:tcMar>
          </w:tcPr>
          <w:p>
            <w:pPr>
              <w:jc w:val="right"/>
            </w:pPr>
            <w:r>
              <w:rPr>
                <w:b w:val="false"/>
                <w:bCs w:val="false"/>
                <w:color w:val="000000"/>
                <w:sz w:val="19"/>
                <w:szCs w:val="19"/>
              </w:rPr>
              <w:t xml:space="preserve">$2.24M</w:t>
            </w:r>
          </w:p>
        </w:tc>
        <w:tc>
          <w:tcPr>
            <w:tcW w:type="dxa" w:w="2200"/>
            <w:tcMar>
              <w:top w:type="dxa" w:w="60"/>
              <w:left w:type="dxa" w:w="100"/>
              <w:bottom w:type="dxa" w:w="60"/>
              <w:right w:type="dxa" w:w="100"/>
            </w:tcMar>
          </w:tcPr>
          <w:p>
            <w:pPr>
              <w:jc w:val="right"/>
            </w:pPr>
            <w:r>
              <w:rPr>
                <w:b w:val="false"/>
                <w:bCs w:val="false"/>
                <w:color w:val="000000"/>
                <w:sz w:val="19"/>
                <w:szCs w:val="19"/>
              </w:rPr>
              <w:t xml:space="preserve">—</w:t>
            </w:r>
          </w:p>
        </w:tc>
      </w:tr>
    </w:tbl>
    <w:p>
      <w:pPr>
        <w:spacing w:after="160"/>
      </w:pPr>
      <w:r>
        <w:rPr>
          <w:i/>
          <w:iCs/>
          <w:color w:val="595959"/>
        </w:rPr>
        <w:t xml:space="preserve">The vast majority of orders complete successfully; cancellations and stock-unavailability together account for under 1.3% of volume and are not a material driver of the issues below.</w:t>
      </w:r>
    </w:p>
    <w:p>
      <w:pPr>
        <w:pStyle w:val="Heading2"/>
        <w:spacing w:after="120" w:before="260"/>
      </w:pPr>
      <w:r>
        <w:t xml:space="preserve">3.2 Where Delays Originate: Approval, Seller, and Carrier</w:t>
      </w:r>
    </w:p>
    <w:p>
      <w:pPr>
        <w:spacing w:after="60"/>
      </w:pPr>
      <w:r>
        <w:rPr>
          <w:b/>
          <w:bCs/>
        </w:rPr>
        <w:t xml:space="preserve">Payment approval: </w:t>
      </w:r>
      <w:r>
        <w:t xml:space="preserve">5,098 orders (5.13%) took longer than 48 hours to be approved after purchase.</w:t>
      </w:r>
    </w:p>
    <w:p>
      <w:pPr>
        <w:spacing w:after="60"/>
      </w:pPr>
      <w:r>
        <w:rPr>
          <w:b/>
          <w:bCs/>
        </w:rPr>
        <w:t xml:space="preserve">Seller-to-carrier handoff: </w:t>
      </w:r>
      <w:r>
        <w:t xml:space="preserve">8,861 orders (8.91%) reached the carrier after the seller's shipping deadline.</w:t>
      </w:r>
    </w:p>
    <w:p>
      <w:pPr>
        <w:spacing w:after="60"/>
      </w:pPr>
      <w:r>
        <w:rPr>
          <w:b/>
          <w:bCs/>
        </w:rPr>
        <w:t xml:space="preserve">Overlap: </w:t>
      </w:r>
      <w:r>
        <w:t xml:space="preserve">Only 578 orders were late on both fronts — approval delay and carrier handoff delay are largely independent problems, not one cascading into the other.</w:t>
      </w:r>
    </w:p>
    <w:p>
      <w:pPr>
        <w:spacing w:after="160"/>
      </w:pPr>
      <w:r>
        <w:t xml:space="preserve">This independence matters operationally: fixing payment/approval turnaround (a checkout or fraud-review issue) and fixing seller shipping discipline are two separate workstreams, not one fix that will resolve both.</w:t>
      </w:r>
    </w:p>
    <w:p>
      <w:pPr>
        <w:pStyle w:val="Heading2"/>
        <w:spacing w:after="120" w:before="260"/>
      </w:pPr>
      <w:r>
        <w:t xml:space="preserve">3.3 Customer-Facing Delivery Delay and Revenue Exposure</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5200"/>
        <w:gridCol w:w="3700"/>
      </w:tblGrid>
      <w:tr>
        <w:trPr>
          <w:tblHeader/>
        </w:trPr>
        <w:tc>
          <w:tcPr>
            <w:tcW w:type="dxa" w:w="5200"/>
            <w:shd w:fill="1F3864" w:val="clear"/>
            <w:tcMar>
              <w:top w:type="dxa" w:w="60"/>
              <w:left w:type="dxa" w:w="100"/>
              <w:bottom w:type="dxa" w:w="60"/>
              <w:right w:type="dxa" w:w="100"/>
            </w:tcMar>
          </w:tcPr>
          <w:p>
            <w:pPr>
              <w:jc w:val="left"/>
            </w:pPr>
            <w:r>
              <w:rPr>
                <w:b/>
                <w:bCs/>
                <w:color w:val="FFFFFF"/>
                <w:sz w:val="19"/>
                <w:szCs w:val="19"/>
              </w:rPr>
              <w:t xml:space="preserve">Metric</w:t>
            </w:r>
          </w:p>
        </w:tc>
        <w:tc>
          <w:tcPr>
            <w:tcW w:type="dxa" w:w="3700"/>
            <w:shd w:fill="1F3864" w:val="clear"/>
            <w:tcMar>
              <w:top w:type="dxa" w:w="60"/>
              <w:left w:type="dxa" w:w="100"/>
              <w:bottom w:type="dxa" w:w="60"/>
              <w:right w:type="dxa" w:w="100"/>
            </w:tcMar>
          </w:tcPr>
          <w:p>
            <w:pPr>
              <w:jc w:val="left"/>
            </w:pPr>
            <w:r>
              <w:rPr>
                <w:b/>
                <w:bCs/>
                <w:color w:val="FFFFFF"/>
                <w:sz w:val="19"/>
                <w:szCs w:val="19"/>
              </w:rPr>
              <w:t xml:space="preserve">Value</w:t>
            </w:r>
          </w:p>
        </w:tc>
      </w:tr>
      <w:tr>
        <w:tc>
          <w:tcPr>
            <w:tcW w:type="dxa" w:w="5200"/>
            <w:tcMar>
              <w:top w:type="dxa" w:w="60"/>
              <w:left w:type="dxa" w:w="100"/>
              <w:bottom w:type="dxa" w:w="60"/>
              <w:right w:type="dxa" w:w="100"/>
            </w:tcMar>
          </w:tcPr>
          <w:p>
            <w:pPr>
              <w:jc w:val="left"/>
            </w:pPr>
            <w:r>
              <w:rPr>
                <w:b w:val="false"/>
                <w:bCs w:val="false"/>
                <w:color w:val="000000"/>
                <w:sz w:val="19"/>
                <w:szCs w:val="19"/>
              </w:rPr>
              <w:t xml:space="preserve">Orders delivered</w:t>
            </w:r>
          </w:p>
        </w:tc>
        <w:tc>
          <w:tcPr>
            <w:tcW w:type="dxa" w:w="3700"/>
            <w:tcMar>
              <w:top w:type="dxa" w:w="60"/>
              <w:left w:type="dxa" w:w="100"/>
              <w:bottom w:type="dxa" w:w="60"/>
              <w:right w:type="dxa" w:w="100"/>
            </w:tcMar>
          </w:tcPr>
          <w:p>
            <w:pPr>
              <w:jc w:val="right"/>
            </w:pPr>
            <w:r>
              <w:rPr>
                <w:b w:val="false"/>
                <w:bCs w:val="false"/>
                <w:color w:val="000000"/>
                <w:sz w:val="19"/>
                <w:szCs w:val="19"/>
              </w:rPr>
              <w:t xml:space="preserve">96,476 (97.02% of all orders)</w:t>
            </w:r>
          </w:p>
        </w:tc>
      </w:tr>
      <w:tr>
        <w:tc>
          <w:tcPr>
            <w:tcW w:type="dxa" w:w="5200"/>
            <w:tcMar>
              <w:top w:type="dxa" w:w="60"/>
              <w:left w:type="dxa" w:w="100"/>
              <w:bottom w:type="dxa" w:w="60"/>
              <w:right w:type="dxa" w:w="100"/>
            </w:tcMar>
          </w:tcPr>
          <w:p>
            <w:pPr>
              <w:jc w:val="left"/>
            </w:pPr>
            <w:r>
              <w:rPr>
                <w:b w:val="false"/>
                <w:bCs w:val="false"/>
                <w:color w:val="000000"/>
                <w:sz w:val="19"/>
                <w:szCs w:val="19"/>
              </w:rPr>
              <w:t xml:space="preserve">Delivered on time</w:t>
            </w:r>
          </w:p>
        </w:tc>
        <w:tc>
          <w:tcPr>
            <w:tcW w:type="dxa" w:w="3700"/>
            <w:tcMar>
              <w:top w:type="dxa" w:w="60"/>
              <w:left w:type="dxa" w:w="100"/>
              <w:bottom w:type="dxa" w:w="60"/>
              <w:right w:type="dxa" w:w="100"/>
            </w:tcMar>
          </w:tcPr>
          <w:p>
            <w:pPr>
              <w:jc w:val="right"/>
            </w:pPr>
            <w:r>
              <w:rPr>
                <w:b w:val="false"/>
                <w:bCs w:val="false"/>
                <w:color w:val="000000"/>
                <w:sz w:val="19"/>
                <w:szCs w:val="19"/>
              </w:rPr>
              <w:t xml:space="preserve">88,649 (89.15%)</w:t>
            </w:r>
          </w:p>
        </w:tc>
      </w:tr>
      <w:tr>
        <w:tc>
          <w:tcPr>
            <w:tcW w:type="dxa" w:w="5200"/>
            <w:tcMar>
              <w:top w:type="dxa" w:w="60"/>
              <w:left w:type="dxa" w:w="100"/>
              <w:bottom w:type="dxa" w:w="60"/>
              <w:right w:type="dxa" w:w="100"/>
            </w:tcMar>
          </w:tcPr>
          <w:p>
            <w:pPr>
              <w:jc w:val="left"/>
            </w:pPr>
            <w:r>
              <w:rPr>
                <w:b w:val="false"/>
                <w:bCs w:val="false"/>
                <w:color w:val="000000"/>
                <w:sz w:val="19"/>
                <w:szCs w:val="19"/>
              </w:rPr>
              <w:t xml:space="preserve">Delivered late</w:t>
            </w:r>
          </w:p>
        </w:tc>
        <w:tc>
          <w:tcPr>
            <w:tcW w:type="dxa" w:w="3700"/>
            <w:tcMar>
              <w:top w:type="dxa" w:w="60"/>
              <w:left w:type="dxa" w:w="100"/>
              <w:bottom w:type="dxa" w:w="60"/>
              <w:right w:type="dxa" w:w="100"/>
            </w:tcMar>
          </w:tcPr>
          <w:p>
            <w:pPr>
              <w:jc w:val="right"/>
            </w:pPr>
            <w:r>
              <w:rPr>
                <w:b w:val="false"/>
                <w:bCs w:val="false"/>
                <w:color w:val="000000"/>
                <w:sz w:val="19"/>
                <w:szCs w:val="19"/>
              </w:rPr>
              <w:t xml:space="preserve">7,827 (7.87%)</w:t>
            </w:r>
          </w:p>
        </w:tc>
      </w:tr>
      <w:tr>
        <w:tc>
          <w:tcPr>
            <w:tcW w:type="dxa" w:w="5200"/>
            <w:tcMar>
              <w:top w:type="dxa" w:w="60"/>
              <w:left w:type="dxa" w:w="100"/>
              <w:bottom w:type="dxa" w:w="60"/>
              <w:right w:type="dxa" w:w="100"/>
            </w:tcMar>
          </w:tcPr>
          <w:p>
            <w:pPr>
              <w:jc w:val="left"/>
            </w:pPr>
            <w:r>
              <w:rPr>
                <w:b w:val="false"/>
                <w:bCs w:val="false"/>
                <w:color w:val="000000"/>
                <w:sz w:val="19"/>
                <w:szCs w:val="19"/>
              </w:rPr>
              <w:t xml:space="preserve">Median delay (late orders)</w:t>
            </w:r>
          </w:p>
        </w:tc>
        <w:tc>
          <w:tcPr>
            <w:tcW w:type="dxa" w:w="3700"/>
            <w:tcMar>
              <w:top w:type="dxa" w:w="60"/>
              <w:left w:type="dxa" w:w="100"/>
              <w:bottom w:type="dxa" w:w="60"/>
              <w:right w:type="dxa" w:w="100"/>
            </w:tcMar>
          </w:tcPr>
          <w:p>
            <w:pPr>
              <w:jc w:val="right"/>
            </w:pPr>
            <w:r>
              <w:rPr>
                <w:b w:val="false"/>
                <w:bCs w:val="false"/>
                <w:color w:val="000000"/>
                <w:sz w:val="19"/>
                <w:szCs w:val="19"/>
              </w:rPr>
              <w:t xml:space="preserve">5 days past the estimated date</w:t>
            </w:r>
          </w:p>
        </w:tc>
      </w:tr>
      <w:tr>
        <w:tc>
          <w:tcPr>
            <w:tcW w:type="dxa" w:w="5200"/>
            <w:tcMar>
              <w:top w:type="dxa" w:w="60"/>
              <w:left w:type="dxa" w:w="100"/>
              <w:bottom w:type="dxa" w:w="60"/>
              <w:right w:type="dxa" w:w="100"/>
            </w:tcMar>
          </w:tcPr>
          <w:p>
            <w:pPr>
              <w:jc w:val="left"/>
            </w:pPr>
            <w:r>
              <w:rPr>
                <w:b w:val="false"/>
                <w:bCs w:val="false"/>
                <w:color w:val="000000"/>
                <w:sz w:val="19"/>
                <w:szCs w:val="19"/>
              </w:rPr>
              <w:t xml:space="preserve">90th percentile delay</w:t>
            </w:r>
          </w:p>
        </w:tc>
        <w:tc>
          <w:tcPr>
            <w:tcW w:type="dxa" w:w="3700"/>
            <w:tcMar>
              <w:top w:type="dxa" w:w="60"/>
              <w:left w:type="dxa" w:w="100"/>
              <w:bottom w:type="dxa" w:w="60"/>
              <w:right w:type="dxa" w:w="100"/>
            </w:tcMar>
          </w:tcPr>
          <w:p>
            <w:pPr>
              <w:jc w:val="right"/>
            </w:pPr>
            <w:r>
              <w:rPr>
                <w:b w:val="false"/>
                <w:bCs w:val="false"/>
                <w:color w:val="000000"/>
                <w:sz w:val="19"/>
                <w:szCs w:val="19"/>
              </w:rPr>
              <w:t xml:space="preserve">20 days past the estimated date</w:t>
            </w:r>
          </w:p>
        </w:tc>
      </w:tr>
      <w:tr>
        <w:tc>
          <w:tcPr>
            <w:tcW w:type="dxa" w:w="5200"/>
            <w:tcMar>
              <w:top w:type="dxa" w:w="60"/>
              <w:left w:type="dxa" w:w="100"/>
              <w:bottom w:type="dxa" w:w="60"/>
              <w:right w:type="dxa" w:w="100"/>
            </w:tcMar>
          </w:tcPr>
          <w:p>
            <w:pPr>
              <w:jc w:val="left"/>
            </w:pPr>
            <w:r>
              <w:rPr>
                <w:b w:val="false"/>
                <w:bCs w:val="false"/>
                <w:color w:val="000000"/>
                <w:sz w:val="19"/>
                <w:szCs w:val="19"/>
              </w:rPr>
              <w:t xml:space="preserve">Revenue exposure (late orders)</w:t>
            </w:r>
          </w:p>
        </w:tc>
        <w:tc>
          <w:tcPr>
            <w:tcW w:type="dxa" w:w="3700"/>
            <w:tcMar>
              <w:top w:type="dxa" w:w="60"/>
              <w:left w:type="dxa" w:w="100"/>
              <w:bottom w:type="dxa" w:w="60"/>
              <w:right w:type="dxa" w:w="100"/>
            </w:tcMar>
          </w:tcPr>
          <w:p>
            <w:pPr>
              <w:jc w:val="right"/>
            </w:pPr>
            <w:r>
              <w:rPr>
                <w:b w:val="false"/>
                <w:bCs w:val="false"/>
                <w:color w:val="000000"/>
                <w:sz w:val="19"/>
                <w:szCs w:val="19"/>
              </w:rPr>
              <w:t xml:space="preserve">$1.16M</w:t>
            </w:r>
          </w:p>
        </w:tc>
      </w:tr>
    </w:tbl>
    <w:p>
      <w:pPr>
        <w:spacing w:after="160"/>
      </w:pPr>
      <w:r>
        <w:t xml:space="preserve">The most actionable finding here is where the delay is coming from:</w:t>
      </w:r>
    </w:p>
    <w:p>
      <w:pPr>
        <w:pStyle w:val="ListParagraph"/>
        <w:numPr>
          <w:ilvl w:val="0"/>
          <w:numId w:val="2"/>
        </w:numPr>
        <w:spacing w:after="80"/>
      </w:pPr>
      <w:r>
        <w:t xml:space="preserve">72.80% of late-to-customer orders (5,698) had an on-time carrier handoff — the seller did their part; the delay happened in transit, pointing at the carrier/logistics network as the dominant lever.</w:t>
      </w:r>
    </w:p>
    <w:p>
      <w:pPr>
        <w:pStyle w:val="ListParagraph"/>
        <w:numPr>
          <w:ilvl w:val="0"/>
          <w:numId w:val="2"/>
        </w:numPr>
        <w:spacing w:after="80"/>
      </w:pPr>
      <w:r>
        <w:t xml:space="preserve">27.20% of late-to-customer orders (2,129) were also late to the carrier — a smaller, seller-attributable share.</w:t>
      </w:r>
    </w:p>
    <w:p>
      <w:pPr>
        <w:spacing w:after="160"/>
      </w:pPr>
      <w:r>
        <w:rPr>
          <w:b/>
          <w:bCs/>
        </w:rPr>
        <w:t xml:space="preserve">In short: if the business wants to move the overall late-delivery rate, the carrier relationship and last-mile network will move it more than seller-side enforcement alone.</w:t>
      </w:r>
    </w:p>
    <w:p>
      <w:pPr>
        <w:pStyle w:val="Heading2"/>
        <w:spacing w:after="120" w:before="260"/>
      </w:pPr>
      <w:r>
        <w:t xml:space="preserve">3.4 Seller Performance — Rate, Not Just Volume</w:t>
      </w:r>
    </w:p>
    <w:p>
      <w:pPr>
        <w:spacing w:after="160"/>
      </w:pPr>
      <w:r>
        <w:t xml:space="preserve">Ranking sellers by raw count of late shipments favors high-volume sellers by default. Ranking by late rate — orders with at least one late item, divided by total distinct orders for that seller, with a minimum volume floor to exclude small-sample noise — surfaces the sellers actually underperforming:</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1800"/>
        <w:gridCol w:w="1800"/>
      </w:tblGrid>
      <w:tr>
        <w:trPr>
          <w:tblHeader/>
        </w:trPr>
        <w:tc>
          <w:tcPr>
            <w:tcW w:type="dxa" w:w="3500"/>
            <w:shd w:fill="1F3864" w:val="clear"/>
            <w:tcMar>
              <w:top w:type="dxa" w:w="60"/>
              <w:left w:type="dxa" w:w="100"/>
              <w:bottom w:type="dxa" w:w="60"/>
              <w:right w:type="dxa" w:w="100"/>
            </w:tcMar>
          </w:tcPr>
          <w:p>
            <w:pPr>
              <w:jc w:val="left"/>
            </w:pPr>
            <w:r>
              <w:rPr>
                <w:b/>
                <w:bCs/>
                <w:color w:val="FFFFFF"/>
                <w:sz w:val="19"/>
                <w:szCs w:val="19"/>
              </w:rPr>
              <w:t xml:space="preserve">Seller ID (truncated)</w:t>
            </w:r>
          </w:p>
        </w:tc>
        <w:tc>
          <w:tcPr>
            <w:tcW w:type="dxa" w:w="1800"/>
            <w:shd w:fill="1F3864" w:val="clear"/>
            <w:tcMar>
              <w:top w:type="dxa" w:w="60"/>
              <w:left w:type="dxa" w:w="100"/>
              <w:bottom w:type="dxa" w:w="60"/>
              <w:right w:type="dxa" w:w="100"/>
            </w:tcMar>
          </w:tcPr>
          <w:p>
            <w:pPr>
              <w:jc w:val="left"/>
            </w:pPr>
            <w:r>
              <w:rPr>
                <w:b/>
                <w:bCs/>
                <w:color w:val="FFFFFF"/>
                <w:sz w:val="19"/>
                <w:szCs w:val="19"/>
              </w:rPr>
              <w:t xml:space="preserve">Total Orders</w:t>
            </w:r>
          </w:p>
        </w:tc>
        <w:tc>
          <w:tcPr>
            <w:tcW w:type="dxa" w:w="1800"/>
            <w:shd w:fill="1F3864" w:val="clear"/>
            <w:tcMar>
              <w:top w:type="dxa" w:w="60"/>
              <w:left w:type="dxa" w:w="100"/>
              <w:bottom w:type="dxa" w:w="60"/>
              <w:right w:type="dxa" w:w="100"/>
            </w:tcMar>
          </w:tcPr>
          <w:p>
            <w:pPr>
              <w:jc w:val="left"/>
            </w:pPr>
            <w:r>
              <w:rPr>
                <w:b/>
                <w:bCs/>
                <w:color w:val="FFFFFF"/>
                <w:sz w:val="19"/>
                <w:szCs w:val="19"/>
              </w:rPr>
              <w:t xml:space="preserve">Late Orders</w:t>
            </w:r>
          </w:p>
        </w:tc>
        <w:tc>
          <w:tcPr>
            <w:tcW w:type="dxa" w:w="1800"/>
            <w:shd w:fill="1F3864" w:val="clear"/>
            <w:tcMar>
              <w:top w:type="dxa" w:w="60"/>
              <w:left w:type="dxa" w:w="100"/>
              <w:bottom w:type="dxa" w:w="60"/>
              <w:right w:type="dxa" w:w="100"/>
            </w:tcMar>
          </w:tcPr>
          <w:p>
            <w:pPr>
              <w:jc w:val="left"/>
            </w:pPr>
            <w:r>
              <w:rPr>
                <w:b/>
                <w:bCs/>
                <w:color w:val="FFFFFF"/>
                <w:sz w:val="19"/>
                <w:szCs w:val="19"/>
              </w:rPr>
              <w:t xml:space="preserve">Late Rate</w:t>
            </w:r>
          </w:p>
        </w:tc>
      </w:tr>
      <w:tr>
        <w:tc>
          <w:tcPr>
            <w:tcW w:type="dxa" w:w="3500"/>
            <w:tcMar>
              <w:top w:type="dxa" w:w="60"/>
              <w:left w:type="dxa" w:w="100"/>
              <w:bottom w:type="dxa" w:w="60"/>
              <w:right w:type="dxa" w:w="100"/>
            </w:tcMar>
          </w:tcPr>
          <w:p>
            <w:pPr>
              <w:jc w:val="left"/>
            </w:pPr>
            <w:r>
              <w:rPr>
                <w:b w:val="false"/>
                <w:bCs w:val="false"/>
                <w:color w:val="000000"/>
                <w:sz w:val="19"/>
                <w:szCs w:val="19"/>
              </w:rPr>
              <w:t xml:space="preserve">88460e8e…</w:t>
            </w:r>
          </w:p>
        </w:tc>
        <w:tc>
          <w:tcPr>
            <w:tcW w:type="dxa" w:w="1800"/>
            <w:tcMar>
              <w:top w:type="dxa" w:w="60"/>
              <w:left w:type="dxa" w:w="100"/>
              <w:bottom w:type="dxa" w:w="60"/>
              <w:right w:type="dxa" w:w="100"/>
            </w:tcMar>
          </w:tcPr>
          <w:p>
            <w:pPr>
              <w:jc w:val="right"/>
            </w:pPr>
            <w:r>
              <w:rPr>
                <w:b w:val="false"/>
                <w:bCs w:val="false"/>
                <w:color w:val="000000"/>
                <w:sz w:val="19"/>
                <w:szCs w:val="19"/>
              </w:rPr>
              <w:t xml:space="preserve">246</w:t>
            </w:r>
          </w:p>
        </w:tc>
        <w:tc>
          <w:tcPr>
            <w:tcW w:type="dxa" w:w="1800"/>
            <w:tcMar>
              <w:top w:type="dxa" w:w="60"/>
              <w:left w:type="dxa" w:w="100"/>
              <w:bottom w:type="dxa" w:w="60"/>
              <w:right w:type="dxa" w:w="100"/>
            </w:tcMar>
          </w:tcPr>
          <w:p>
            <w:pPr>
              <w:jc w:val="right"/>
            </w:pPr>
            <w:r>
              <w:rPr>
                <w:b w:val="false"/>
                <w:bCs w:val="false"/>
                <w:color w:val="000000"/>
                <w:sz w:val="19"/>
                <w:szCs w:val="19"/>
              </w:rPr>
              <w:t xml:space="preserve">117</w:t>
            </w:r>
          </w:p>
        </w:tc>
        <w:tc>
          <w:tcPr>
            <w:tcW w:type="dxa" w:w="1800"/>
            <w:tcMar>
              <w:top w:type="dxa" w:w="60"/>
              <w:left w:type="dxa" w:w="100"/>
              <w:bottom w:type="dxa" w:w="60"/>
              <w:right w:type="dxa" w:w="100"/>
            </w:tcMar>
          </w:tcPr>
          <w:p>
            <w:pPr>
              <w:jc w:val="right"/>
            </w:pPr>
            <w:r>
              <w:rPr>
                <w:b w:val="false"/>
                <w:bCs w:val="false"/>
                <w:color w:val="000000"/>
                <w:sz w:val="19"/>
                <w:szCs w:val="19"/>
              </w:rPr>
              <w:t xml:space="preserve">47.56%</w:t>
            </w:r>
          </w:p>
        </w:tc>
      </w:tr>
      <w:tr>
        <w:tc>
          <w:tcPr>
            <w:tcW w:type="dxa" w:w="3500"/>
            <w:tcMar>
              <w:top w:type="dxa" w:w="60"/>
              <w:left w:type="dxa" w:w="100"/>
              <w:bottom w:type="dxa" w:w="60"/>
              <w:right w:type="dxa" w:w="100"/>
            </w:tcMar>
          </w:tcPr>
          <w:p>
            <w:pPr>
              <w:jc w:val="left"/>
            </w:pPr>
            <w:r>
              <w:rPr>
                <w:b w:val="false"/>
                <w:bCs w:val="false"/>
                <w:color w:val="000000"/>
                <w:sz w:val="19"/>
                <w:szCs w:val="19"/>
              </w:rPr>
              <w:t xml:space="preserve">06a2c3af…</w:t>
            </w:r>
          </w:p>
        </w:tc>
        <w:tc>
          <w:tcPr>
            <w:tcW w:type="dxa" w:w="1800"/>
            <w:tcMar>
              <w:top w:type="dxa" w:w="60"/>
              <w:left w:type="dxa" w:w="100"/>
              <w:bottom w:type="dxa" w:w="60"/>
              <w:right w:type="dxa" w:w="100"/>
            </w:tcMar>
          </w:tcPr>
          <w:p>
            <w:pPr>
              <w:jc w:val="right"/>
            </w:pPr>
            <w:r>
              <w:rPr>
                <w:b w:val="false"/>
                <w:bCs w:val="false"/>
                <w:color w:val="000000"/>
                <w:sz w:val="19"/>
                <w:szCs w:val="19"/>
              </w:rPr>
              <w:t xml:space="preserve">392</w:t>
            </w:r>
          </w:p>
        </w:tc>
        <w:tc>
          <w:tcPr>
            <w:tcW w:type="dxa" w:w="1800"/>
            <w:tcMar>
              <w:top w:type="dxa" w:w="60"/>
              <w:left w:type="dxa" w:w="100"/>
              <w:bottom w:type="dxa" w:w="60"/>
              <w:right w:type="dxa" w:w="100"/>
            </w:tcMar>
          </w:tcPr>
          <w:p>
            <w:pPr>
              <w:jc w:val="right"/>
            </w:pPr>
            <w:r>
              <w:rPr>
                <w:b w:val="false"/>
                <w:bCs w:val="false"/>
                <w:color w:val="000000"/>
                <w:sz w:val="19"/>
                <w:szCs w:val="19"/>
              </w:rPr>
              <w:t xml:space="preserve">123</w:t>
            </w:r>
          </w:p>
        </w:tc>
        <w:tc>
          <w:tcPr>
            <w:tcW w:type="dxa" w:w="1800"/>
            <w:tcMar>
              <w:top w:type="dxa" w:w="60"/>
              <w:left w:type="dxa" w:w="100"/>
              <w:bottom w:type="dxa" w:w="60"/>
              <w:right w:type="dxa" w:w="100"/>
            </w:tcMar>
          </w:tcPr>
          <w:p>
            <w:pPr>
              <w:jc w:val="right"/>
            </w:pPr>
            <w:r>
              <w:rPr>
                <w:b w:val="false"/>
                <w:bCs w:val="false"/>
                <w:color w:val="000000"/>
                <w:sz w:val="19"/>
                <w:szCs w:val="19"/>
              </w:rPr>
              <w:t xml:space="preserve">31.38%</w:t>
            </w:r>
          </w:p>
        </w:tc>
      </w:tr>
      <w:tr>
        <w:tc>
          <w:tcPr>
            <w:tcW w:type="dxa" w:w="3500"/>
            <w:tcMar>
              <w:top w:type="dxa" w:w="60"/>
              <w:left w:type="dxa" w:w="100"/>
              <w:bottom w:type="dxa" w:w="60"/>
              <w:right w:type="dxa" w:w="100"/>
            </w:tcMar>
          </w:tcPr>
          <w:p>
            <w:pPr>
              <w:jc w:val="left"/>
            </w:pPr>
            <w:r>
              <w:rPr>
                <w:b w:val="false"/>
                <w:bCs w:val="false"/>
                <w:color w:val="000000"/>
                <w:sz w:val="19"/>
                <w:szCs w:val="19"/>
              </w:rPr>
              <w:t xml:space="preserve">7c67e144…</w:t>
            </w:r>
          </w:p>
        </w:tc>
        <w:tc>
          <w:tcPr>
            <w:tcW w:type="dxa" w:w="1800"/>
            <w:tcMar>
              <w:top w:type="dxa" w:w="60"/>
              <w:left w:type="dxa" w:w="100"/>
              <w:bottom w:type="dxa" w:w="60"/>
              <w:right w:type="dxa" w:w="100"/>
            </w:tcMar>
          </w:tcPr>
          <w:p>
            <w:pPr>
              <w:jc w:val="right"/>
            </w:pPr>
            <w:r>
              <w:rPr>
                <w:b w:val="false"/>
                <w:bCs w:val="false"/>
                <w:color w:val="000000"/>
                <w:sz w:val="19"/>
                <w:szCs w:val="19"/>
              </w:rPr>
              <w:t xml:space="preserve">980</w:t>
            </w:r>
          </w:p>
        </w:tc>
        <w:tc>
          <w:tcPr>
            <w:tcW w:type="dxa" w:w="1800"/>
            <w:tcMar>
              <w:top w:type="dxa" w:w="60"/>
              <w:left w:type="dxa" w:w="100"/>
              <w:bottom w:type="dxa" w:w="60"/>
              <w:right w:type="dxa" w:w="100"/>
            </w:tcMar>
          </w:tcPr>
          <w:p>
            <w:pPr>
              <w:jc w:val="right"/>
            </w:pPr>
            <w:r>
              <w:rPr>
                <w:b w:val="false"/>
                <w:bCs w:val="false"/>
                <w:color w:val="000000"/>
                <w:sz w:val="19"/>
                <w:szCs w:val="19"/>
              </w:rPr>
              <w:t xml:space="preserve">290</w:t>
            </w:r>
          </w:p>
        </w:tc>
        <w:tc>
          <w:tcPr>
            <w:tcW w:type="dxa" w:w="1800"/>
            <w:tcMar>
              <w:top w:type="dxa" w:w="60"/>
              <w:left w:type="dxa" w:w="100"/>
              <w:bottom w:type="dxa" w:w="60"/>
              <w:right w:type="dxa" w:w="100"/>
            </w:tcMar>
          </w:tcPr>
          <w:p>
            <w:pPr>
              <w:jc w:val="right"/>
            </w:pPr>
            <w:r>
              <w:rPr>
                <w:b w:val="false"/>
                <w:bCs w:val="false"/>
                <w:color w:val="000000"/>
                <w:sz w:val="19"/>
                <w:szCs w:val="19"/>
              </w:rPr>
              <w:t xml:space="preserve">29.59%</w:t>
            </w:r>
          </w:p>
        </w:tc>
      </w:tr>
      <w:tr>
        <w:tc>
          <w:tcPr>
            <w:tcW w:type="dxa" w:w="3500"/>
            <w:tcMar>
              <w:top w:type="dxa" w:w="60"/>
              <w:left w:type="dxa" w:w="100"/>
              <w:bottom w:type="dxa" w:w="60"/>
              <w:right w:type="dxa" w:w="100"/>
            </w:tcMar>
          </w:tcPr>
          <w:p>
            <w:pPr>
              <w:jc w:val="left"/>
            </w:pPr>
            <w:r>
              <w:rPr>
                <w:b w:val="false"/>
                <w:bCs w:val="false"/>
                <w:color w:val="000000"/>
                <w:sz w:val="19"/>
                <w:szCs w:val="19"/>
              </w:rPr>
              <w:t xml:space="preserve">92eb0f42…</w:t>
            </w:r>
          </w:p>
        </w:tc>
        <w:tc>
          <w:tcPr>
            <w:tcW w:type="dxa" w:w="1800"/>
            <w:tcMar>
              <w:top w:type="dxa" w:w="60"/>
              <w:left w:type="dxa" w:w="100"/>
              <w:bottom w:type="dxa" w:w="60"/>
              <w:right w:type="dxa" w:w="100"/>
            </w:tcMar>
          </w:tcPr>
          <w:p>
            <w:pPr>
              <w:jc w:val="right"/>
            </w:pPr>
            <w:r>
              <w:rPr>
                <w:b w:val="false"/>
                <w:bCs w:val="false"/>
                <w:color w:val="000000"/>
                <w:sz w:val="19"/>
                <w:szCs w:val="19"/>
              </w:rPr>
              <w:t xml:space="preserve">340</w:t>
            </w:r>
          </w:p>
        </w:tc>
        <w:tc>
          <w:tcPr>
            <w:tcW w:type="dxa" w:w="1800"/>
            <w:tcMar>
              <w:top w:type="dxa" w:w="60"/>
              <w:left w:type="dxa" w:w="100"/>
              <w:bottom w:type="dxa" w:w="60"/>
              <w:right w:type="dxa" w:w="100"/>
            </w:tcMar>
          </w:tcPr>
          <w:p>
            <w:pPr>
              <w:jc w:val="right"/>
            </w:pPr>
            <w:r>
              <w:rPr>
                <w:b w:val="false"/>
                <w:bCs w:val="false"/>
                <w:color w:val="000000"/>
                <w:sz w:val="19"/>
                <w:szCs w:val="19"/>
              </w:rPr>
              <w:t xml:space="preserve">91</w:t>
            </w:r>
          </w:p>
        </w:tc>
        <w:tc>
          <w:tcPr>
            <w:tcW w:type="dxa" w:w="1800"/>
            <w:tcMar>
              <w:top w:type="dxa" w:w="60"/>
              <w:left w:type="dxa" w:w="100"/>
              <w:bottom w:type="dxa" w:w="60"/>
              <w:right w:type="dxa" w:w="100"/>
            </w:tcMar>
          </w:tcPr>
          <w:p>
            <w:pPr>
              <w:jc w:val="right"/>
            </w:pPr>
            <w:r>
              <w:rPr>
                <w:b w:val="false"/>
                <w:bCs w:val="false"/>
                <w:color w:val="000000"/>
                <w:sz w:val="19"/>
                <w:szCs w:val="19"/>
              </w:rPr>
              <w:t xml:space="preserve">26.76%</w:t>
            </w:r>
          </w:p>
        </w:tc>
      </w:tr>
      <w:tr>
        <w:tc>
          <w:tcPr>
            <w:tcW w:type="dxa" w:w="3500"/>
            <w:tcMar>
              <w:top w:type="dxa" w:w="60"/>
              <w:left w:type="dxa" w:w="100"/>
              <w:bottom w:type="dxa" w:w="60"/>
              <w:right w:type="dxa" w:w="100"/>
            </w:tcMar>
          </w:tcPr>
          <w:p>
            <w:pPr>
              <w:jc w:val="left"/>
            </w:pPr>
            <w:r>
              <w:rPr>
                <w:b w:val="false"/>
                <w:bCs w:val="false"/>
                <w:color w:val="000000"/>
                <w:sz w:val="19"/>
                <w:szCs w:val="19"/>
              </w:rPr>
              <w:t xml:space="preserve">8160255418…</w:t>
            </w:r>
          </w:p>
        </w:tc>
        <w:tc>
          <w:tcPr>
            <w:tcW w:type="dxa" w:w="1800"/>
            <w:tcMar>
              <w:top w:type="dxa" w:w="60"/>
              <w:left w:type="dxa" w:w="100"/>
              <w:bottom w:type="dxa" w:w="60"/>
              <w:right w:type="dxa" w:w="100"/>
            </w:tcMar>
          </w:tcPr>
          <w:p>
            <w:pPr>
              <w:jc w:val="right"/>
            </w:pPr>
            <w:r>
              <w:rPr>
                <w:b w:val="false"/>
                <w:bCs w:val="false"/>
                <w:color w:val="000000"/>
                <w:sz w:val="19"/>
                <w:szCs w:val="19"/>
              </w:rPr>
              <w:t xml:space="preserve">385</w:t>
            </w:r>
          </w:p>
        </w:tc>
        <w:tc>
          <w:tcPr>
            <w:tcW w:type="dxa" w:w="1800"/>
            <w:tcMar>
              <w:top w:type="dxa" w:w="60"/>
              <w:left w:type="dxa" w:w="100"/>
              <w:bottom w:type="dxa" w:w="60"/>
              <w:right w:type="dxa" w:w="100"/>
            </w:tcMar>
          </w:tcPr>
          <w:p>
            <w:pPr>
              <w:jc w:val="right"/>
            </w:pPr>
            <w:r>
              <w:rPr>
                <w:b w:val="false"/>
                <w:bCs w:val="false"/>
                <w:color w:val="000000"/>
                <w:sz w:val="19"/>
                <w:szCs w:val="19"/>
              </w:rPr>
              <w:t xml:space="preserve">96</w:t>
            </w:r>
          </w:p>
        </w:tc>
        <w:tc>
          <w:tcPr>
            <w:tcW w:type="dxa" w:w="1800"/>
            <w:tcMar>
              <w:top w:type="dxa" w:w="60"/>
              <w:left w:type="dxa" w:w="100"/>
              <w:bottom w:type="dxa" w:w="60"/>
              <w:right w:type="dxa" w:w="100"/>
            </w:tcMar>
          </w:tcPr>
          <w:p>
            <w:pPr>
              <w:jc w:val="right"/>
            </w:pPr>
            <w:r>
              <w:rPr>
                <w:b w:val="false"/>
                <w:bCs w:val="false"/>
                <w:color w:val="000000"/>
                <w:sz w:val="19"/>
                <w:szCs w:val="19"/>
              </w:rPr>
              <w:t xml:space="preserve">24.94%</w:t>
            </w:r>
          </w:p>
        </w:tc>
      </w:tr>
    </w:tbl>
    <w:p>
      <w:pPr>
        <w:spacing w:after="160"/>
      </w:pPr>
      <w:r>
        <w:rPr>
          <w:i/>
          <w:iCs/>
          <w:color w:val="595959"/>
        </w:rPr>
        <w:t xml:space="preserve">Two sellers warrant different kinds of attention: 88460e8e… has the highest rate (47.56%) but modest volume (246 orders, $31K revenue) — a concentrated, high-severity case. 7c67e144… has a lower rate (29.59%) but by far the highest volume among these five (980 orders, $187K revenue) — its absolute contribution to total late orders is larger even though its rate is lower. Both belong on a watchlist, for different reasons.</w:t>
      </w:r>
    </w:p>
    <w:p>
      <w:pPr>
        <w:pStyle w:val="Heading2"/>
        <w:spacing w:after="120" w:before="260"/>
      </w:pPr>
      <w:r>
        <w:t xml:space="preserve">3.5 Geographic Hotspots</w:t>
      </w:r>
    </w:p>
    <w:p>
      <w:pPr>
        <w:spacing w:after="160"/>
      </w:pPr>
      <w:r>
        <w:t xml:space="preserve">Among the ten highest-volume delivery cities, late rate varies more than volume alone would suggest: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200"/>
        <w:gridCol w:w="2800"/>
        <w:gridCol w:w="2100"/>
      </w:tblGrid>
      <w:tr>
        <w:trPr>
          <w:tblHeader/>
        </w:trPr>
        <w:tc>
          <w:tcPr>
            <w:tcW w:type="dxa" w:w="4200"/>
            <w:shd w:fill="1F3864" w:val="clear"/>
            <w:tcMar>
              <w:top w:type="dxa" w:w="60"/>
              <w:left w:type="dxa" w:w="100"/>
              <w:bottom w:type="dxa" w:w="60"/>
              <w:right w:type="dxa" w:w="100"/>
            </w:tcMar>
          </w:tcPr>
          <w:p>
            <w:pPr>
              <w:jc w:val="left"/>
            </w:pPr>
            <w:r>
              <w:rPr>
                <w:b/>
                <w:bCs/>
                <w:color w:val="FFFFFF"/>
                <w:sz w:val="19"/>
                <w:szCs w:val="19"/>
              </w:rPr>
              <w:t xml:space="preserve">City</w:t>
            </w:r>
          </w:p>
        </w:tc>
        <w:tc>
          <w:tcPr>
            <w:tcW w:type="dxa" w:w="2800"/>
            <w:shd w:fill="1F3864" w:val="clear"/>
            <w:tcMar>
              <w:top w:type="dxa" w:w="60"/>
              <w:left w:type="dxa" w:w="100"/>
              <w:bottom w:type="dxa" w:w="60"/>
              <w:right w:type="dxa" w:w="100"/>
            </w:tcMar>
          </w:tcPr>
          <w:p>
            <w:pPr>
              <w:jc w:val="left"/>
            </w:pPr>
            <w:r>
              <w:rPr>
                <w:b/>
                <w:bCs/>
                <w:color w:val="FFFFFF"/>
                <w:sz w:val="19"/>
                <w:szCs w:val="19"/>
              </w:rPr>
              <w:t xml:space="preserve">Total Orders</w:t>
            </w:r>
          </w:p>
        </w:tc>
        <w:tc>
          <w:tcPr>
            <w:tcW w:type="dxa" w:w="2100"/>
            <w:shd w:fill="1F3864" w:val="clear"/>
            <w:tcMar>
              <w:top w:type="dxa" w:w="60"/>
              <w:left w:type="dxa" w:w="100"/>
              <w:bottom w:type="dxa" w:w="60"/>
              <w:right w:type="dxa" w:w="100"/>
            </w:tcMar>
          </w:tcPr>
          <w:p>
            <w:pPr>
              <w:jc w:val="left"/>
            </w:pPr>
            <w:r>
              <w:rPr>
                <w:b/>
                <w:bCs/>
                <w:color w:val="FFFFFF"/>
                <w:sz w:val="19"/>
                <w:szCs w:val="19"/>
              </w:rPr>
              <w:t xml:space="preserve">Late Rate</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Salvador</w:t>
            </w:r>
          </w:p>
        </w:tc>
        <w:tc>
          <w:tcPr>
            <w:tcW w:type="dxa" w:w="2800"/>
            <w:tcMar>
              <w:top w:type="dxa" w:w="60"/>
              <w:left w:type="dxa" w:w="100"/>
              <w:bottom w:type="dxa" w:w="60"/>
              <w:right w:type="dxa" w:w="100"/>
            </w:tcMar>
          </w:tcPr>
          <w:p>
            <w:pPr>
              <w:jc w:val="right"/>
            </w:pPr>
            <w:r>
              <w:rPr>
                <w:b w:val="false"/>
                <w:bCs w:val="false"/>
                <w:color w:val="000000"/>
                <w:sz w:val="19"/>
                <w:szCs w:val="19"/>
              </w:rPr>
              <w:t xml:space="preserve">1,188</w:t>
            </w:r>
          </w:p>
        </w:tc>
        <w:tc>
          <w:tcPr>
            <w:tcW w:type="dxa" w:w="2100"/>
            <w:tcMar>
              <w:top w:type="dxa" w:w="60"/>
              <w:left w:type="dxa" w:w="100"/>
              <w:bottom w:type="dxa" w:w="60"/>
              <w:right w:type="dxa" w:w="100"/>
            </w:tcMar>
          </w:tcPr>
          <w:p>
            <w:pPr>
              <w:jc w:val="right"/>
            </w:pPr>
            <w:r>
              <w:rPr>
                <w:b w:val="false"/>
                <w:bCs w:val="false"/>
                <w:color w:val="000000"/>
                <w:sz w:val="19"/>
                <w:szCs w:val="19"/>
              </w:rPr>
              <w:t xml:space="preserve">17.51%</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Rio de Janeiro</w:t>
            </w:r>
          </w:p>
        </w:tc>
        <w:tc>
          <w:tcPr>
            <w:tcW w:type="dxa" w:w="2800"/>
            <w:tcMar>
              <w:top w:type="dxa" w:w="60"/>
              <w:left w:type="dxa" w:w="100"/>
              <w:bottom w:type="dxa" w:w="60"/>
              <w:right w:type="dxa" w:w="100"/>
            </w:tcMar>
          </w:tcPr>
          <w:p>
            <w:pPr>
              <w:jc w:val="right"/>
            </w:pPr>
            <w:r>
              <w:rPr>
                <w:b w:val="false"/>
                <w:bCs w:val="false"/>
                <w:color w:val="000000"/>
                <w:sz w:val="19"/>
                <w:szCs w:val="19"/>
              </w:rPr>
              <w:t xml:space="preserve">6,604</w:t>
            </w:r>
          </w:p>
        </w:tc>
        <w:tc>
          <w:tcPr>
            <w:tcW w:type="dxa" w:w="2100"/>
            <w:tcMar>
              <w:top w:type="dxa" w:w="60"/>
              <w:left w:type="dxa" w:w="100"/>
              <w:bottom w:type="dxa" w:w="60"/>
              <w:right w:type="dxa" w:w="100"/>
            </w:tcMar>
          </w:tcPr>
          <w:p>
            <w:pPr>
              <w:jc w:val="right"/>
            </w:pPr>
            <w:r>
              <w:rPr>
                <w:b w:val="false"/>
                <w:bCs w:val="false"/>
                <w:color w:val="000000"/>
                <w:sz w:val="19"/>
                <w:szCs w:val="19"/>
              </w:rPr>
              <w:t xml:space="preserve">11.81%</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Porto Alegre</w:t>
            </w:r>
          </w:p>
        </w:tc>
        <w:tc>
          <w:tcPr>
            <w:tcW w:type="dxa" w:w="2800"/>
            <w:tcMar>
              <w:top w:type="dxa" w:w="60"/>
              <w:left w:type="dxa" w:w="100"/>
              <w:bottom w:type="dxa" w:w="60"/>
              <w:right w:type="dxa" w:w="100"/>
            </w:tcMar>
          </w:tcPr>
          <w:p>
            <w:pPr>
              <w:jc w:val="right"/>
            </w:pPr>
            <w:r>
              <w:rPr>
                <w:b w:val="false"/>
                <w:bCs w:val="false"/>
                <w:color w:val="000000"/>
                <w:sz w:val="19"/>
                <w:szCs w:val="19"/>
              </w:rPr>
              <w:t xml:space="preserve">1,341</w:t>
            </w:r>
          </w:p>
        </w:tc>
        <w:tc>
          <w:tcPr>
            <w:tcW w:type="dxa" w:w="2100"/>
            <w:tcMar>
              <w:top w:type="dxa" w:w="60"/>
              <w:left w:type="dxa" w:w="100"/>
              <w:bottom w:type="dxa" w:w="60"/>
              <w:right w:type="dxa" w:w="100"/>
            </w:tcMar>
          </w:tcPr>
          <w:p>
            <w:pPr>
              <w:jc w:val="right"/>
            </w:pPr>
            <w:r>
              <w:rPr>
                <w:b w:val="false"/>
                <w:bCs w:val="false"/>
                <w:color w:val="000000"/>
                <w:sz w:val="19"/>
                <w:szCs w:val="19"/>
              </w:rPr>
              <w:t xml:space="preserve">11.78%</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Campinas</w:t>
            </w:r>
          </w:p>
        </w:tc>
        <w:tc>
          <w:tcPr>
            <w:tcW w:type="dxa" w:w="2800"/>
            <w:tcMar>
              <w:top w:type="dxa" w:w="60"/>
              <w:left w:type="dxa" w:w="100"/>
              <w:bottom w:type="dxa" w:w="60"/>
              <w:right w:type="dxa" w:w="100"/>
            </w:tcMar>
          </w:tcPr>
          <w:p>
            <w:pPr>
              <w:jc w:val="right"/>
            </w:pPr>
            <w:r>
              <w:rPr>
                <w:b w:val="false"/>
                <w:bCs w:val="false"/>
                <w:color w:val="000000"/>
                <w:sz w:val="19"/>
                <w:szCs w:val="19"/>
              </w:rPr>
              <w:t xml:space="preserve">1,406</w:t>
            </w:r>
          </w:p>
        </w:tc>
        <w:tc>
          <w:tcPr>
            <w:tcW w:type="dxa" w:w="2100"/>
            <w:tcMar>
              <w:top w:type="dxa" w:w="60"/>
              <w:left w:type="dxa" w:w="100"/>
              <w:bottom w:type="dxa" w:w="60"/>
              <w:right w:type="dxa" w:w="100"/>
            </w:tcMar>
          </w:tcPr>
          <w:p>
            <w:pPr>
              <w:jc w:val="right"/>
            </w:pPr>
            <w:r>
              <w:rPr>
                <w:b w:val="false"/>
                <w:bCs w:val="false"/>
                <w:color w:val="000000"/>
                <w:sz w:val="19"/>
                <w:szCs w:val="19"/>
              </w:rPr>
              <w:t xml:space="preserve">10.17%</w:t>
            </w:r>
          </w:p>
        </w:tc>
      </w:tr>
      <w:tr>
        <w:tc>
          <w:tcPr>
            <w:tcW w:type="dxa" w:w="4200"/>
            <w:tcMar>
              <w:top w:type="dxa" w:w="60"/>
              <w:left w:type="dxa" w:w="100"/>
              <w:bottom w:type="dxa" w:w="60"/>
              <w:right w:type="dxa" w:w="100"/>
            </w:tcMar>
          </w:tcPr>
          <w:p>
            <w:pPr>
              <w:jc w:val="left"/>
            </w:pPr>
            <w:r>
              <w:rPr>
                <w:b w:val="false"/>
                <w:bCs w:val="false"/>
                <w:color w:val="000000"/>
                <w:sz w:val="19"/>
                <w:szCs w:val="19"/>
              </w:rPr>
              <w:t xml:space="preserve">São Paulo</w:t>
            </w:r>
          </w:p>
        </w:tc>
        <w:tc>
          <w:tcPr>
            <w:tcW w:type="dxa" w:w="2800"/>
            <w:tcMar>
              <w:top w:type="dxa" w:w="60"/>
              <w:left w:type="dxa" w:w="100"/>
              <w:bottom w:type="dxa" w:w="60"/>
              <w:right w:type="dxa" w:w="100"/>
            </w:tcMar>
          </w:tcPr>
          <w:p>
            <w:pPr>
              <w:jc w:val="right"/>
            </w:pPr>
            <w:r>
              <w:rPr>
                <w:b w:val="false"/>
                <w:bCs w:val="false"/>
                <w:color w:val="000000"/>
                <w:sz w:val="19"/>
                <w:szCs w:val="19"/>
              </w:rPr>
              <w:t xml:space="preserve">15,046</w:t>
            </w:r>
          </w:p>
        </w:tc>
        <w:tc>
          <w:tcPr>
            <w:tcW w:type="dxa" w:w="2100"/>
            <w:tcMar>
              <w:top w:type="dxa" w:w="60"/>
              <w:left w:type="dxa" w:w="100"/>
              <w:bottom w:type="dxa" w:w="60"/>
              <w:right w:type="dxa" w:w="100"/>
            </w:tcMar>
          </w:tcPr>
          <w:p>
            <w:pPr>
              <w:jc w:val="right"/>
            </w:pPr>
            <w:r>
              <w:rPr>
                <w:b w:val="false"/>
                <w:bCs w:val="false"/>
                <w:color w:val="000000"/>
                <w:sz w:val="19"/>
                <w:szCs w:val="19"/>
              </w:rPr>
              <w:t xml:space="preserve">6.26%</w:t>
            </w:r>
          </w:p>
        </w:tc>
      </w:tr>
    </w:tbl>
    <w:p>
      <w:pPr>
        <w:spacing w:after="160"/>
      </w:pPr>
      <w:r>
        <w:rPr>
          <w:b/>
          <w:bCs/>
        </w:rPr>
        <w:t xml:space="preserve">Salvador stands out: despite far lower order volume than São Paulo or Rio, its late rate is close to three times São Paulo's — suggesting a regional carrier or route issue specific to that city rather than a citywide demand problem.</w:t>
      </w:r>
    </w:p>
    <w:p>
      <w:pPr>
        <w:pStyle w:val="Heading2"/>
        <w:spacing w:after="120" w:before="260"/>
      </w:pPr>
      <w:r>
        <w:t xml:space="preserve">3.6 Product Category Patterns</w:t>
      </w:r>
    </w:p>
    <w:p>
      <w:pPr>
        <w:spacing w:after="160"/>
      </w:pPr>
      <w:r>
        <w:t xml:space="preserve">Late rates across the ten highest-volume product categories are comparatively uniform, ranging from 6.95% (housewares) to 8.97% (health &amp; beauty). No single category is a dramatic outlier the way Salvador is geographically, which suggests category-level intervention is a lower priority than seller- and geography-level action.</w:t>
      </w:r>
    </w:p>
    <w:p>
      <w:pPr>
        <w:pStyle w:val="Heading2"/>
        <w:spacing w:after="120" w:before="260"/>
      </w:pPr>
      <w:r>
        <w:t xml:space="preserve">3.7 Customer Retention</w:t>
      </w:r>
    </w:p>
    <w:p>
      <w:pPr>
        <w:spacing w:after="160"/>
      </w:pPr>
      <w:r>
        <w:t xml:space="preserve">Using customer_unique_id (the correct identifier for a returning shopper, as distinct from the per-order customer_id), 96,096 unique customers placed orders over the two-year window, of whom only 2,997 (3.12%) placed more than one order.</w:t>
      </w:r>
    </w:p>
    <w:p>
      <w:pPr>
        <w:spacing w:after="160"/>
      </w:pPr>
      <w:r>
        <w:rPr>
          <w:i/>
          <w:iCs/>
          <w:color w:val="595959"/>
        </w:rPr>
        <w:t xml:space="preserve">A 3.12% repeat-purchase rate is low for an e-commerce marketplace and is worth investigating as its own workstream — delivery experience is one plausible contributor given the review-score findings below, but pricing, product range, and competitive alternatives are equally plausible and were outside this analysis's scope.</w:t>
      </w:r>
    </w:p>
    <w:p>
      <w:pPr>
        <w:pStyle w:val="Heading2"/>
        <w:spacing w:after="120" w:before="260"/>
      </w:pPr>
      <w:r>
        <w:t xml:space="preserve">3.8 Delivery Performance and Customer Reviews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2100"/>
      </w:tblGrid>
      <w:tr>
        <w:trPr>
          <w:tblHeader/>
        </w:trPr>
        <w:tc>
          <w:tcPr>
            <w:tcW w:type="dxa" w:w="2800"/>
            <w:shd w:fill="1F3864" w:val="clear"/>
            <w:tcMar>
              <w:top w:type="dxa" w:w="60"/>
              <w:left w:type="dxa" w:w="100"/>
              <w:bottom w:type="dxa" w:w="60"/>
              <w:right w:type="dxa" w:w="100"/>
            </w:tcMar>
          </w:tcPr>
          <w:p>
            <w:pPr>
              <w:jc w:val="left"/>
            </w:pPr>
            <w:r>
              <w:rPr>
                <w:b/>
                <w:bCs/>
                <w:color w:val="FFFFFF"/>
                <w:sz w:val="19"/>
                <w:szCs w:val="19"/>
              </w:rPr>
              <w:t xml:space="preserve">Review Score</w:t>
            </w:r>
          </w:p>
        </w:tc>
        <w:tc>
          <w:tcPr>
            <w:tcW w:type="dxa" w:w="2200"/>
            <w:shd w:fill="1F3864" w:val="clear"/>
            <w:tcMar>
              <w:top w:type="dxa" w:w="60"/>
              <w:left w:type="dxa" w:w="100"/>
              <w:bottom w:type="dxa" w:w="60"/>
              <w:right w:type="dxa" w:w="100"/>
            </w:tcMar>
          </w:tcPr>
          <w:p>
            <w:pPr>
              <w:jc w:val="left"/>
            </w:pPr>
            <w:r>
              <w:rPr>
                <w:b/>
                <w:bCs/>
                <w:color w:val="FFFFFF"/>
                <w:sz w:val="19"/>
                <w:szCs w:val="19"/>
              </w:rPr>
              <w:t xml:space="preserve">Late Orders</w:t>
            </w:r>
          </w:p>
        </w:tc>
        <w:tc>
          <w:tcPr>
            <w:tcW w:type="dxa" w:w="2400"/>
            <w:shd w:fill="1F3864" w:val="clear"/>
            <w:tcMar>
              <w:top w:type="dxa" w:w="60"/>
              <w:left w:type="dxa" w:w="100"/>
              <w:bottom w:type="dxa" w:w="60"/>
              <w:right w:type="dxa" w:w="100"/>
            </w:tcMar>
          </w:tcPr>
          <w:p>
            <w:pPr>
              <w:jc w:val="left"/>
            </w:pPr>
            <w:r>
              <w:rPr>
                <w:b/>
                <w:bCs/>
                <w:color w:val="FFFFFF"/>
                <w:sz w:val="19"/>
                <w:szCs w:val="19"/>
              </w:rPr>
              <w:t xml:space="preserve">On-Time Orders</w:t>
            </w:r>
          </w:p>
        </w:tc>
        <w:tc>
          <w:tcPr>
            <w:tcW w:type="dxa" w:w="2100"/>
            <w:shd w:fill="1F3864" w:val="clear"/>
            <w:tcMar>
              <w:top w:type="dxa" w:w="60"/>
              <w:left w:type="dxa" w:w="100"/>
              <w:bottom w:type="dxa" w:w="60"/>
              <w:right w:type="dxa" w:w="100"/>
            </w:tcMar>
          </w:tcPr>
          <w:p>
            <w:pPr>
              <w:jc w:val="left"/>
            </w:pPr>
            <w:r>
              <w:rPr>
                <w:b/>
                <w:bCs/>
                <w:color w:val="FFFFFF"/>
                <w:sz w:val="19"/>
                <w:szCs w:val="19"/>
              </w:rPr>
              <w:t xml:space="preserve">On-Time Share</w:t>
            </w:r>
          </w:p>
        </w:tc>
      </w:tr>
      <w:tr>
        <w:tc>
          <w:tcPr>
            <w:tcW w:type="dxa" w:w="2800"/>
            <w:tcMar>
              <w:top w:type="dxa" w:w="60"/>
              <w:left w:type="dxa" w:w="100"/>
              <w:bottom w:type="dxa" w:w="60"/>
              <w:right w:type="dxa" w:w="100"/>
            </w:tcMar>
          </w:tcPr>
          <w:p>
            <w:pPr>
              <w:jc w:val="left"/>
            </w:pPr>
            <w:r>
              <w:rPr>
                <w:b w:val="false"/>
                <w:bCs w:val="false"/>
                <w:color w:val="000000"/>
                <w:sz w:val="19"/>
                <w:szCs w:val="19"/>
              </w:rPr>
              <w:t xml:space="preserve">1</w:t>
            </w:r>
          </w:p>
        </w:tc>
        <w:tc>
          <w:tcPr>
            <w:tcW w:type="dxa" w:w="2200"/>
            <w:tcMar>
              <w:top w:type="dxa" w:w="60"/>
              <w:left w:type="dxa" w:w="100"/>
              <w:bottom w:type="dxa" w:w="60"/>
              <w:right w:type="dxa" w:w="100"/>
            </w:tcMar>
          </w:tcPr>
          <w:p>
            <w:pPr>
              <w:jc w:val="right"/>
            </w:pPr>
            <w:r>
              <w:rPr>
                <w:b w:val="false"/>
                <w:bCs w:val="false"/>
                <w:color w:val="000000"/>
                <w:sz w:val="19"/>
                <w:szCs w:val="19"/>
              </w:rPr>
              <w:t xml:space="preserve">3,543</w:t>
            </w:r>
          </w:p>
        </w:tc>
        <w:tc>
          <w:tcPr>
            <w:tcW w:type="dxa" w:w="2400"/>
            <w:tcMar>
              <w:top w:type="dxa" w:w="60"/>
              <w:left w:type="dxa" w:w="100"/>
              <w:bottom w:type="dxa" w:w="60"/>
              <w:right w:type="dxa" w:w="100"/>
            </w:tcMar>
          </w:tcPr>
          <w:p>
            <w:pPr>
              <w:jc w:val="right"/>
            </w:pPr>
            <w:r>
              <w:rPr>
                <w:b w:val="false"/>
                <w:bCs w:val="false"/>
                <w:color w:val="000000"/>
                <w:sz w:val="19"/>
                <w:szCs w:val="19"/>
              </w:rPr>
              <w:t xml:space="preserve">5,841</w:t>
            </w:r>
          </w:p>
        </w:tc>
        <w:tc>
          <w:tcPr>
            <w:tcW w:type="dxa" w:w="2100"/>
            <w:tcMar>
              <w:top w:type="dxa" w:w="60"/>
              <w:left w:type="dxa" w:w="100"/>
              <w:bottom w:type="dxa" w:w="60"/>
              <w:right w:type="dxa" w:w="100"/>
            </w:tcMar>
          </w:tcPr>
          <w:p>
            <w:pPr>
              <w:jc w:val="right"/>
            </w:pPr>
            <w:r>
              <w:rPr>
                <w:b w:val="false"/>
                <w:bCs w:val="false"/>
                <w:color w:val="000000"/>
                <w:sz w:val="19"/>
                <w:szCs w:val="19"/>
              </w:rPr>
              <w:t xml:space="preserve">62.3%</w:t>
            </w:r>
          </w:p>
        </w:tc>
      </w:tr>
      <w:tr>
        <w:tc>
          <w:tcPr>
            <w:tcW w:type="dxa" w:w="2800"/>
            <w:tcMar>
              <w:top w:type="dxa" w:w="60"/>
              <w:left w:type="dxa" w:w="100"/>
              <w:bottom w:type="dxa" w:w="60"/>
              <w:right w:type="dxa" w:w="100"/>
            </w:tcMar>
          </w:tcPr>
          <w:p>
            <w:pPr>
              <w:jc w:val="left"/>
            </w:pPr>
            <w:r>
              <w:rPr>
                <w:b w:val="false"/>
                <w:bCs w:val="false"/>
                <w:color w:val="000000"/>
                <w:sz w:val="19"/>
                <w:szCs w:val="19"/>
              </w:rPr>
              <w:t xml:space="preserve">2</w:t>
            </w:r>
          </w:p>
        </w:tc>
        <w:tc>
          <w:tcPr>
            <w:tcW w:type="dxa" w:w="2200"/>
            <w:tcMar>
              <w:top w:type="dxa" w:w="60"/>
              <w:left w:type="dxa" w:w="100"/>
              <w:bottom w:type="dxa" w:w="60"/>
              <w:right w:type="dxa" w:w="100"/>
            </w:tcMar>
          </w:tcPr>
          <w:p>
            <w:pPr>
              <w:jc w:val="right"/>
            </w:pPr>
            <w:r>
              <w:rPr>
                <w:b w:val="false"/>
                <w:bCs w:val="false"/>
                <w:color w:val="000000"/>
                <w:sz w:val="19"/>
                <w:szCs w:val="19"/>
              </w:rPr>
              <w:t xml:space="preserve">604</w:t>
            </w:r>
          </w:p>
        </w:tc>
        <w:tc>
          <w:tcPr>
            <w:tcW w:type="dxa" w:w="2400"/>
            <w:tcMar>
              <w:top w:type="dxa" w:w="60"/>
              <w:left w:type="dxa" w:w="100"/>
              <w:bottom w:type="dxa" w:w="60"/>
              <w:right w:type="dxa" w:w="100"/>
            </w:tcMar>
          </w:tcPr>
          <w:p>
            <w:pPr>
              <w:jc w:val="right"/>
            </w:pPr>
            <w:r>
              <w:rPr>
                <w:b w:val="false"/>
                <w:bCs w:val="false"/>
                <w:color w:val="000000"/>
                <w:sz w:val="19"/>
                <w:szCs w:val="19"/>
              </w:rPr>
              <w:t xml:space="preserve">2,334</w:t>
            </w:r>
          </w:p>
        </w:tc>
        <w:tc>
          <w:tcPr>
            <w:tcW w:type="dxa" w:w="2100"/>
            <w:tcMar>
              <w:top w:type="dxa" w:w="60"/>
              <w:left w:type="dxa" w:w="100"/>
              <w:bottom w:type="dxa" w:w="60"/>
              <w:right w:type="dxa" w:w="100"/>
            </w:tcMar>
          </w:tcPr>
          <w:p>
            <w:pPr>
              <w:jc w:val="right"/>
            </w:pPr>
            <w:r>
              <w:rPr>
                <w:b w:val="false"/>
                <w:bCs w:val="false"/>
                <w:color w:val="000000"/>
                <w:sz w:val="19"/>
                <w:szCs w:val="19"/>
              </w:rPr>
              <w:t xml:space="preserve">79.4%</w:t>
            </w:r>
          </w:p>
        </w:tc>
      </w:tr>
      <w:tr>
        <w:tc>
          <w:tcPr>
            <w:tcW w:type="dxa" w:w="2800"/>
            <w:tcMar>
              <w:top w:type="dxa" w:w="60"/>
              <w:left w:type="dxa" w:w="100"/>
              <w:bottom w:type="dxa" w:w="60"/>
              <w:right w:type="dxa" w:w="100"/>
            </w:tcMar>
          </w:tcPr>
          <w:p>
            <w:pPr>
              <w:jc w:val="left"/>
            </w:pPr>
            <w:r>
              <w:rPr>
                <w:b w:val="false"/>
                <w:bCs w:val="false"/>
                <w:color w:val="000000"/>
                <w:sz w:val="19"/>
                <w:szCs w:val="19"/>
              </w:rPr>
              <w:t xml:space="preserve">3</w:t>
            </w:r>
          </w:p>
        </w:tc>
        <w:tc>
          <w:tcPr>
            <w:tcW w:type="dxa" w:w="2200"/>
            <w:tcMar>
              <w:top w:type="dxa" w:w="60"/>
              <w:left w:type="dxa" w:w="100"/>
              <w:bottom w:type="dxa" w:w="60"/>
              <w:right w:type="dxa" w:w="100"/>
            </w:tcMar>
          </w:tcPr>
          <w:p>
            <w:pPr>
              <w:jc w:val="right"/>
            </w:pPr>
            <w:r>
              <w:rPr>
                <w:b w:val="false"/>
                <w:bCs w:val="false"/>
                <w:color w:val="000000"/>
                <w:sz w:val="19"/>
                <w:szCs w:val="19"/>
              </w:rPr>
              <w:t xml:space="preserve">876</w:t>
            </w:r>
          </w:p>
        </w:tc>
        <w:tc>
          <w:tcPr>
            <w:tcW w:type="dxa" w:w="2400"/>
            <w:tcMar>
              <w:top w:type="dxa" w:w="60"/>
              <w:left w:type="dxa" w:w="100"/>
              <w:bottom w:type="dxa" w:w="60"/>
              <w:right w:type="dxa" w:w="100"/>
            </w:tcMar>
          </w:tcPr>
          <w:p>
            <w:pPr>
              <w:jc w:val="right"/>
            </w:pPr>
            <w:r>
              <w:rPr>
                <w:b w:val="false"/>
                <w:bCs w:val="false"/>
                <w:color w:val="000000"/>
                <w:sz w:val="19"/>
                <w:szCs w:val="19"/>
              </w:rPr>
              <w:t xml:space="preserve">7,067</w:t>
            </w:r>
          </w:p>
        </w:tc>
        <w:tc>
          <w:tcPr>
            <w:tcW w:type="dxa" w:w="2100"/>
            <w:tcMar>
              <w:top w:type="dxa" w:w="60"/>
              <w:left w:type="dxa" w:w="100"/>
              <w:bottom w:type="dxa" w:w="60"/>
              <w:right w:type="dxa" w:w="100"/>
            </w:tcMar>
          </w:tcPr>
          <w:p>
            <w:pPr>
              <w:jc w:val="right"/>
            </w:pPr>
            <w:r>
              <w:rPr>
                <w:b w:val="false"/>
                <w:bCs w:val="false"/>
                <w:color w:val="000000"/>
                <w:sz w:val="19"/>
                <w:szCs w:val="19"/>
              </w:rPr>
              <w:t xml:space="preserve">89.0%</w:t>
            </w:r>
          </w:p>
        </w:tc>
      </w:tr>
      <w:tr>
        <w:tc>
          <w:tcPr>
            <w:tcW w:type="dxa" w:w="2800"/>
            <w:tcMar>
              <w:top w:type="dxa" w:w="60"/>
              <w:left w:type="dxa" w:w="100"/>
              <w:bottom w:type="dxa" w:w="60"/>
              <w:right w:type="dxa" w:w="100"/>
            </w:tcMar>
          </w:tcPr>
          <w:p>
            <w:pPr>
              <w:jc w:val="left"/>
            </w:pPr>
            <w:r>
              <w:rPr>
                <w:b w:val="false"/>
                <w:bCs w:val="false"/>
                <w:color w:val="000000"/>
                <w:sz w:val="19"/>
                <w:szCs w:val="19"/>
              </w:rPr>
              <w:t xml:space="preserve">4</w:t>
            </w:r>
          </w:p>
        </w:tc>
        <w:tc>
          <w:tcPr>
            <w:tcW w:type="dxa" w:w="2200"/>
            <w:tcMar>
              <w:top w:type="dxa" w:w="60"/>
              <w:left w:type="dxa" w:w="100"/>
              <w:bottom w:type="dxa" w:w="60"/>
              <w:right w:type="dxa" w:w="100"/>
            </w:tcMar>
          </w:tcPr>
          <w:p>
            <w:pPr>
              <w:jc w:val="right"/>
            </w:pPr>
            <w:r>
              <w:rPr>
                <w:b w:val="false"/>
                <w:bCs w:val="false"/>
                <w:color w:val="000000"/>
                <w:sz w:val="19"/>
                <w:szCs w:val="19"/>
              </w:rPr>
              <w:t xml:space="preserve">950</w:t>
            </w:r>
          </w:p>
        </w:tc>
        <w:tc>
          <w:tcPr>
            <w:tcW w:type="dxa" w:w="2400"/>
            <w:tcMar>
              <w:top w:type="dxa" w:w="60"/>
              <w:left w:type="dxa" w:w="100"/>
              <w:bottom w:type="dxa" w:w="60"/>
              <w:right w:type="dxa" w:w="100"/>
            </w:tcMar>
          </w:tcPr>
          <w:p>
            <w:pPr>
              <w:jc w:val="right"/>
            </w:pPr>
            <w:r>
              <w:rPr>
                <w:b w:val="false"/>
                <w:bCs w:val="false"/>
                <w:color w:val="000000"/>
                <w:sz w:val="19"/>
                <w:szCs w:val="19"/>
              </w:rPr>
              <w:t xml:space="preserve">17,993</w:t>
            </w:r>
          </w:p>
        </w:tc>
        <w:tc>
          <w:tcPr>
            <w:tcW w:type="dxa" w:w="2100"/>
            <w:tcMar>
              <w:top w:type="dxa" w:w="60"/>
              <w:left w:type="dxa" w:w="100"/>
              <w:bottom w:type="dxa" w:w="60"/>
              <w:right w:type="dxa" w:w="100"/>
            </w:tcMar>
          </w:tcPr>
          <w:p>
            <w:pPr>
              <w:jc w:val="right"/>
            </w:pPr>
            <w:r>
              <w:rPr>
                <w:b w:val="false"/>
                <w:bCs w:val="false"/>
                <w:color w:val="000000"/>
                <w:sz w:val="19"/>
                <w:szCs w:val="19"/>
              </w:rPr>
              <w:t xml:space="preserve">95.0%</w:t>
            </w:r>
          </w:p>
        </w:tc>
      </w:tr>
      <w:tr>
        <w:tc>
          <w:tcPr>
            <w:tcW w:type="dxa" w:w="2800"/>
            <w:tcMar>
              <w:top w:type="dxa" w:w="60"/>
              <w:left w:type="dxa" w:w="100"/>
              <w:bottom w:type="dxa" w:w="60"/>
              <w:right w:type="dxa" w:w="100"/>
            </w:tcMar>
          </w:tcPr>
          <w:p>
            <w:pPr>
              <w:jc w:val="left"/>
            </w:pPr>
            <w:r>
              <w:rPr>
                <w:b w:val="false"/>
                <w:bCs w:val="false"/>
                <w:color w:val="000000"/>
                <w:sz w:val="19"/>
                <w:szCs w:val="19"/>
              </w:rPr>
              <w:t xml:space="preserve">5</w:t>
            </w:r>
          </w:p>
        </w:tc>
        <w:tc>
          <w:tcPr>
            <w:tcW w:type="dxa" w:w="2200"/>
            <w:tcMar>
              <w:top w:type="dxa" w:w="60"/>
              <w:left w:type="dxa" w:w="100"/>
              <w:bottom w:type="dxa" w:w="60"/>
              <w:right w:type="dxa" w:w="100"/>
            </w:tcMar>
          </w:tcPr>
          <w:p>
            <w:pPr>
              <w:jc w:val="right"/>
            </w:pPr>
            <w:r>
              <w:rPr>
                <w:b w:val="false"/>
                <w:bCs w:val="false"/>
                <w:color w:val="000000"/>
                <w:sz w:val="19"/>
                <w:szCs w:val="19"/>
              </w:rPr>
              <w:t xml:space="preserve">1,709</w:t>
            </w:r>
          </w:p>
        </w:tc>
        <w:tc>
          <w:tcPr>
            <w:tcW w:type="dxa" w:w="2400"/>
            <w:tcMar>
              <w:top w:type="dxa" w:w="60"/>
              <w:left w:type="dxa" w:w="100"/>
              <w:bottom w:type="dxa" w:w="60"/>
              <w:right w:type="dxa" w:w="100"/>
            </w:tcMar>
          </w:tcPr>
          <w:p>
            <w:pPr>
              <w:jc w:val="right"/>
            </w:pPr>
            <w:r>
              <w:rPr>
                <w:b w:val="false"/>
                <w:bCs w:val="false"/>
                <w:color w:val="000000"/>
                <w:sz w:val="19"/>
                <w:szCs w:val="19"/>
              </w:rPr>
              <w:t xml:space="preserve">55,102</w:t>
            </w:r>
          </w:p>
        </w:tc>
        <w:tc>
          <w:tcPr>
            <w:tcW w:type="dxa" w:w="2100"/>
            <w:tcMar>
              <w:top w:type="dxa" w:w="60"/>
              <w:left w:type="dxa" w:w="100"/>
              <w:bottom w:type="dxa" w:w="60"/>
              <w:right w:type="dxa" w:w="100"/>
            </w:tcMar>
          </w:tcPr>
          <w:p>
            <w:pPr>
              <w:jc w:val="right"/>
            </w:pPr>
            <w:r>
              <w:rPr>
                <w:b w:val="false"/>
                <w:bCs w:val="false"/>
                <w:color w:val="000000"/>
                <w:sz w:val="19"/>
                <w:szCs w:val="19"/>
              </w:rPr>
              <w:t xml:space="preserve">97.0%</w:t>
            </w:r>
          </w:p>
        </w:tc>
      </w:tr>
    </w:tbl>
    <w:p>
      <w:pPr>
        <w:spacing w:after="160"/>
      </w:pPr>
      <w:r>
        <w:t xml:space="preserve">A chi-square test of independence confirms this is not noise: χ² = 14,169.3, df = 4, p &lt; 0.001. Delivery lateness and review score are statistically associated — on-time delivery share rises steadily from 62.3% among 1-star reviews to 97.0% among 5-star reviews.</w:t>
      </w:r>
    </w:p>
    <w:p>
      <w:pPr>
        <w:spacing w:after="160"/>
      </w:pPr>
      <w:r>
        <w:rPr>
          <w:i/>
          <w:iCs/>
          <w:color w:val="595959"/>
        </w:rPr>
        <w:t xml:space="preserve">One caveat worth stating plainly: on-time delivery clearly helps, but it does not fully explain poor reviews — even among 1-star reviews, 62% of orders were still delivered on time. Other factors (product quality, pricing, seller communication) are driving a meaningful share of dissatisfaction and were outside this analysis's scope.</w:t>
      </w:r>
    </w:p>
    <w:p>
      <w:pPr>
        <w:pStyle w:val="Heading1"/>
        <w:spacing w:after="160" w:before="360"/>
      </w:pPr>
      <w:r>
        <w:t xml:space="preserve">4. Business Recommendations</w:t>
      </w:r>
    </w:p>
    <w:p>
      <w:pPr>
        <w:spacing w:after="160"/>
      </w:pPr>
      <w:r>
        <w:t xml:space="preserve">Each recommendation follows the same structure: the finding it responds to, why it matters to the business, the specific action, and the metric to track afterward.</w:t>
      </w:r>
    </w:p>
    <w:p>
      <w:pPr>
        <w:pStyle w:val="Heading2"/>
        <w:spacing w:after="120" w:before="260"/>
      </w:pPr>
      <w:r>
        <w:t xml:space="preserve">4.1 Investigate the carrier / last-mile network first (Highest priority)</w:t>
      </w:r>
    </w:p>
    <w:p>
      <w:pPr>
        <w:spacing w:after="60"/>
      </w:pPr>
      <w:r>
        <w:rPr>
          <w:b/>
          <w:bCs/>
        </w:rPr>
        <w:t xml:space="preserve">Finding: </w:t>
      </w:r>
      <w:r>
        <w:t xml:space="preserve">72.80% of late-to-customer deliveries occurred despite an on-time seller handoff.</w:t>
      </w:r>
    </w:p>
    <w:p>
      <w:pPr>
        <w:spacing w:after="60"/>
      </w:pPr>
      <w:r>
        <w:rPr>
          <w:b/>
          <w:bCs/>
        </w:rPr>
        <w:t xml:space="preserve">Impact: </w:t>
      </w:r>
      <w:r>
        <w:t xml:space="preserve">This is the single largest lever on the 7.87% customer-facing late rate — larger than anything achievable through seller enforcement alone.</w:t>
      </w:r>
    </w:p>
    <w:p>
      <w:pPr>
        <w:spacing w:after="60"/>
      </w:pPr>
      <w:r>
        <w:rPr>
          <w:b/>
          <w:bCs/>
        </w:rPr>
        <w:t xml:space="preserve">Recommendation: </w:t>
      </w:r>
      <w:r>
        <w:t xml:space="preserve">Open a review with the logistics/carrier partner(s) covering the affected routes; prioritize Salvador specifically given its disproportionate late rate (Section 3.5). Consider a scorecard or SLA renegotiation if a single carrier is concentrated in the worst-performing routes.</w:t>
      </w:r>
    </w:p>
    <w:p>
      <w:pPr>
        <w:spacing w:after="60"/>
      </w:pPr>
      <w:r>
        <w:rPr>
          <w:b/>
          <w:bCs/>
        </w:rPr>
        <w:t xml:space="preserve">Track: </w:t>
      </w:r>
      <w:r>
        <w:t xml:space="preserve">Customer-facing late rate (currently 7.87%) and Salvador's late rate (currently 17.51%) in the following quarter.</w:t>
      </w:r>
    </w:p>
    <w:p>
      <w:pPr>
        <w:pStyle w:val="Heading2"/>
        <w:spacing w:after="120" w:before="260"/>
      </w:pPr>
      <w:r>
        <w:t xml:space="preserve">4.2 Address the seller-side handoff problem with a targeted, rate-based watchlist</w:t>
      </w:r>
    </w:p>
    <w:p>
      <w:pPr>
        <w:spacing w:after="60"/>
      </w:pPr>
      <w:r>
        <w:rPr>
          <w:b/>
          <w:bCs/>
        </w:rPr>
        <w:t xml:space="preserve">Finding: </w:t>
      </w:r>
      <w:r>
        <w:t xml:space="preserve">A small number of sellers (e.g. 88460e8e… at 47.56% late, 7c67e144… at 29.59% late on 980 orders) show late rates far above the 8.91% marketplace average.</w:t>
      </w:r>
    </w:p>
    <w:p>
      <w:pPr>
        <w:spacing w:after="60"/>
      </w:pPr>
      <w:r>
        <w:rPr>
          <w:b/>
          <w:bCs/>
        </w:rPr>
        <w:t xml:space="preserve">Impact: </w:t>
      </w:r>
      <w:r>
        <w:t xml:space="preserve">These sellers erode delivery performance disproportionately to their share of volume, and the high-volume offenders compound the effect.</w:t>
      </w:r>
    </w:p>
    <w:p>
      <w:pPr>
        <w:spacing w:after="60"/>
      </w:pPr>
      <w:r>
        <w:rPr>
          <w:b/>
          <w:bCs/>
        </w:rPr>
        <w:t xml:space="preserve">Recommendation: </w:t>
      </w:r>
      <w:r>
        <w:t xml:space="preserve">Set a late-rate threshold (e.g. &gt;25% on a minimum of 20 orders) that triggers automatic seller review; prioritize high-volume, high-rate sellers like 7c67e144… first, since they contribute the most absolute late orders, while also flagging concentrated high-severity cases like 88460e8e….</w:t>
      </w:r>
    </w:p>
    <w:p>
      <w:pPr>
        <w:spacing w:after="60"/>
      </w:pPr>
      <w:r>
        <w:rPr>
          <w:b/>
          <w:bCs/>
        </w:rPr>
        <w:t xml:space="preserve">Track: </w:t>
      </w:r>
      <w:r>
        <w:t xml:space="preserve">Number of sellers above the late-rate threshold, and their combined share of total late orders, monthly.</w:t>
      </w:r>
    </w:p>
    <w:p>
      <w:pPr>
        <w:pStyle w:val="Heading2"/>
        <w:spacing w:after="120" w:before="260"/>
      </w:pPr>
      <w:r>
        <w:t xml:space="preserve">4.3 Fix payment/approval turnaround as a separate workstream</w:t>
      </w:r>
    </w:p>
    <w:p>
      <w:pPr>
        <w:spacing w:after="60"/>
      </w:pPr>
      <w:r>
        <w:rPr>
          <w:b/>
          <w:bCs/>
        </w:rPr>
        <w:t xml:space="preserve">Finding: </w:t>
      </w:r>
      <w:r>
        <w:t xml:space="preserve">5.13% of orders take over 48 hours to approve, and this is largely independent of carrier delay (only 578 orders overlap).</w:t>
      </w:r>
    </w:p>
    <w:p>
      <w:pPr>
        <w:spacing w:after="60"/>
      </w:pPr>
      <w:r>
        <w:rPr>
          <w:b/>
          <w:bCs/>
        </w:rPr>
        <w:t xml:space="preserve">Impact: </w:t>
      </w:r>
      <w:r>
        <w:t xml:space="preserve">Approval delay pushes back the entire fulfillment clock before the seller or carrier is even involved — fixing carrier issues alone won't resolve this.</w:t>
      </w:r>
    </w:p>
    <w:p>
      <w:pPr>
        <w:spacing w:after="60"/>
      </w:pPr>
      <w:r>
        <w:rPr>
          <w:b/>
          <w:bCs/>
        </w:rPr>
        <w:t xml:space="preserve">Recommendation: </w:t>
      </w:r>
      <w:r>
        <w:t xml:space="preserve">Audit the payment/fraud-check pipeline for the subset of orders exceeding 48 hours to approve; identify whether delay concentrates in specific payment methods.</w:t>
      </w:r>
    </w:p>
    <w:p>
      <w:pPr>
        <w:spacing w:after="60"/>
      </w:pPr>
      <w:r>
        <w:rPr>
          <w:b/>
          <w:bCs/>
        </w:rPr>
        <w:t xml:space="preserve">Track: </w:t>
      </w:r>
      <w:r>
        <w:t xml:space="preserve">% of orders approved within 48 hours.</w:t>
      </w:r>
    </w:p>
    <w:p>
      <w:pPr>
        <w:pStyle w:val="Heading2"/>
        <w:spacing w:after="120" w:before="260"/>
      </w:pPr>
      <w:r>
        <w:t xml:space="preserve">4.4 Treat delivery speed as a retention lever, not just a satisfaction lever</w:t>
      </w:r>
    </w:p>
    <w:p>
      <w:pPr>
        <w:spacing w:after="60"/>
      </w:pPr>
      <w:r>
        <w:rPr>
          <w:b/>
          <w:bCs/>
        </w:rPr>
        <w:t xml:space="preserve">Finding: </w:t>
      </w:r>
      <w:r>
        <w:t xml:space="preserve">Only 3.12% of customers return to order again, and delivery lateness is statistically associated with lower review scores.</w:t>
      </w:r>
    </w:p>
    <w:p>
      <w:pPr>
        <w:spacing w:after="60"/>
      </w:pPr>
      <w:r>
        <w:rPr>
          <w:b/>
          <w:bCs/>
        </w:rPr>
        <w:t xml:space="preserve">Impact: </w:t>
      </w:r>
      <w:r>
        <w:t xml:space="preserve">Low repeat-purchase rate limits customer lifetime value; the review-score finding gives a partial, testable explanation.</w:t>
      </w:r>
    </w:p>
    <w:p>
      <w:pPr>
        <w:spacing w:after="60"/>
      </w:pPr>
      <w:r>
        <w:rPr>
          <w:b/>
          <w:bCs/>
        </w:rPr>
        <w:t xml:space="preserve">Recommendation: </w:t>
      </w:r>
      <w:r>
        <w:t xml:space="preserve">Run a targeted win-back offer or satisfaction follow-up for customers who experienced a late delivery, and track whether their repeat-purchase rate differs from customers who received on-time delivery.</w:t>
      </w:r>
    </w:p>
    <w:p>
      <w:pPr>
        <w:spacing w:after="60"/>
      </w:pPr>
      <w:r>
        <w:rPr>
          <w:b/>
          <w:bCs/>
        </w:rPr>
        <w:t xml:space="preserve">Track: </w:t>
      </w:r>
      <w:r>
        <w:t xml:space="preserve">Repeat-purchase rate for late- vs on-time-delivery customers, measured separately.</w:t>
      </w:r>
    </w:p>
    <w:p>
      <w:pPr>
        <w:pStyle w:val="Heading2"/>
        <w:spacing w:after="120" w:before="260"/>
      </w:pPr>
      <w:r>
        <w:t xml:space="preserve">4.5 Do not prioritize category-level intervention</w:t>
      </w:r>
    </w:p>
    <w:p>
      <w:pPr>
        <w:spacing w:after="60"/>
      </w:pPr>
      <w:r>
        <w:rPr>
          <w:b/>
          <w:bCs/>
        </w:rPr>
        <w:t xml:space="preserve">Finding: </w:t>
      </w:r>
      <w:r>
        <w:t xml:space="preserve">Late rates across major product categories are uniform (6.95%–8.97%), unlike sellers or geography.</w:t>
      </w:r>
    </w:p>
    <w:p>
      <w:pPr>
        <w:spacing w:after="60"/>
      </w:pPr>
      <w:r>
        <w:rPr>
          <w:b/>
          <w:bCs/>
        </w:rPr>
        <w:t xml:space="preserve">Recommendation: </w:t>
      </w:r>
      <w:r>
        <w:t xml:space="preserve">Deprioritize category-specific fixes relative to the seller and carrier actions above — the data doesn't support a category being a distinct root cause.</w:t>
      </w:r>
    </w:p>
    <w:p>
      <w:pPr>
        <w:pStyle w:val="Heading1"/>
        <w:spacing w:after="160" w:before="360"/>
      </w:pPr>
      <w:r>
        <w:t xml:space="preserve">5. Limitations &amp; Suggested Next Steps</w:t>
      </w:r>
    </w:p>
    <w:p>
      <w:pPr>
        <w:pStyle w:val="ListParagraph"/>
        <w:numPr>
          <w:ilvl w:val="0"/>
          <w:numId w:val="2"/>
        </w:numPr>
        <w:spacing w:after="80"/>
      </w:pPr>
      <w:r>
        <w:t xml:space="preserve">This analysis is correlational. “Revenue exposure” and the review-score association describe relationships, not proven causal effects — a controlled comparison (e.g. reviews for otherwise-similar orders that were late vs on-time) would strengthen the causal claim.</w:t>
      </w:r>
    </w:p>
    <w:p>
      <w:pPr>
        <w:pStyle w:val="ListParagraph"/>
        <w:numPr>
          <w:ilvl w:val="0"/>
          <w:numId w:val="2"/>
        </w:numPr>
        <w:spacing w:after="80"/>
      </w:pPr>
      <w:r>
        <w:t xml:space="preserve">Seller-level rates use a minimum order-volume floor to avoid small-sample noise, but the threshold chosen is a judgment call and could be revisited with input from operations on what volume constitutes a reliable signal.</w:t>
      </w:r>
    </w:p>
    <w:p>
      <w:pPr>
        <w:pStyle w:val="ListParagraph"/>
        <w:numPr>
          <w:ilvl w:val="0"/>
          <w:numId w:val="2"/>
        </w:numPr>
        <w:spacing w:after="80"/>
      </w:pPr>
      <w:r>
        <w:t xml:space="preserve">Geolocation data (seller–customer distance) was not incorporated; distance is a plausible additional driver of both freight cost and delivery delay and would be a natural extension.</w:t>
      </w:r>
    </w:p>
    <w:p>
      <w:pPr>
        <w:pStyle w:val="ListParagraph"/>
        <w:numPr>
          <w:ilvl w:val="0"/>
          <w:numId w:val="2"/>
        </w:numPr>
        <w:spacing w:after="80"/>
      </w:pPr>
      <w:r>
        <w:t xml:space="preserve">Payment method and installment data (from the payments table) were not analyzed; approval-delay patterns by payment method could sharpen Recommendation 4.3.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pPr>
    <w:rPr>
      <w:b/>
      <w:bCs/>
      <w:color w:val="1F3864"/>
      <w:sz w:val="30"/>
      <w:szCs w:val="30"/>
    </w:rPr>
  </w:style>
  <w:style w:type="paragraph" w:styleId="Heading2">
    <w:name w:val="Heading 2"/>
    <w:basedOn w:val="Normal"/>
    <w:next w:val="Normal"/>
    <w:pPr>
      <w:spacing w:after="120" w:before="260"/>
    </w:pPr>
    <w:rPr>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2026-08-26T19:12:42.609Z</dcterms:created>
  <dcterms:modified xsi:type="dcterms:W3CDTF">2026-08-26T19:12:42.609Z</dcterms:modified>
</cp:coreProperties>
</file>

<file path=docProps/custom.xml><?xml version="1.0" encoding="utf-8"?>
<Properties xmlns="http://schemas.openxmlformats.org/officeDocument/2006/custom-properties" xmlns:vt="http://schemas.openxmlformats.org/officeDocument/2006/docPropsVTypes"/>
</file>