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B2D5C"/>
          <w:sz w:val="52"/>
          <w:szCs w:val="52"/>
        </w:rPr>
        <w:t xml:space="preserve">US Candy Distributor</w:t>
      </w:r>
    </w:p>
    <w:p>
      <w:pPr>
        <w:spacing w:after="40"/>
        <w:jc w:val="center"/>
      </w:pPr>
      <w:r>
        <w:rPr>
          <w:sz w:val="30"/>
          <w:szCs w:val="30"/>
        </w:rPr>
        <w:t xml:space="preserve">Data Warehouse &amp; Exploratory Analysis Report</w:t>
      </w:r>
    </w:p>
    <w:p>
      <w:pPr>
        <w:spacing w:after="400"/>
        <w:jc w:val="center"/>
      </w:pPr>
      <w:r>
        <w:rPr>
          <w:i/>
          <w:iCs/>
          <w:color w:val="666666"/>
          <w:sz w:val="21"/>
          <w:szCs w:val="21"/>
        </w:rPr>
        <w:t xml:space="preserve">Prepared by Omkar Khare</w:t>
      </w:r>
    </w:p>
    <w:p>
      <w:pPr>
        <w:pStyle w:val="Heading2"/>
        <w:spacing w:after="120" w:before="280"/>
      </w:pPr>
      <w:r>
        <w:t xml:space="preserve">Headline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F2E9E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B2D5C"/>
                <w:sz w:val="30"/>
                <w:szCs w:val="30"/>
              </w:rPr>
              <w:t xml:space="preserve">8,549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Total Orders</w:t>
            </w:r>
          </w:p>
        </w:tc>
        <w:tc>
          <w:tcPr>
            <w:tcW w:type="dxa" w:w="2016"/>
            <w:shd w:fill="F2E9E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B2D5C"/>
                <w:sz w:val="30"/>
                <w:szCs w:val="30"/>
              </w:rPr>
              <w:t xml:space="preserve">$141.78K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016"/>
            <w:shd w:fill="F2E9E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B2D5C"/>
                <w:sz w:val="30"/>
                <w:szCs w:val="30"/>
              </w:rPr>
              <w:t xml:space="preserve">$93.44K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Gross Profit</w:t>
            </w:r>
          </w:p>
        </w:tc>
        <w:tc>
          <w:tcPr>
            <w:tcW w:type="dxa" w:w="2016"/>
            <w:shd w:fill="F2E9E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B2D5C"/>
                <w:sz w:val="30"/>
                <w:szCs w:val="30"/>
              </w:rPr>
              <w:t xml:space="preserve">15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dxa" w:w="2016"/>
            <w:shd w:fill="F2E9E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B2D5C"/>
                <w:sz w:val="30"/>
                <w:szCs w:val="30"/>
              </w:rPr>
              <w:t xml:space="preserve">5,044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Customers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1. Overview &amp; Scope</w:t>
      </w:r>
    </w:p>
    <w:p>
      <w:pPr>
        <w:spacing w:after="160"/>
      </w:pPr>
      <w:r>
        <w:t xml:space="preserve">This report summarizes the exploratory data analysis performed on the candy distributor data warehouse, built from five source tables (Sales, Factories, Products, Targets, and a US zip-code reference table) through a Python ETL pipeline (Extract → Transform → Load) into a star-schema warehouse, validated in both SQLite and MySQL.</w:t>
      </w:r>
    </w:p>
    <w:p>
      <w:pPr>
        <w:spacing w:after="160"/>
      </w:pPr>
      <w:r>
        <w:t xml:space="preserve">Analysis covers order-level sales from January 2021 onward, across 15 products, 5 factories, and customers in the US and Canada. 23 Canadian postal codes were excluded from geography-dependent analysis (distance, mapping) since the reference zip table used is scoped to US ZIP codes only — a documented modeling decision, not a data quality issue.</w:t>
      </w:r>
    </w:p>
    <w:p>
      <w:pPr>
        <w:pStyle w:val="Heading1"/>
        <w:spacing w:after="160" w:before="360"/>
      </w:pPr>
      <w:r>
        <w:t xml:space="preserve">2. Revenue &amp; Profitability</w:t>
      </w:r>
    </w:p>
    <w:p>
      <w:pPr>
        <w:pStyle w:val="Heading2"/>
        <w:spacing w:after="120" w:before="280"/>
      </w:pPr>
      <w:r>
        <w:t xml:space="preserve">2.1 Performance by Division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80"/>
        <w:gridCol w:w="1650"/>
        <w:gridCol w:w="1650"/>
        <w:gridCol w:w="1100"/>
        <w:gridCol w:w="1400"/>
        <w:gridCol w:w="1300"/>
      </w:tblGrid>
      <w:tr>
        <w:trPr>
          <w:tblHeader/>
        </w:trPr>
        <w:tc>
          <w:tcPr>
            <w:tcW w:type="dxa" w:w="190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Division</w:t>
            </w:r>
          </w:p>
        </w:tc>
        <w:tc>
          <w:tcPr>
            <w:tcW w:type="dxa" w:w="108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Orders</w:t>
            </w:r>
          </w:p>
        </w:tc>
        <w:tc>
          <w:tcPr>
            <w:tcW w:type="dxa" w:w="165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165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Profit</w:t>
            </w:r>
          </w:p>
        </w:tc>
        <w:tc>
          <w:tcPr>
            <w:tcW w:type="dxa" w:w="110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Margin %</w:t>
            </w:r>
          </w:p>
        </w:tc>
        <w:tc>
          <w:tcPr>
            <w:tcW w:type="dxa" w:w="140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30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of Target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Chocolate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8,205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$131,692.90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$88,824.62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67.5%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$27,000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487.8%</w:t>
            </w:r>
          </w:p>
        </w:tc>
      </w:tr>
      <w:tr>
        <w:tc>
          <w:tcPr>
            <w:tcW w:type="dxa" w:w="19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Other</w:t>
            </w:r>
          </w:p>
        </w:tc>
        <w:tc>
          <w:tcPr>
            <w:tcW w:type="dxa" w:w="108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304</w:t>
            </w:r>
          </w:p>
        </w:tc>
        <w:tc>
          <w:tcPr>
            <w:tcW w:type="dxa" w:w="165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$9,663.25</w:t>
            </w:r>
          </w:p>
        </w:tc>
        <w:tc>
          <w:tcPr>
            <w:tcW w:type="dxa" w:w="165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$4,333.45</w:t>
            </w:r>
          </w:p>
        </w:tc>
        <w:tc>
          <w:tcPr>
            <w:tcW w:type="dxa" w:w="11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37.7%</w:t>
            </w:r>
          </w:p>
        </w:tc>
        <w:tc>
          <w:tcPr>
            <w:tcW w:type="dxa" w:w="14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$3,000</w:t>
            </w:r>
          </w:p>
        </w:tc>
        <w:tc>
          <w:tcPr>
            <w:tcW w:type="dxa" w:w="13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322.1%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Sugar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$427.48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$284.73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57.7%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$15,000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2.8%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Chocolate accounts for over 93% of total revenue and runs at nearly 5x its sales target — a figure large enough that the target itself is worth re-validating rather than treated as pure over-performance. The ‘Other’ division stands out for a different reason: its profit margin (37.7%) trails Chocolate and Sugar by 20–30 points despite decent revenue, and is worth a focused follow-up to determine whether one low-margin product is dragging the average or whether it reflects a structural cost issue in that division.</w:t>
      </w:r>
    </w:p>
    <w:p>
      <w:pPr>
        <w:pStyle w:val="Heading2"/>
        <w:spacing w:after="120" w:before="280"/>
      </w:pPr>
      <w:r>
        <w:t xml:space="preserve">2.2 Top Products by Profit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1300"/>
        <w:gridCol w:w="1750"/>
        <w:gridCol w:w="1750"/>
        <w:gridCol w:w="1600"/>
      </w:tblGrid>
      <w:tr>
        <w:trPr>
          <w:tblHeader/>
        </w:trPr>
        <w:tc>
          <w:tcPr>
            <w:tcW w:type="dxa" w:w="368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30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Orders</w:t>
            </w:r>
          </w:p>
        </w:tc>
        <w:tc>
          <w:tcPr>
            <w:tcW w:type="dxa" w:w="175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175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Profit</w:t>
            </w:r>
          </w:p>
        </w:tc>
        <w:tc>
          <w:tcPr>
            <w:tcW w:type="dxa" w:w="160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Margin %</w:t>
            </w:r>
          </w:p>
        </w:tc>
      </w:tr>
      <w:tr>
        <w:tc>
          <w:tcPr>
            <w:tcW w:type="dxa" w:w="3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Wonka Bar – Scrumdiddlyumptious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1,704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$27,874.80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$19,357.50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69.4%</w:t>
            </w:r>
          </w:p>
        </w:tc>
      </w:tr>
      <w:tr>
        <w:tc>
          <w:tcPr>
            <w:tcW w:type="dxa" w:w="368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Wonka Bar – Triple Dazzle Caramel</w:t>
            </w:r>
          </w:p>
        </w:tc>
        <w:tc>
          <w:tcPr>
            <w:tcW w:type="dxa" w:w="13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1,677</w:t>
            </w:r>
          </w:p>
        </w:tc>
        <w:tc>
          <w:tcPr>
            <w:tcW w:type="dxa" w:w="175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$28,485.00</w:t>
            </w:r>
          </w:p>
        </w:tc>
        <w:tc>
          <w:tcPr>
            <w:tcW w:type="dxa" w:w="175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$18,610.20</w:t>
            </w:r>
          </w:p>
        </w:tc>
        <w:tc>
          <w:tcPr>
            <w:tcW w:type="dxa" w:w="16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65.3%</w:t>
            </w:r>
          </w:p>
        </w:tc>
      </w:tr>
      <w:tr>
        <w:tc>
          <w:tcPr>
            <w:tcW w:type="dxa" w:w="3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Wonka Bar – Milk Chocolate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1,768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$26,867.75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$17,443.37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64.9%</w:t>
            </w:r>
          </w:p>
        </w:tc>
      </w:tr>
      <w:tr>
        <w:tc>
          <w:tcPr>
            <w:tcW w:type="dxa" w:w="368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Wonka Bar – Nutty Crunch Surprise</w:t>
            </w:r>
          </w:p>
        </w:tc>
        <w:tc>
          <w:tcPr>
            <w:tcW w:type="dxa" w:w="13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1,529</w:t>
            </w:r>
          </w:p>
        </w:tc>
        <w:tc>
          <w:tcPr>
            <w:tcW w:type="dxa" w:w="175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$23,574.95</w:t>
            </w:r>
          </w:p>
        </w:tc>
        <w:tc>
          <w:tcPr>
            <w:tcW w:type="dxa" w:w="175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$16,819.95</w:t>
            </w:r>
          </w:p>
        </w:tc>
        <w:tc>
          <w:tcPr>
            <w:tcW w:type="dxa" w:w="16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71.4%</w:t>
            </w:r>
          </w:p>
        </w:tc>
      </w:tr>
      <w:tr>
        <w:tc>
          <w:tcPr>
            <w:tcW w:type="dxa" w:w="3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Wonka Bar – Fudge Mallows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1,527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$24,890.40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$16,593.60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66.7%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 five Wonka Bar chocolate variants above account for the overwhelming majority of both revenue and profit. The remaining ten products (Lickable Wallpaper, Kazookles, Wonka Gum, and smaller sugar-candy lines) contribute a comparatively negligible share — a classic long-tail pattern worth calling out in any recommendation about where to focus operational attention.</w:t>
      </w:r>
    </w:p>
    <w:p>
      <w:pPr>
        <w:pStyle w:val="Heading2"/>
        <w:spacing w:after="120" w:before="280"/>
      </w:pPr>
      <w:r>
        <w:t xml:space="preserve">2.3 Top Cities by Profit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2000"/>
        <w:gridCol w:w="2500"/>
        <w:gridCol w:w="2500"/>
      </w:tblGrid>
      <w:tr>
        <w:trPr>
          <w:tblHeader/>
        </w:trPr>
        <w:tc>
          <w:tcPr>
            <w:tcW w:type="dxa" w:w="308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City</w:t>
            </w:r>
          </w:p>
        </w:tc>
        <w:tc>
          <w:tcPr>
            <w:tcW w:type="dxa" w:w="200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Orders</w:t>
            </w:r>
          </w:p>
        </w:tc>
        <w:tc>
          <w:tcPr>
            <w:tcW w:type="dxa" w:w="250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250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Profit</w:t>
            </w:r>
          </w:p>
        </w:tc>
      </w:tr>
      <w:tr>
        <w:tc>
          <w:tcPr>
            <w:tcW w:type="dxa" w:w="3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York City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761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$12,514.90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$8,240.51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Angeles</w:t>
            </w:r>
          </w:p>
        </w:tc>
        <w:tc>
          <w:tcPr>
            <w:tcW w:type="dxa" w:w="2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629</w:t>
            </w:r>
          </w:p>
        </w:tc>
        <w:tc>
          <w:tcPr>
            <w:tcW w:type="dxa" w:w="25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$10,408.75</w:t>
            </w:r>
          </w:p>
        </w:tc>
        <w:tc>
          <w:tcPr>
            <w:tcW w:type="dxa" w:w="25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$6,898.61</w:t>
            </w:r>
          </w:p>
        </w:tc>
      </w:tr>
      <w:tr>
        <w:tc>
          <w:tcPr>
            <w:tcW w:type="dxa" w:w="3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Philadelphia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450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$7,415.52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$4,813.82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San Francisco</w:t>
            </w:r>
          </w:p>
        </w:tc>
        <w:tc>
          <w:tcPr>
            <w:tcW w:type="dxa" w:w="2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430</w:t>
            </w:r>
          </w:p>
        </w:tc>
        <w:tc>
          <w:tcPr>
            <w:tcW w:type="dxa" w:w="25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$7,018.61</w:t>
            </w:r>
          </w:p>
        </w:tc>
        <w:tc>
          <w:tcPr>
            <w:tcW w:type="dxa" w:w="25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$4,650.77</w:t>
            </w:r>
          </w:p>
        </w:tc>
      </w:tr>
      <w:tr>
        <w:tc>
          <w:tcPr>
            <w:tcW w:type="dxa" w:w="3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Seattle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362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$5,893.39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$3,880.68</w:t>
            </w:r>
          </w:p>
        </w:tc>
      </w:tr>
    </w:tbl>
    <w:p>
      <w:pPr>
        <w:pStyle w:val="Heading1"/>
        <w:spacing w:after="160" w:before="360"/>
      </w:pPr>
      <w:r>
        <w:t xml:space="preserve">3. Logistics Efficiency (Haversine Distance Analysis)</w:t>
      </w:r>
    </w:p>
    <w:p>
      <w:pPr>
        <w:spacing w:after="160"/>
      </w:pPr>
      <w:r>
        <w:t xml:space="preserve">A vectorized Haversine formula was used to compute great-circle distance in miles between each customer's ZIP-code coordinates and their assigned factory, enabling a profit-per-mile efficiency metric across shipping routes (restricted to routes with 3+ orders to avoid noise from one-off outliers).</w:t>
      </w:r>
    </w:p>
    <w:p>
      <w:pPr>
        <w:pStyle w:val="Heading2"/>
        <w:spacing w:after="120" w:before="280"/>
      </w:pPr>
      <w:r>
        <w:t xml:space="preserve">3.1 Most Efficient Routes</w:t>
      </w:r>
    </w:p>
    <w:p>
      <w:pPr>
        <w:spacing w:after="160"/>
      </w:pPr>
      <w:r>
        <w:t xml:space="preserve">Short-haul, high-density metro routes out of “Lot's O' Nuts” (Phoenix-area) dominate the top percentile: Mesa, Phoenix, Tucson, and Glendale (AZ) all show profit-per-mile in the $5–$6+ range over 30–60 mile distances — the tightest, most efficient shipping lanes in the network.</w:t>
      </w:r>
    </w:p>
    <w:p>
      <w:pPr>
        <w:pStyle w:val="Heading2"/>
        <w:spacing w:after="120" w:before="280"/>
      </w:pPr>
      <w:r>
        <w:t xml:space="preserve">3.2 Least Efficient Routes</w:t>
      </w:r>
    </w:p>
    <w:p>
      <w:pPr>
        <w:spacing w:after="160"/>
      </w:pPr>
      <w:r>
        <w:t xml:space="preserve">The bottom percentile is dominated by long-haul routes with collapsed margins: several “The Other Factory” routes into the Northeast (Springfield VA, Philadelphia, New York City) show profit margins as low as 7.7% (versus a typical ~66%) over 700–950+ mile hauls, and a handful of “Wicked Choccy's” / “Sugar Shack” routes stretch past 1,200–2,300 miles for minimal returns.</w:t>
      </w:r>
    </w:p>
    <w:p>
      <w:pPr>
        <w:pStyle w:val="Heading2"/>
        <w:spacing w:after="120" w:before="280"/>
      </w:pPr>
      <w:r>
        <w:t xml:space="preserve">3.3 Factory Reallocation Opportunity</w:t>
      </w:r>
    </w:p>
    <w:p>
      <w:pPr>
        <w:spacing w:after="160"/>
      </w:pPr>
      <w:r>
        <w:t xml:space="preserve">Comparing each product's currently assigned factory against the volume-weighted nearest alternative (computed by cross-joining every order against every factory and taking the minimum distance) surfaces a concrete optimization opportunity: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0"/>
        <w:gridCol w:w="2000"/>
        <w:gridCol w:w="2100"/>
        <w:gridCol w:w="2100"/>
      </w:tblGrid>
      <w:tr>
        <w:trPr>
          <w:tblHeader/>
        </w:trPr>
        <w:tc>
          <w:tcPr>
            <w:tcW w:type="dxa" w:w="388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00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Factory</w:t>
            </w:r>
          </w:p>
        </w:tc>
        <w:tc>
          <w:tcPr>
            <w:tcW w:type="dxa" w:w="210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Alternative</w:t>
            </w:r>
          </w:p>
        </w:tc>
        <w:tc>
          <w:tcPr>
            <w:tcW w:type="dxa" w:w="2100"/>
            <w:shd w:fill="6B2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Savings %</w:t>
            </w:r>
          </w:p>
        </w:tc>
      </w:tr>
      <w:tr>
        <w:tc>
          <w:tcPr>
            <w:tcW w:type="dxa" w:w="38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Laffy Taffy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Sugar Shack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Wicked Choccy's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53.6%</w:t>
            </w:r>
          </w:p>
        </w:tc>
      </w:tr>
      <w:tr>
        <w:tc>
          <w:tcPr>
            <w:tcW w:type="dxa" w:w="388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 Dip</w:t>
            </w:r>
          </w:p>
        </w:tc>
        <w:tc>
          <w:tcPr>
            <w:tcW w:type="dxa" w:w="2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Sugar Shack</w:t>
            </w:r>
          </w:p>
        </w:tc>
        <w:tc>
          <w:tcPr>
            <w:tcW w:type="dxa" w:w="21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Secret Factory</w:t>
            </w:r>
          </w:p>
        </w:tc>
        <w:tc>
          <w:tcPr>
            <w:tcW w:type="dxa" w:w="21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42.2%</w:t>
            </w:r>
          </w:p>
        </w:tc>
      </w:tr>
      <w:tr>
        <w:tc>
          <w:tcPr>
            <w:tcW w:type="dxa" w:w="38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Nerds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Sugar Shack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Wicked Choccy's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40.7%</w:t>
            </w:r>
          </w:p>
        </w:tc>
      </w:tr>
      <w:tr>
        <w:tc>
          <w:tcPr>
            <w:tcW w:type="dxa" w:w="388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Wonka Bar – Nutty Crunch Surprise</w:t>
            </w:r>
          </w:p>
        </w:tc>
        <w:tc>
          <w:tcPr>
            <w:tcW w:type="dxa" w:w="20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Lot's O' Nuts</w:t>
            </w:r>
          </w:p>
        </w:tc>
        <w:tc>
          <w:tcPr>
            <w:tcW w:type="dxa" w:w="21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Secret Factory</w:t>
            </w:r>
          </w:p>
        </w:tc>
        <w:tc>
          <w:tcPr>
            <w:tcW w:type="dxa" w:w="2100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29.7%</w:t>
            </w:r>
          </w:p>
        </w:tc>
      </w:tr>
      <w:tr>
        <w:tc>
          <w:tcPr>
            <w:tcW w:type="dxa" w:w="38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Wonka Bar – Scrumdiddlyumptious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Lot's O' Nuts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Secret Factory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28.5%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 largest absolute opportunity sits with the high-volume Wonka Bar chocolate line, where “Secret Factory” repeatedly emerges as the lower distance-cost alternative to currently assigned factories, at a volume large enough (millions in weighted unit-distance) that even a ~28–30% reduction represents a meaningful logistics-cost saving.</w:t>
      </w:r>
    </w:p>
    <w:p>
      <w:pPr>
        <w:pStyle w:val="Heading1"/>
        <w:spacing w:after="160" w:before="360"/>
      </w:pPr>
      <w:r>
        <w:t xml:space="preserve">4. Key Findings &amp;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Re-validate the Chocolate division's sales target — running at 487.8% of target for multiple consecutive periods suggests the target itself may be stale rather than the division genuinely overperforming by 5x.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the ‘Other’ division's margin gap (37.7% vs. 57–67% elsewhere) — determine whether it's one underperforming product or a structural cost issue.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 reassigning high-volume Wonka Bar production away from “Lot's O' Nuts” and “Sugar Shack” toward “Secret Factory”, where the data shows a consistent, volume-weighted distance-cost advantage.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the long-haul, low-margin Northeast routes served by “The Other Factory” — margins near 7.7% on 700–950+ mile hauls are outliers worth a root-cause check (pricing, shipping cost allocation, or a genuine candidate for factory reassignment).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Continue monitoring the identified high-efficiency Phoenix-area routes as a benchmark for what a well-matched factory-to-customer assignment looks like.</w:t>
      </w:r>
    </w:p>
    <w:p>
      <w:pPr>
        <w:pStyle w:val="Heading1"/>
        <w:spacing w:after="160" w:before="360"/>
      </w:pPr>
      <w:r>
        <w:t xml:space="preserve">5. Methodology Notes</w:t>
      </w:r>
    </w:p>
    <w:p>
      <w:pPr>
        <w:spacing w:after="160"/>
      </w:pPr>
      <w:r>
        <w:rPr>
          <w:color w:val="555555"/>
          <w:sz w:val="19"/>
          <w:szCs w:val="19"/>
        </w:rPr>
        <w:t xml:space="preserve">Data was extracted from five raw CSVs, cleaned (dtype fixes, zero-padded ZIP codes, deduplication), and loaded into a star-schema warehouse (fact_sales plus dim_products, dim_factories, dim_targets, dim_geography), validated for row-count integrity, referential integrity, and aggregate consistency against the raw source — confirmed to match exactly in both SQLite and MySQL implementations. All figures in this report are drawn directly from that validated warehouse.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2026-09-12T13:41:10.824Z</dcterms:created>
  <dcterms:modified xsi:type="dcterms:W3CDTF">2026-09-12T13:41:10.824Z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