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1A3C5E"/>
          <w:sz w:val="40"/>
          <w:szCs w:val="40"/>
        </w:rPr>
        <w:t xml:space="preserve">STAKEHOLDER IDENTIFICATION REGISTER</w:t>
      </w:r>
    </w:p>
    <w:p>
      <w:pPr>
        <w:spacing w:after="40" w:before="0"/>
      </w:pPr>
      <w:r>
        <w:rPr>
          <w:rFonts w:ascii="Arial" w:cs="Arial" w:eastAsia="Arial" w:hAnsi="Arial"/>
          <w:color w:val="2E75B6"/>
          <w:sz w:val="26"/>
          <w:szCs w:val="26"/>
        </w:rPr>
        <w:t xml:space="preserve">e-Bike Rental Startup — Business Analysis Case Study</w:t>
      </w:r>
    </w:p>
    <w:p>
      <w:pPr>
        <w:pBdr>
          <w:bottom w:val="single" w:color="2E75B6" w:sz="6" w:space="1"/>
        </w:pBdr>
        <w:spacing w:after="80" w:before="80"/>
      </w:pPr>
      <w:r>
        <w:t xml:space="preserve"/>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2200"/>
        <w:gridCol w:w="1880"/>
      </w:tblGrid>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666666"/>
                <w:sz w:val="18"/>
                <w:szCs w:val="18"/>
              </w:rPr>
              <w:t xml:space="preserve">Document Title</w:t>
            </w:r>
          </w:p>
        </w:tc>
        <w:tc>
          <w:tcPr>
            <w:tcW w:type="dxa" w:w="3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Stakeholder Identification Register</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666666"/>
                <w:sz w:val="18"/>
                <w:szCs w:val="18"/>
              </w:rPr>
              <w:t xml:space="preserve">Version</w:t>
            </w:r>
          </w:p>
        </w:tc>
        <w:tc>
          <w:tcPr>
            <w:tcW w:type="dxa" w:w="1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v1.0</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666666"/>
                <w:sz w:val="18"/>
                <w:szCs w:val="18"/>
              </w:rPr>
              <w:t xml:space="preserve">BABOK Area</w:t>
            </w:r>
          </w:p>
        </w:tc>
        <w:tc>
          <w:tcPr>
            <w:tcW w:type="dxa" w:w="3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Elicitation &amp; Collaboration</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666666"/>
                <w:sz w:val="18"/>
                <w:szCs w:val="18"/>
              </w:rPr>
              <w:t xml:space="preserve">Status</w:t>
            </w:r>
          </w:p>
        </w:tc>
        <w:tc>
          <w:tcPr>
            <w:tcW w:type="dxa" w:w="1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Baseline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666666"/>
                <w:sz w:val="18"/>
                <w:szCs w:val="18"/>
              </w:rPr>
              <w:t xml:space="preserve">Author</w:t>
            </w:r>
          </w:p>
        </w:tc>
        <w:tc>
          <w:tcPr>
            <w:tcW w:type="dxa" w:w="3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[Your Name], Business Analyst</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666666"/>
                <w:sz w:val="18"/>
                <w:szCs w:val="18"/>
              </w:rPr>
              <w:t xml:space="preserve">Date</w:t>
            </w:r>
          </w:p>
        </w:tc>
        <w:tc>
          <w:tcPr>
            <w:tcW w:type="dxa" w:w="1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May 2026</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666666"/>
                <w:sz w:val="18"/>
                <w:szCs w:val="18"/>
              </w:rPr>
              <w:t xml:space="preserve">Agile Artifact</w:t>
            </w:r>
          </w:p>
        </w:tc>
        <w:tc>
          <w:tcPr>
            <w:tcW w:type="dxa" w:w="3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Input to Product Backlog &amp; Sprint Planning</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666666"/>
                <w:sz w:val="18"/>
                <w:szCs w:val="18"/>
              </w:rPr>
              <w:t xml:space="preserve">Project</w:t>
            </w:r>
          </w:p>
        </w:tc>
        <w:tc>
          <w:tcPr>
            <w:tcW w:type="dxa" w:w="1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e-Bike Rental Startup</w:t>
            </w:r>
          </w:p>
        </w:tc>
      </w:tr>
    </w:tbl>
    <w:p>
      <w:pPr>
        <w:spacing w:after="0" w:before="280"/>
      </w:pPr>
      <w:r>
        <w:t xml:space="preserve"/>
      </w:r>
    </w:p>
    <w:p>
      <w:pPr>
        <w:pBdr>
          <w:bottom w:val="single" w:color="2E75B6" w:sz="6" w:space="1"/>
        </w:pBdr>
        <w:spacing w:after="80" w:before="80"/>
      </w:pPr>
      <w:r>
        <w:t xml:space="preserve"/>
      </w:r>
    </w:p>
    <w:p>
      <w:pPr>
        <w:pBdr>
          <w:bottom w:val="single" w:color="2E75B6" w:sz="4" w:space="4"/>
        </w:pBdr>
        <w:spacing w:after="100" w:before="280"/>
      </w:pPr>
      <w:r>
        <w:rPr>
          <w:rFonts w:ascii="Arial" w:cs="Arial" w:eastAsia="Arial" w:hAnsi="Arial"/>
          <w:b/>
          <w:bCs/>
          <w:color w:val="1A3C5E"/>
          <w:sz w:val="28"/>
          <w:szCs w:val="28"/>
        </w:rPr>
        <w:t xml:space="preserve">1.  Purpose</w:t>
      </w:r>
    </w:p>
    <w:p>
      <w:pPr>
        <w:spacing w:after="60" w:before="60"/>
      </w:pPr>
      <w:r>
        <w:rPr>
          <w:rFonts w:ascii="Arial" w:cs="Arial" w:eastAsia="Arial" w:hAnsi="Arial"/>
          <w:b w:val="false"/>
          <w:bCs w:val="false"/>
          <w:color w:val="1A1A1A"/>
          <w:sz w:val="22"/>
          <w:szCs w:val="22"/>
        </w:rPr>
        <w:t xml:space="preserve">This document identifies all potential stakeholders for the e-Bike Rental Startup prior to requirements elicitation. Stakeholder identification is the foundational step in the BABOK Elicitation &amp; Collaboration knowledge area, ensuring that no impacted party is overlooked during requirements gathering.</w:t>
      </w:r>
    </w:p>
    <w:p>
      <w:pPr>
        <w:spacing w:after="0" w:before="80"/>
      </w:pPr>
      <w:r>
        <w:t xml:space="preserve"/>
      </w:r>
    </w:p>
    <w:p>
      <w:pPr>
        <w:spacing w:after="60" w:before="60"/>
      </w:pPr>
      <w:r>
        <w:rPr>
          <w:rFonts w:ascii="Arial" w:cs="Arial" w:eastAsia="Arial" w:hAnsi="Arial"/>
          <w:b w:val="false"/>
          <w:bCs w:val="false"/>
          <w:color w:val="1A1A1A"/>
          <w:sz w:val="22"/>
          <w:szCs w:val="22"/>
        </w:rPr>
        <w:t xml:space="preserve">Identifying stakeholders early allows the Business Analyst to:</w:t>
      </w:r>
    </w:p>
    <w:p>
      <w:pPr>
        <w:pStyle w:val="ListParagraph"/>
        <w:numPr>
          <w:ilvl w:val="0"/>
          <w:numId w:val="2"/>
        </w:numPr>
        <w:spacing w:after="40" w:before="40"/>
      </w:pPr>
      <w:r>
        <w:rPr>
          <w:rFonts w:ascii="Arial" w:cs="Arial" w:eastAsia="Arial" w:hAnsi="Arial"/>
          <w:color w:val="1A1A1A"/>
          <w:sz w:val="22"/>
          <w:szCs w:val="22"/>
        </w:rPr>
        <w:t xml:space="preserve">Understand the breadth of perspectives and interests involved</w:t>
      </w:r>
    </w:p>
    <w:p>
      <w:pPr>
        <w:pStyle w:val="ListParagraph"/>
        <w:numPr>
          <w:ilvl w:val="0"/>
          <w:numId w:val="2"/>
        </w:numPr>
        <w:spacing w:after="40" w:before="40"/>
      </w:pPr>
      <w:r>
        <w:rPr>
          <w:rFonts w:ascii="Arial" w:cs="Arial" w:eastAsia="Arial" w:hAnsi="Arial"/>
          <w:color w:val="1A1A1A"/>
          <w:sz w:val="22"/>
          <w:szCs w:val="22"/>
        </w:rPr>
        <w:t xml:space="preserve">Plan targeted elicitation activities per stakeholder group</w:t>
      </w:r>
    </w:p>
    <w:p>
      <w:pPr>
        <w:pStyle w:val="ListParagraph"/>
        <w:numPr>
          <w:ilvl w:val="0"/>
          <w:numId w:val="2"/>
        </w:numPr>
        <w:spacing w:after="40" w:before="40"/>
      </w:pPr>
      <w:r>
        <w:rPr>
          <w:rFonts w:ascii="Arial" w:cs="Arial" w:eastAsia="Arial" w:hAnsi="Arial"/>
          <w:color w:val="1A1A1A"/>
          <w:sz w:val="22"/>
          <w:szCs w:val="22"/>
        </w:rPr>
        <w:t xml:space="preserve">Prioritize engagement based on influence and interest</w:t>
      </w:r>
    </w:p>
    <w:p>
      <w:pPr>
        <w:pStyle w:val="ListParagraph"/>
        <w:numPr>
          <w:ilvl w:val="0"/>
          <w:numId w:val="2"/>
        </w:numPr>
        <w:spacing w:after="40" w:before="40"/>
      </w:pPr>
      <w:r>
        <w:rPr>
          <w:rFonts w:ascii="Arial" w:cs="Arial" w:eastAsia="Arial" w:hAnsi="Arial"/>
          <w:color w:val="1A1A1A"/>
          <w:sz w:val="22"/>
          <w:szCs w:val="22"/>
        </w:rPr>
        <w:t xml:space="preserve">Align Agile user stories and epics to real stakeholder needs</w:t>
      </w:r>
    </w:p>
    <w:p>
      <w:pPr>
        <w:pBdr>
          <w:bottom w:val="single" w:color="2E75B6" w:sz="4" w:space="4"/>
        </w:pBdr>
        <w:spacing w:after="100" w:before="280"/>
      </w:pPr>
      <w:r>
        <w:rPr>
          <w:rFonts w:ascii="Arial" w:cs="Arial" w:eastAsia="Arial" w:hAnsi="Arial"/>
          <w:b/>
          <w:bCs/>
          <w:color w:val="1A3C5E"/>
          <w:sz w:val="28"/>
          <w:szCs w:val="28"/>
        </w:rPr>
        <w:t xml:space="preserve">2.  Scope</w:t>
      </w:r>
    </w:p>
    <w:p>
      <w:pPr>
        <w:spacing w:after="60" w:before="60"/>
      </w:pPr>
      <w:r>
        <w:rPr>
          <w:rFonts w:ascii="Arial" w:cs="Arial" w:eastAsia="Arial" w:hAnsi="Arial"/>
          <w:b w:val="false"/>
          <w:bCs w:val="false"/>
          <w:color w:val="1A1A1A"/>
          <w:sz w:val="22"/>
          <w:szCs w:val="22"/>
        </w:rPr>
        <w:t xml:space="preserve">This register covers stakeholders relevant to the initial metropolitan launch phase of the e-Bike rental startup. Stakeholders are categorized across four layers:</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B2C — Direct end users of the rental service</w:t>
      </w:r>
    </w:p>
    <w:p>
      <w:pPr>
        <w:pStyle w:val="ListParagraph"/>
        <w:numPr>
          <w:ilvl w:val="0"/>
          <w:numId w:val="2"/>
        </w:numPr>
        <w:spacing w:after="40" w:before="40"/>
      </w:pPr>
      <w:r>
        <w:rPr>
          <w:rFonts w:ascii="Arial" w:cs="Arial" w:eastAsia="Arial" w:hAnsi="Arial"/>
          <w:color w:val="1A1A1A"/>
          <w:sz w:val="22"/>
          <w:szCs w:val="22"/>
        </w:rPr>
        <w:t xml:space="preserve">B2B — Institutional and enterprise clients</w:t>
      </w:r>
    </w:p>
    <w:p>
      <w:pPr>
        <w:pStyle w:val="ListParagraph"/>
        <w:numPr>
          <w:ilvl w:val="0"/>
          <w:numId w:val="2"/>
        </w:numPr>
        <w:spacing w:after="40" w:before="40"/>
      </w:pPr>
      <w:r>
        <w:rPr>
          <w:rFonts w:ascii="Arial" w:cs="Arial" w:eastAsia="Arial" w:hAnsi="Arial"/>
          <w:color w:val="1A1A1A"/>
          <w:sz w:val="22"/>
          <w:szCs w:val="22"/>
        </w:rPr>
        <w:t xml:space="preserve">Operational — Partners enabling day-to-day service delivery</w:t>
      </w:r>
    </w:p>
    <w:p>
      <w:pPr>
        <w:pStyle w:val="ListParagraph"/>
        <w:numPr>
          <w:ilvl w:val="0"/>
          <w:numId w:val="2"/>
        </w:numPr>
        <w:spacing w:after="40" w:before="40"/>
      </w:pPr>
      <w:r>
        <w:rPr>
          <w:rFonts w:ascii="Arial" w:cs="Arial" w:eastAsia="Arial" w:hAnsi="Arial"/>
          <w:color w:val="1A1A1A"/>
          <w:sz w:val="22"/>
          <w:szCs w:val="22"/>
        </w:rPr>
        <w:t xml:space="preserve">Financial &amp; Strategic — Stakeholders with investment or expansion interests</w:t>
      </w:r>
    </w:p>
    <w:p>
      <w:pPr>
        <w:pBdr>
          <w:bottom w:val="single" w:color="2E75B6" w:sz="4" w:space="4"/>
        </w:pBdr>
        <w:spacing w:after="100" w:before="280"/>
      </w:pPr>
      <w:r>
        <w:rPr>
          <w:rFonts w:ascii="Arial" w:cs="Arial" w:eastAsia="Arial" w:hAnsi="Arial"/>
          <w:b/>
          <w:bCs/>
          <w:color w:val="1A3C5E"/>
          <w:sz w:val="28"/>
          <w:szCs w:val="28"/>
        </w:rPr>
        <w:t xml:space="preserve">3.  Stakeholder Identification Register</w:t>
      </w:r>
    </w:p>
    <w:p>
      <w:pPr>
        <w:spacing w:after="0" w:before="120"/>
      </w:pPr>
      <w:r>
        <w:t xml:space="preserve"/>
      </w:r>
    </w:p>
    <w:p>
      <w:pPr>
        <w:spacing w:after="80" w:before="200"/>
      </w:pPr>
      <w:r>
        <w:rPr>
          <w:rFonts w:ascii="Arial" w:cs="Arial" w:eastAsia="Arial" w:hAnsi="Arial"/>
          <w:b/>
          <w:bCs/>
          <w:color w:val="2E75B6"/>
          <w:sz w:val="24"/>
          <w:szCs w:val="24"/>
        </w:rPr>
        <w:t xml:space="preserve">3.1  B2C — Direct End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80"/>
        <w:gridCol w:w="3880"/>
      </w:tblGrid>
      <w:tr>
        <w:tc>
          <w:tcPr>
            <w:tcW w:type="dxa" w:w="9360"/>
            <w:gridSpan w:val="3"/>
            <w:tcBorders>
              <w:top w:val="single" w:color="BBBBBB" w:sz="1"/>
              <w:left w:val="single" w:color="BBBBBB" w:sz="1"/>
              <w:bottom w:val="single" w:color="BBBBBB" w:sz="1"/>
              <w:right w:val="single" w:color="BBBBBB" w:sz="1"/>
            </w:tcBorders>
            <w:shd w:fill="1A3C5E" w:val="clear"/>
            <w:tcMar>
              <w:top w:type="dxa" w:w="80"/>
              <w:left w:type="dxa" w:w="160"/>
              <w:bottom w:type="dxa" w:w="80"/>
              <w:right w:type="dxa" w:w="120"/>
            </w:tcMar>
          </w:tcPr>
          <w:p>
            <w:r>
              <w:rPr>
                <w:rFonts w:ascii="Arial" w:cs="Arial" w:eastAsia="Arial" w:hAnsi="Arial"/>
                <w:b/>
                <w:bCs/>
                <w:color w:val="FFFFFF"/>
                <w:sz w:val="22"/>
                <w:szCs w:val="22"/>
              </w:rPr>
              <w:t xml:space="preserve">B2C — Direct End Users</w:t>
            </w:r>
          </w:p>
        </w:tc>
      </w:tr>
      <w:tr>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r>
              <w:rPr>
                <w:rFonts w:ascii="Arial" w:cs="Arial" w:eastAsia="Arial" w:hAnsi="Arial"/>
                <w:b/>
                <w:bCs/>
                <w:color w:val="1A3C5E"/>
                <w:sz w:val="20"/>
                <w:szCs w:val="20"/>
              </w:rPr>
              <w:t xml:space="preserve">Stakeholder</w:t>
            </w:r>
          </w:p>
        </w:tc>
        <w:tc>
          <w:tcPr>
            <w:tcW w:type="dxa" w:w="3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r>
              <w:rPr>
                <w:rFonts w:ascii="Arial" w:cs="Arial" w:eastAsia="Arial" w:hAnsi="Arial"/>
                <w:b/>
                <w:bCs/>
                <w:color w:val="1A3C5E"/>
                <w:sz w:val="20"/>
                <w:szCs w:val="20"/>
              </w:rPr>
              <w:t xml:space="preserve">Examples / Context</w:t>
            </w:r>
          </w:p>
        </w:tc>
        <w:tc>
          <w:tcPr>
            <w:tcW w:type="dxa" w:w="38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r>
              <w:rPr>
                <w:rFonts w:ascii="Arial" w:cs="Arial" w:eastAsia="Arial" w:hAnsi="Arial"/>
                <w:b/>
                <w:bCs/>
                <w:color w:val="1A3C5E"/>
                <w:sz w:val="20"/>
                <w:szCs w:val="20"/>
              </w:rPr>
              <w:t xml:space="preserve">Interest / Expectation</w:t>
            </w:r>
          </w:p>
        </w:tc>
      </w:tr>
      <w:tr>
        <w:tc>
          <w:tcPr>
            <w:tcW w:type="dxa" w:w="1800"/>
            <w:tcBorders>
              <w:top w:val="single" w:color="BBBBBB" w:sz="1"/>
              <w:left w:val="single" w:color="BBBBBB" w:sz="1"/>
              <w:bottom w:val="single" w:color="BBBBBB" w:sz="1"/>
              <w:right w:val="single" w:color="BBBBBB" w:sz="1"/>
            </w:tcBorders>
            <w:shd w:fill="E2EFDA" w:val="clear"/>
            <w:tcMar>
              <w:top w:type="dxa" w:w="100"/>
              <w:left w:type="dxa" w:w="120"/>
              <w:bottom w:type="dxa" w:w="100"/>
              <w:right w:type="dxa" w:w="120"/>
            </w:tcMar>
            <w:vAlign w:val="top"/>
          </w:tcPr>
          <w:p>
            <w:pPr>
              <w:spacing w:after="0" w:before="0"/>
            </w:pPr>
            <w:r>
              <w:rPr>
                <w:rFonts w:ascii="Arial" w:cs="Arial" w:eastAsia="Arial" w:hAnsi="Arial"/>
                <w:b/>
                <w:bCs/>
                <w:color w:val="1A3C5E"/>
                <w:sz w:val="21"/>
                <w:szCs w:val="21"/>
              </w:rPr>
              <w:t xml:space="preserve">Tourists &amp; Visitors</w:t>
            </w:r>
          </w:p>
        </w:tc>
        <w:tc>
          <w:tcPr>
            <w:tcW w:type="dxa" w:w="3680"/>
            <w:tcBorders>
              <w:top w:val="single" w:color="BBBBBB" w:sz="1"/>
              <w:left w:val="single" w:color="BBBBBB" w:sz="1"/>
              <w:bottom w:val="single" w:color="BBBBBB" w:sz="1"/>
              <w:right w:val="single" w:color="BBBBBB" w:sz="1"/>
            </w:tcBorders>
            <w:shd w:fill="E2EFDA" w:val="clear"/>
            <w:tcMar>
              <w:top w:type="dxa" w:w="100"/>
              <w:left w:type="dxa" w:w="120"/>
              <w:bottom w:type="dxa" w:w="100"/>
              <w:right w:type="dxa" w:w="120"/>
            </w:tcMar>
            <w:vAlign w:val="top"/>
          </w:tcPr>
          <w:p>
            <w:pPr>
              <w:spacing w:after="0" w:before="0"/>
            </w:pPr>
            <w:r>
              <w:rPr>
                <w:rFonts w:ascii="Arial" w:cs="Arial" w:eastAsia="Arial" w:hAnsi="Arial"/>
                <w:b w:val="false"/>
                <w:bCs w:val="false"/>
                <w:color w:val="1A1A1A"/>
                <w:sz w:val="20"/>
                <w:szCs w:val="20"/>
              </w:rPr>
              <w:t xml:space="preserve">Travelers at famous tourist spots, heritage sites, national parks, wildlife sanctuaries, and pilgrimage destinations where motorized access is restricted or long walks are required.</w:t>
            </w:r>
          </w:p>
        </w:tc>
        <w:tc>
          <w:tcPr>
            <w:tcW w:type="dxa" w:w="3880"/>
            <w:tcBorders>
              <w:top w:val="single" w:color="BBBBBB" w:sz="1"/>
              <w:left w:val="single" w:color="BBBBBB" w:sz="1"/>
              <w:bottom w:val="single" w:color="BBBBBB" w:sz="1"/>
              <w:right w:val="single" w:color="BBBBBB" w:sz="1"/>
            </w:tcBorders>
            <w:shd w:fill="E2EFDA" w:val="clear"/>
            <w:tcMar>
              <w:top w:type="dxa" w:w="100"/>
              <w:left w:type="dxa" w:w="120"/>
              <w:bottom w:type="dxa" w:w="100"/>
              <w:right w:type="dxa" w:w="120"/>
            </w:tcMar>
            <w:vAlign w:val="top"/>
          </w:tcPr>
          <w:p>
            <w:pPr>
              <w:spacing w:after="0" w:before="0"/>
            </w:pPr>
            <w:r>
              <w:rPr>
                <w:rFonts w:ascii="Arial" w:cs="Arial" w:eastAsia="Arial" w:hAnsi="Arial"/>
                <w:b w:val="false"/>
                <w:bCs w:val="false"/>
                <w:color w:val="1A1A1A"/>
                <w:sz w:val="20"/>
                <w:szCs w:val="20"/>
              </w:rPr>
              <w:t xml:space="preserve">Avoid lengthy walks and cover more sightseeing spots efficiently. Access flexible short-term or hourly rentals without fuel concerns. Expect GPS-integrated route guidance and multilingual app support tailored to tourist zones.</w:t>
            </w:r>
          </w:p>
        </w:tc>
      </w:tr>
      <w:tr>
        <w:tc>
          <w:tcPr>
            <w:tcW w:type="dxa" w:w="1800"/>
            <w:tcBorders>
              <w:top w:val="single" w:color="BBBBBB" w:sz="1"/>
              <w:left w:val="single" w:color="BBBBBB" w:sz="1"/>
              <w:bottom w:val="single" w:color="BBBBBB" w:sz="1"/>
              <w:right w:val="single" w:color="BBBBBB" w:sz="1"/>
            </w:tcBorders>
            <w:shd w:fill="E2EFDA" w:val="clear"/>
            <w:tcMar>
              <w:top w:type="dxa" w:w="100"/>
              <w:left w:type="dxa" w:w="120"/>
              <w:bottom w:type="dxa" w:w="100"/>
              <w:right w:type="dxa" w:w="120"/>
            </w:tcMar>
            <w:vAlign w:val="top"/>
          </w:tcPr>
          <w:p>
            <w:pPr>
              <w:spacing w:after="0" w:before="0"/>
            </w:pPr>
            <w:r>
              <w:rPr>
                <w:rFonts w:ascii="Arial" w:cs="Arial" w:eastAsia="Arial" w:hAnsi="Arial"/>
                <w:b/>
                <w:bCs/>
                <w:color w:val="1A3C5E"/>
                <w:sz w:val="21"/>
                <w:szCs w:val="21"/>
              </w:rPr>
              <w:t xml:space="preserve">General Urban Commuters</w:t>
            </w:r>
          </w:p>
        </w:tc>
        <w:tc>
          <w:tcPr>
            <w:tcW w:type="dxa" w:w="3680"/>
            <w:tcBorders>
              <w:top w:val="single" w:color="BBBBBB" w:sz="1"/>
              <w:left w:val="single" w:color="BBBBBB" w:sz="1"/>
              <w:bottom w:val="single" w:color="BBBBBB" w:sz="1"/>
              <w:right w:val="single" w:color="BBBBBB" w:sz="1"/>
            </w:tcBorders>
            <w:shd w:fill="E2EFDA" w:val="clear"/>
            <w:tcMar>
              <w:top w:type="dxa" w:w="100"/>
              <w:left w:type="dxa" w:w="120"/>
              <w:bottom w:type="dxa" w:w="100"/>
              <w:right w:type="dxa" w:w="120"/>
            </w:tcMar>
            <w:vAlign w:val="top"/>
          </w:tcPr>
          <w:p>
            <w:pPr>
              <w:spacing w:after="0" w:before="0"/>
            </w:pPr>
            <w:r>
              <w:rPr>
                <w:rFonts w:ascii="Arial" w:cs="Arial" w:eastAsia="Arial" w:hAnsi="Arial"/>
                <w:b w:val="false"/>
                <w:bCs w:val="false"/>
                <w:color w:val="1A1A1A"/>
                <w:sz w:val="20"/>
                <w:szCs w:val="20"/>
              </w:rPr>
              <w:t xml:space="preserve">Daily commuters for short-distance travel (1–8 km), occasional riders, students, and residents using e-bikes as a last-mile connectivity solution from transit hubs.</w:t>
            </w:r>
          </w:p>
        </w:tc>
        <w:tc>
          <w:tcPr>
            <w:tcW w:type="dxa" w:w="3880"/>
            <w:tcBorders>
              <w:top w:val="single" w:color="BBBBBB" w:sz="1"/>
              <w:left w:val="single" w:color="BBBBBB" w:sz="1"/>
              <w:bottom w:val="single" w:color="BBBBBB" w:sz="1"/>
              <w:right w:val="single" w:color="BBBBBB" w:sz="1"/>
            </w:tcBorders>
            <w:shd w:fill="E2EFDA" w:val="clear"/>
            <w:tcMar>
              <w:top w:type="dxa" w:w="100"/>
              <w:left w:type="dxa" w:w="120"/>
              <w:bottom w:type="dxa" w:w="100"/>
              <w:right w:type="dxa" w:w="120"/>
            </w:tcMar>
            <w:vAlign w:val="top"/>
          </w:tcPr>
          <w:p>
            <w:pPr>
              <w:spacing w:after="0" w:before="0"/>
            </w:pPr>
            <w:r>
              <w:rPr>
                <w:rFonts w:ascii="Arial" w:cs="Arial" w:eastAsia="Arial" w:hAnsi="Arial"/>
                <w:b w:val="false"/>
                <w:bCs w:val="false"/>
                <w:color w:val="1A1A1A"/>
                <w:sz w:val="20"/>
                <w:szCs w:val="20"/>
              </w:rPr>
              <w:t xml:space="preserve">Affordable hourly, daily, and monthly pass options. Conveniently placed docking/charging stations near metro, bus stops, and residential areas. Seamless pickup and drop-off experience via mobile app.</w:t>
            </w:r>
          </w:p>
        </w:tc>
      </w:tr>
      <w:tr>
        <w:tc>
          <w:tcPr>
            <w:tcW w:type="dxa" w:w="1800"/>
            <w:tcBorders>
              <w:top w:val="single" w:color="BBBBBB" w:sz="1"/>
              <w:left w:val="single" w:color="BBBBBB" w:sz="1"/>
              <w:bottom w:val="single" w:color="BBBBBB" w:sz="1"/>
              <w:right w:val="single" w:color="BBBBBB" w:sz="1"/>
            </w:tcBorders>
            <w:shd w:fill="E2EFDA" w:val="clear"/>
            <w:tcMar>
              <w:top w:type="dxa" w:w="100"/>
              <w:left w:type="dxa" w:w="120"/>
              <w:bottom w:type="dxa" w:w="100"/>
              <w:right w:type="dxa" w:w="120"/>
            </w:tcMar>
            <w:vAlign w:val="top"/>
          </w:tcPr>
          <w:p>
            <w:pPr>
              <w:spacing w:after="0" w:before="0"/>
            </w:pPr>
            <w:r>
              <w:rPr>
                <w:rFonts w:ascii="Arial" w:cs="Arial" w:eastAsia="Arial" w:hAnsi="Arial"/>
                <w:b/>
                <w:bCs/>
                <w:color w:val="1A3C5E"/>
                <w:sz w:val="21"/>
                <w:szCs w:val="21"/>
              </w:rPr>
              <w:t xml:space="preserve">Gig Economy &amp; Delivery Workers</w:t>
            </w:r>
          </w:p>
        </w:tc>
        <w:tc>
          <w:tcPr>
            <w:tcW w:type="dxa" w:w="3680"/>
            <w:tcBorders>
              <w:top w:val="single" w:color="BBBBBB" w:sz="1"/>
              <w:left w:val="single" w:color="BBBBBB" w:sz="1"/>
              <w:bottom w:val="single" w:color="BBBBBB" w:sz="1"/>
              <w:right w:val="single" w:color="BBBBBB" w:sz="1"/>
            </w:tcBorders>
            <w:shd w:fill="E2EFDA" w:val="clear"/>
            <w:tcMar>
              <w:top w:type="dxa" w:w="100"/>
              <w:left w:type="dxa" w:w="120"/>
              <w:bottom w:type="dxa" w:w="100"/>
              <w:right w:type="dxa" w:w="120"/>
            </w:tcMar>
            <w:vAlign w:val="top"/>
          </w:tcPr>
          <w:p>
            <w:pPr>
              <w:spacing w:after="0" w:before="0"/>
            </w:pPr>
            <w:r>
              <w:rPr>
                <w:rFonts w:ascii="Arial" w:cs="Arial" w:eastAsia="Arial" w:hAnsi="Arial"/>
                <w:b w:val="false"/>
                <w:bCs w:val="false"/>
                <w:color w:val="1A1A1A"/>
                <w:sz w:val="20"/>
                <w:szCs w:val="20"/>
              </w:rPr>
              <w:t xml:space="preserve">Food and grocery delivery agents (Zomato, Swiggy, Blinkit), e-commerce last-mile riders operating in high-density restaurant and commercial hubs.</w:t>
            </w:r>
          </w:p>
        </w:tc>
        <w:tc>
          <w:tcPr>
            <w:tcW w:type="dxa" w:w="3880"/>
            <w:tcBorders>
              <w:top w:val="single" w:color="BBBBBB" w:sz="1"/>
              <w:left w:val="single" w:color="BBBBBB" w:sz="1"/>
              <w:bottom w:val="single" w:color="BBBBBB" w:sz="1"/>
              <w:right w:val="single" w:color="BBBBBB" w:sz="1"/>
            </w:tcBorders>
            <w:shd w:fill="E2EFDA" w:val="clear"/>
            <w:tcMar>
              <w:top w:type="dxa" w:w="100"/>
              <w:left w:type="dxa" w:w="120"/>
              <w:bottom w:type="dxa" w:w="100"/>
              <w:right w:type="dxa" w:w="120"/>
            </w:tcMar>
            <w:vAlign w:val="top"/>
          </w:tcPr>
          <w:p>
            <w:pPr>
              <w:spacing w:after="0" w:before="0"/>
            </w:pPr>
            <w:r>
              <w:rPr>
                <w:rFonts w:ascii="Arial" w:cs="Arial" w:eastAsia="Arial" w:hAnsi="Arial"/>
                <w:b w:val="false"/>
                <w:bCs w:val="false"/>
                <w:color w:val="1A1A1A"/>
                <w:sz w:val="20"/>
                <w:szCs w:val="20"/>
              </w:rPr>
              <w:t xml:space="preserve">Cost-effective daily or weekly rental subscriptions. Charging port availability near restaurant clusters and dark kitchens. Flexible subscription extension policies based on usage economy and delivery distance.</w:t>
            </w:r>
          </w:p>
        </w:tc>
      </w:tr>
    </w:tbl>
    <w:p>
      <w:pPr>
        <w:spacing w:after="0" w:before="200"/>
      </w:pPr>
      <w:r>
        <w:t xml:space="preserve"/>
      </w:r>
    </w:p>
    <w:p>
      <w:pPr>
        <w:spacing w:after="80" w:before="200"/>
      </w:pPr>
      <w:r>
        <w:rPr>
          <w:rFonts w:ascii="Arial" w:cs="Arial" w:eastAsia="Arial" w:hAnsi="Arial"/>
          <w:b/>
          <w:bCs/>
          <w:color w:val="2E75B6"/>
          <w:sz w:val="24"/>
          <w:szCs w:val="24"/>
        </w:rPr>
        <w:t xml:space="preserve">3.2  B2B — Institutional &amp; Enterprise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80"/>
        <w:gridCol w:w="3880"/>
      </w:tblGrid>
      <w:tr>
        <w:tc>
          <w:tcPr>
            <w:tcW w:type="dxa" w:w="9360"/>
            <w:gridSpan w:val="3"/>
            <w:tcBorders>
              <w:top w:val="single" w:color="BBBBBB" w:sz="1"/>
              <w:left w:val="single" w:color="BBBBBB" w:sz="1"/>
              <w:bottom w:val="single" w:color="BBBBBB" w:sz="1"/>
              <w:right w:val="single" w:color="BBBBBB" w:sz="1"/>
            </w:tcBorders>
            <w:shd w:fill="1A3C5E" w:val="clear"/>
            <w:tcMar>
              <w:top w:type="dxa" w:w="80"/>
              <w:left w:type="dxa" w:w="160"/>
              <w:bottom w:type="dxa" w:w="80"/>
              <w:right w:type="dxa" w:w="120"/>
            </w:tcMar>
          </w:tcPr>
          <w:p>
            <w:r>
              <w:rPr>
                <w:rFonts w:ascii="Arial" w:cs="Arial" w:eastAsia="Arial" w:hAnsi="Arial"/>
                <w:b/>
                <w:bCs/>
                <w:color w:val="FFFFFF"/>
                <w:sz w:val="22"/>
                <w:szCs w:val="22"/>
              </w:rPr>
              <w:t xml:space="preserve">B2B — Institutional &amp; Enterprise Clients</w:t>
            </w:r>
          </w:p>
        </w:tc>
      </w:tr>
      <w:tr>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r>
              <w:rPr>
                <w:rFonts w:ascii="Arial" w:cs="Arial" w:eastAsia="Arial" w:hAnsi="Arial"/>
                <w:b/>
                <w:bCs/>
                <w:color w:val="1A3C5E"/>
                <w:sz w:val="20"/>
                <w:szCs w:val="20"/>
              </w:rPr>
              <w:t xml:space="preserve">Stakeholder</w:t>
            </w:r>
          </w:p>
        </w:tc>
        <w:tc>
          <w:tcPr>
            <w:tcW w:type="dxa" w:w="3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r>
              <w:rPr>
                <w:rFonts w:ascii="Arial" w:cs="Arial" w:eastAsia="Arial" w:hAnsi="Arial"/>
                <w:b/>
                <w:bCs/>
                <w:color w:val="1A3C5E"/>
                <w:sz w:val="20"/>
                <w:szCs w:val="20"/>
              </w:rPr>
              <w:t xml:space="preserve">Examples / Context</w:t>
            </w:r>
          </w:p>
        </w:tc>
        <w:tc>
          <w:tcPr>
            <w:tcW w:type="dxa" w:w="38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r>
              <w:rPr>
                <w:rFonts w:ascii="Arial" w:cs="Arial" w:eastAsia="Arial" w:hAnsi="Arial"/>
                <w:b/>
                <w:bCs/>
                <w:color w:val="1A3C5E"/>
                <w:sz w:val="20"/>
                <w:szCs w:val="20"/>
              </w:rPr>
              <w:t xml:space="preserve">Interest / Expectation</w:t>
            </w:r>
          </w:p>
        </w:tc>
      </w:tr>
      <w:tr>
        <w:tc>
          <w:tcPr>
            <w:tcW w:type="dxa" w:w="1800"/>
            <w:tcBorders>
              <w:top w:val="single" w:color="BBBBBB" w:sz="1"/>
              <w:left w:val="single" w:color="BBBBBB" w:sz="1"/>
              <w:bottom w:val="single" w:color="BBBBBB" w:sz="1"/>
              <w:right w:val="single" w:color="BBBBBB" w:sz="1"/>
            </w:tcBorders>
            <w:shd w:fill="DDEEFF" w:val="clear"/>
            <w:tcMar>
              <w:top w:type="dxa" w:w="100"/>
              <w:left w:type="dxa" w:w="120"/>
              <w:bottom w:type="dxa" w:w="100"/>
              <w:right w:type="dxa" w:w="120"/>
            </w:tcMar>
            <w:vAlign w:val="top"/>
          </w:tcPr>
          <w:p>
            <w:pPr>
              <w:spacing w:after="0" w:before="0"/>
            </w:pPr>
            <w:r>
              <w:rPr>
                <w:rFonts w:ascii="Arial" w:cs="Arial" w:eastAsia="Arial" w:hAnsi="Arial"/>
                <w:b/>
                <w:bCs/>
                <w:color w:val="1A3C5E"/>
                <w:sz w:val="21"/>
                <w:szCs w:val="21"/>
              </w:rPr>
              <w:t xml:space="preserve">Corporate Employees &amp; Enterprises</w:t>
            </w:r>
          </w:p>
        </w:tc>
        <w:tc>
          <w:tcPr>
            <w:tcW w:type="dxa" w:w="3680"/>
            <w:tcBorders>
              <w:top w:val="single" w:color="BBBBBB" w:sz="1"/>
              <w:left w:val="single" w:color="BBBBBB" w:sz="1"/>
              <w:bottom w:val="single" w:color="BBBBBB" w:sz="1"/>
              <w:right w:val="single" w:color="BBBBBB" w:sz="1"/>
            </w:tcBorders>
            <w:shd w:fill="DDEEFF" w:val="clear"/>
            <w:tcMar>
              <w:top w:type="dxa" w:w="100"/>
              <w:left w:type="dxa" w:w="120"/>
              <w:bottom w:type="dxa" w:w="100"/>
              <w:right w:type="dxa" w:w="120"/>
            </w:tcMar>
            <w:vAlign w:val="top"/>
          </w:tcPr>
          <w:p>
            <w:pPr>
              <w:spacing w:after="0" w:before="0"/>
            </w:pPr>
            <w:r>
              <w:rPr>
                <w:rFonts w:ascii="Arial" w:cs="Arial" w:eastAsia="Arial" w:hAnsi="Arial"/>
                <w:b w:val="false"/>
                <w:bCs w:val="false"/>
                <w:color w:val="1A1A1A"/>
                <w:sz w:val="20"/>
                <w:szCs w:val="20"/>
              </w:rPr>
              <w:t xml:space="preserve">IT parks, SEZs, large campuses (TCS, Infosys, Wipro), organizations with last-mile gap between parking lots or transit stops and office buildings, or large in-campus travel requirements.</w:t>
            </w:r>
          </w:p>
        </w:tc>
        <w:tc>
          <w:tcPr>
            <w:tcW w:type="dxa" w:w="3880"/>
            <w:tcBorders>
              <w:top w:val="single" w:color="BBBBBB" w:sz="1"/>
              <w:left w:val="single" w:color="BBBBBB" w:sz="1"/>
              <w:bottom w:val="single" w:color="BBBBBB" w:sz="1"/>
              <w:right w:val="single" w:color="BBBBBB" w:sz="1"/>
            </w:tcBorders>
            <w:shd w:fill="DDEEFF" w:val="clear"/>
            <w:tcMar>
              <w:top w:type="dxa" w:w="100"/>
              <w:left w:type="dxa" w:w="120"/>
              <w:bottom w:type="dxa" w:w="100"/>
              <w:right w:type="dxa" w:w="120"/>
            </w:tcMar>
            <w:vAlign w:val="top"/>
          </w:tcPr>
          <w:p>
            <w:pPr>
              <w:spacing w:after="0" w:before="0"/>
            </w:pPr>
            <w:r>
              <w:rPr>
                <w:rFonts w:ascii="Arial" w:cs="Arial" w:eastAsia="Arial" w:hAnsi="Arial"/>
                <w:b w:val="false"/>
                <w:bCs w:val="false"/>
                <w:color w:val="1A1A1A"/>
                <w:sz w:val="20"/>
                <w:szCs w:val="20"/>
              </w:rPr>
              <w:t xml:space="preserve">Annual or monthly B2B subscription plans with employee-level access management. In-campus fleet allocation for organizations. Fuel savings reports and sustainability metrics for CSR compliance. Priority vehicle availability during shift hours.</w:t>
            </w:r>
          </w:p>
        </w:tc>
      </w:tr>
      <w:tr>
        <w:tc>
          <w:tcPr>
            <w:tcW w:type="dxa" w:w="1800"/>
            <w:tcBorders>
              <w:top w:val="single" w:color="BBBBBB" w:sz="1"/>
              <w:left w:val="single" w:color="BBBBBB" w:sz="1"/>
              <w:bottom w:val="single" w:color="BBBBBB" w:sz="1"/>
              <w:right w:val="single" w:color="BBBBBB" w:sz="1"/>
            </w:tcBorders>
            <w:shd w:fill="DDEEFF" w:val="clear"/>
            <w:tcMar>
              <w:top w:type="dxa" w:w="100"/>
              <w:left w:type="dxa" w:w="120"/>
              <w:bottom w:type="dxa" w:w="100"/>
              <w:right w:type="dxa" w:w="120"/>
            </w:tcMar>
            <w:vAlign w:val="top"/>
          </w:tcPr>
          <w:p>
            <w:pPr>
              <w:spacing w:after="0" w:before="0"/>
            </w:pPr>
            <w:r>
              <w:rPr>
                <w:rFonts w:ascii="Arial" w:cs="Arial" w:eastAsia="Arial" w:hAnsi="Arial"/>
                <w:b/>
                <w:bCs/>
                <w:color w:val="1A3C5E"/>
                <w:sz w:val="21"/>
                <w:szCs w:val="21"/>
              </w:rPr>
              <w:t xml:space="preserve">Hospitality &amp; Tourism Partners</w:t>
            </w:r>
          </w:p>
        </w:tc>
        <w:tc>
          <w:tcPr>
            <w:tcW w:type="dxa" w:w="3680"/>
            <w:tcBorders>
              <w:top w:val="single" w:color="BBBBBB" w:sz="1"/>
              <w:left w:val="single" w:color="BBBBBB" w:sz="1"/>
              <w:bottom w:val="single" w:color="BBBBBB" w:sz="1"/>
              <w:right w:val="single" w:color="BBBBBB" w:sz="1"/>
            </w:tcBorders>
            <w:shd w:fill="DDEEFF" w:val="clear"/>
            <w:tcMar>
              <w:top w:type="dxa" w:w="100"/>
              <w:left w:type="dxa" w:w="120"/>
              <w:bottom w:type="dxa" w:w="100"/>
              <w:right w:type="dxa" w:w="120"/>
            </w:tcMar>
            <w:vAlign w:val="top"/>
          </w:tcPr>
          <w:p>
            <w:pPr>
              <w:spacing w:after="0" w:before="0"/>
            </w:pPr>
            <w:r>
              <w:rPr>
                <w:rFonts w:ascii="Arial" w:cs="Arial" w:eastAsia="Arial" w:hAnsi="Arial"/>
                <w:b w:val="false"/>
                <w:bCs w:val="false"/>
                <w:color w:val="1A1A1A"/>
                <w:sz w:val="20"/>
                <w:szCs w:val="20"/>
              </w:rPr>
              <w:t xml:space="preserve">Hotels, resorts, Airbnb hosts, travel agencies, and tour operators who wish to offer e-bike rentals as an add-on amenity or curated experience package to their guests.</w:t>
            </w:r>
          </w:p>
        </w:tc>
        <w:tc>
          <w:tcPr>
            <w:tcW w:type="dxa" w:w="3880"/>
            <w:tcBorders>
              <w:top w:val="single" w:color="BBBBBB" w:sz="1"/>
              <w:left w:val="single" w:color="BBBBBB" w:sz="1"/>
              <w:bottom w:val="single" w:color="BBBBBB" w:sz="1"/>
              <w:right w:val="single" w:color="BBBBBB" w:sz="1"/>
            </w:tcBorders>
            <w:shd w:fill="DDEEFF" w:val="clear"/>
            <w:tcMar>
              <w:top w:type="dxa" w:w="100"/>
              <w:left w:type="dxa" w:w="120"/>
              <w:bottom w:type="dxa" w:w="100"/>
              <w:right w:type="dxa" w:w="120"/>
            </w:tcMar>
            <w:vAlign w:val="top"/>
          </w:tcPr>
          <w:p>
            <w:pPr>
              <w:spacing w:after="0" w:before="0"/>
            </w:pPr>
            <w:r>
              <w:rPr>
                <w:rFonts w:ascii="Arial" w:cs="Arial" w:eastAsia="Arial" w:hAnsi="Arial"/>
                <w:b w:val="false"/>
                <w:bCs w:val="false"/>
                <w:color w:val="1A1A1A"/>
                <w:sz w:val="20"/>
                <w:szCs w:val="20"/>
              </w:rPr>
              <w:t xml:space="preserve">White-label or co-branded rental tie-ups. Revenue-sharing or referral commission model. Dedicated bike allocation at property premises. Easy booking integration with hotel concierge or OTA platforms.</w:t>
            </w:r>
          </w:p>
        </w:tc>
      </w:tr>
      <w:tr>
        <w:tc>
          <w:tcPr>
            <w:tcW w:type="dxa" w:w="1800"/>
            <w:tcBorders>
              <w:top w:val="single" w:color="BBBBBB" w:sz="1"/>
              <w:left w:val="single" w:color="BBBBBB" w:sz="1"/>
              <w:bottom w:val="single" w:color="BBBBBB" w:sz="1"/>
              <w:right w:val="single" w:color="BBBBBB" w:sz="1"/>
            </w:tcBorders>
            <w:shd w:fill="DDEEFF" w:val="clear"/>
            <w:tcMar>
              <w:top w:type="dxa" w:w="100"/>
              <w:left w:type="dxa" w:w="120"/>
              <w:bottom w:type="dxa" w:w="100"/>
              <w:right w:type="dxa" w:w="120"/>
            </w:tcMar>
            <w:vAlign w:val="top"/>
          </w:tcPr>
          <w:p>
            <w:pPr>
              <w:spacing w:after="0" w:before="0"/>
            </w:pPr>
            <w:r>
              <w:rPr>
                <w:rFonts w:ascii="Arial" w:cs="Arial" w:eastAsia="Arial" w:hAnsi="Arial"/>
                <w:b/>
                <w:bCs/>
                <w:color w:val="1A3C5E"/>
                <w:sz w:val="21"/>
                <w:szCs w:val="21"/>
              </w:rPr>
              <w:t xml:space="preserve">Government &amp; Municipal Authorities</w:t>
            </w:r>
          </w:p>
        </w:tc>
        <w:tc>
          <w:tcPr>
            <w:tcW w:type="dxa" w:w="3680"/>
            <w:tcBorders>
              <w:top w:val="single" w:color="BBBBBB" w:sz="1"/>
              <w:left w:val="single" w:color="BBBBBB" w:sz="1"/>
              <w:bottom w:val="single" w:color="BBBBBB" w:sz="1"/>
              <w:right w:val="single" w:color="BBBBBB" w:sz="1"/>
            </w:tcBorders>
            <w:shd w:fill="DDEEFF" w:val="clear"/>
            <w:tcMar>
              <w:top w:type="dxa" w:w="100"/>
              <w:left w:type="dxa" w:w="120"/>
              <w:bottom w:type="dxa" w:w="100"/>
              <w:right w:type="dxa" w:w="120"/>
            </w:tcMar>
            <w:vAlign w:val="top"/>
          </w:tcPr>
          <w:p>
            <w:pPr>
              <w:spacing w:after="0" w:before="0"/>
            </w:pPr>
            <w:r>
              <w:rPr>
                <w:rFonts w:ascii="Arial" w:cs="Arial" w:eastAsia="Arial" w:hAnsi="Arial"/>
                <w:b w:val="false"/>
                <w:bCs w:val="false"/>
                <w:color w:val="1A1A1A"/>
                <w:sz w:val="20"/>
                <w:szCs w:val="20"/>
              </w:rPr>
              <w:t xml:space="preserve">Municipal corporations, Smart City Mission teams, state transport departments, traffic police, and environment/urban mobility departments across metropolitan cities.</w:t>
            </w:r>
          </w:p>
        </w:tc>
        <w:tc>
          <w:tcPr>
            <w:tcW w:type="dxa" w:w="3880"/>
            <w:tcBorders>
              <w:top w:val="single" w:color="BBBBBB" w:sz="1"/>
              <w:left w:val="single" w:color="BBBBBB" w:sz="1"/>
              <w:bottom w:val="single" w:color="BBBBBB" w:sz="1"/>
              <w:right w:val="single" w:color="BBBBBB" w:sz="1"/>
            </w:tcBorders>
            <w:shd w:fill="DDEEFF" w:val="clear"/>
            <w:tcMar>
              <w:top w:type="dxa" w:w="100"/>
              <w:left w:type="dxa" w:w="120"/>
              <w:bottom w:type="dxa" w:w="100"/>
              <w:right w:type="dxa" w:w="120"/>
            </w:tcMar>
            <w:vAlign w:val="top"/>
          </w:tcPr>
          <w:p>
            <w:pPr>
              <w:spacing w:after="0" w:before="0"/>
            </w:pPr>
            <w:r>
              <w:rPr>
                <w:rFonts w:ascii="Arial" w:cs="Arial" w:eastAsia="Arial" w:hAnsi="Arial"/>
                <w:b w:val="false"/>
                <w:bCs w:val="false"/>
                <w:color w:val="1A1A1A"/>
                <w:sz w:val="20"/>
                <w:szCs w:val="20"/>
              </w:rPr>
              <w:t xml:space="preserve">Compliance with local EV policies, traffic regulations, and public space usage norms. Alignment with Smart City and green mobility goals. Coordination on docking zone approvals, permits, and subsidies. Potential PPP (Public-Private Partnership) collaboration.</w:t>
            </w:r>
          </w:p>
        </w:tc>
      </w:tr>
    </w:tbl>
    <w:p>
      <w:pPr>
        <w:spacing w:after="0" w:before="200"/>
      </w:pPr>
      <w:r>
        <w:t xml:space="preserve"/>
      </w:r>
    </w:p>
    <w:p>
      <w:pPr>
        <w:spacing w:after="80" w:before="200"/>
      </w:pPr>
      <w:r>
        <w:rPr>
          <w:rFonts w:ascii="Arial" w:cs="Arial" w:eastAsia="Arial" w:hAnsi="Arial"/>
          <w:b/>
          <w:bCs/>
          <w:color w:val="2E75B6"/>
          <w:sz w:val="24"/>
          <w:szCs w:val="24"/>
        </w:rPr>
        <w:t xml:space="preserve">3.3  Operational &amp; Enabling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80"/>
        <w:gridCol w:w="3880"/>
      </w:tblGrid>
      <w:tr>
        <w:tc>
          <w:tcPr>
            <w:tcW w:type="dxa" w:w="9360"/>
            <w:gridSpan w:val="3"/>
            <w:tcBorders>
              <w:top w:val="single" w:color="BBBBBB" w:sz="1"/>
              <w:left w:val="single" w:color="BBBBBB" w:sz="1"/>
              <w:bottom w:val="single" w:color="BBBBBB" w:sz="1"/>
              <w:right w:val="single" w:color="BBBBBB" w:sz="1"/>
            </w:tcBorders>
            <w:shd w:fill="1A3C5E" w:val="clear"/>
            <w:tcMar>
              <w:top w:type="dxa" w:w="80"/>
              <w:left w:type="dxa" w:w="160"/>
              <w:bottom w:type="dxa" w:w="80"/>
              <w:right w:type="dxa" w:w="120"/>
            </w:tcMar>
          </w:tcPr>
          <w:p>
            <w:r>
              <w:rPr>
                <w:rFonts w:ascii="Arial" w:cs="Arial" w:eastAsia="Arial" w:hAnsi="Arial"/>
                <w:b/>
                <w:bCs/>
                <w:color w:val="FFFFFF"/>
                <w:sz w:val="22"/>
                <w:szCs w:val="22"/>
              </w:rPr>
              <w:t xml:space="preserve">Operational &amp; Enabling Stakeholders</w:t>
            </w:r>
          </w:p>
        </w:tc>
      </w:tr>
      <w:tr>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r>
              <w:rPr>
                <w:rFonts w:ascii="Arial" w:cs="Arial" w:eastAsia="Arial" w:hAnsi="Arial"/>
                <w:b/>
                <w:bCs/>
                <w:color w:val="1A3C5E"/>
                <w:sz w:val="20"/>
                <w:szCs w:val="20"/>
              </w:rPr>
              <w:t xml:space="preserve">Stakeholder</w:t>
            </w:r>
          </w:p>
        </w:tc>
        <w:tc>
          <w:tcPr>
            <w:tcW w:type="dxa" w:w="3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r>
              <w:rPr>
                <w:rFonts w:ascii="Arial" w:cs="Arial" w:eastAsia="Arial" w:hAnsi="Arial"/>
                <w:b/>
                <w:bCs/>
                <w:color w:val="1A3C5E"/>
                <w:sz w:val="20"/>
                <w:szCs w:val="20"/>
              </w:rPr>
              <w:t xml:space="preserve">Examples / Context</w:t>
            </w:r>
          </w:p>
        </w:tc>
        <w:tc>
          <w:tcPr>
            <w:tcW w:type="dxa" w:w="38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r>
              <w:rPr>
                <w:rFonts w:ascii="Arial" w:cs="Arial" w:eastAsia="Arial" w:hAnsi="Arial"/>
                <w:b/>
                <w:bCs/>
                <w:color w:val="1A3C5E"/>
                <w:sz w:val="20"/>
                <w:szCs w:val="20"/>
              </w:rPr>
              <w:t xml:space="preserve">Interest / Expectation</w:t>
            </w:r>
          </w:p>
        </w:tc>
      </w:tr>
      <w:tr>
        <w:tc>
          <w:tcPr>
            <w:tcW w:type="dxa" w:w="1800"/>
            <w:tcBorders>
              <w:top w:val="single" w:color="BBBBBB" w:sz="1"/>
              <w:left w:val="single" w:color="BBBBBB" w:sz="1"/>
              <w:bottom w:val="single" w:color="BBBBBB" w:sz="1"/>
              <w:right w:val="single" w:color="BBBBBB" w:sz="1"/>
            </w:tcBorders>
            <w:shd w:fill="FFF2CC" w:val="clear"/>
            <w:tcMar>
              <w:top w:type="dxa" w:w="100"/>
              <w:left w:type="dxa" w:w="120"/>
              <w:bottom w:type="dxa" w:w="100"/>
              <w:right w:type="dxa" w:w="120"/>
            </w:tcMar>
            <w:vAlign w:val="top"/>
          </w:tcPr>
          <w:p>
            <w:pPr>
              <w:spacing w:after="0" w:before="0"/>
            </w:pPr>
            <w:r>
              <w:rPr>
                <w:rFonts w:ascii="Arial" w:cs="Arial" w:eastAsia="Arial" w:hAnsi="Arial"/>
                <w:b/>
                <w:bCs/>
                <w:color w:val="1A3C5E"/>
                <w:sz w:val="21"/>
                <w:szCs w:val="21"/>
              </w:rPr>
              <w:t xml:space="preserve">Fleet Maintenance &amp; Operations Partners</w:t>
            </w:r>
          </w:p>
        </w:tc>
        <w:tc>
          <w:tcPr>
            <w:tcW w:type="dxa" w:w="3680"/>
            <w:tcBorders>
              <w:top w:val="single" w:color="BBBBBB" w:sz="1"/>
              <w:left w:val="single" w:color="BBBBBB" w:sz="1"/>
              <w:bottom w:val="single" w:color="BBBBBB" w:sz="1"/>
              <w:right w:val="single" w:color="BBBBBB" w:sz="1"/>
            </w:tcBorders>
            <w:shd w:fill="FFF2CC" w:val="clear"/>
            <w:tcMar>
              <w:top w:type="dxa" w:w="100"/>
              <w:left w:type="dxa" w:w="120"/>
              <w:bottom w:type="dxa" w:w="100"/>
              <w:right w:type="dxa" w:w="120"/>
            </w:tcMar>
            <w:vAlign w:val="top"/>
          </w:tcPr>
          <w:p>
            <w:pPr>
              <w:spacing w:after="0" w:before="0"/>
            </w:pPr>
            <w:r>
              <w:rPr>
                <w:rFonts w:ascii="Arial" w:cs="Arial" w:eastAsia="Arial" w:hAnsi="Arial"/>
                <w:b w:val="false"/>
                <w:bCs w:val="false"/>
                <w:color w:val="1A1A1A"/>
                <w:sz w:val="20"/>
                <w:szCs w:val="20"/>
              </w:rPr>
              <w:t xml:space="preserve">Third-party EV servicing agencies, battery replacement vendors, on-ground operations team handling fleet uptime, charging infrastructure upkeep, and breakdown response.</w:t>
            </w:r>
          </w:p>
        </w:tc>
        <w:tc>
          <w:tcPr>
            <w:tcW w:type="dxa" w:w="3880"/>
            <w:tcBorders>
              <w:top w:val="single" w:color="BBBBBB" w:sz="1"/>
              <w:left w:val="single" w:color="BBBBBB" w:sz="1"/>
              <w:bottom w:val="single" w:color="BBBBBB" w:sz="1"/>
              <w:right w:val="single" w:color="BBBBBB" w:sz="1"/>
            </w:tcBorders>
            <w:shd w:fill="FFF2CC" w:val="clear"/>
            <w:tcMar>
              <w:top w:type="dxa" w:w="100"/>
              <w:left w:type="dxa" w:w="120"/>
              <w:bottom w:type="dxa" w:w="100"/>
              <w:right w:type="dxa" w:w="120"/>
            </w:tcMar>
            <w:vAlign w:val="top"/>
          </w:tcPr>
          <w:p>
            <w:pPr>
              <w:spacing w:after="0" w:before="0"/>
            </w:pPr>
            <w:r>
              <w:rPr>
                <w:rFonts w:ascii="Arial" w:cs="Arial" w:eastAsia="Arial" w:hAnsi="Arial"/>
                <w:b w:val="false"/>
                <w:bCs w:val="false"/>
                <w:color w:val="1A1A1A"/>
                <w:sz w:val="20"/>
                <w:szCs w:val="20"/>
              </w:rPr>
              <w:t xml:space="preserve">Clear SLAs for vehicle maintenance turnaround. Reliable inventory and spare parts supply chain. Defined escalation process for fleet downtime. Fair contractual terms and timely payments.</w:t>
            </w:r>
          </w:p>
        </w:tc>
      </w:tr>
      <w:tr>
        <w:tc>
          <w:tcPr>
            <w:tcW w:type="dxa" w:w="1800"/>
            <w:tcBorders>
              <w:top w:val="single" w:color="BBBBBB" w:sz="1"/>
              <w:left w:val="single" w:color="BBBBBB" w:sz="1"/>
              <w:bottom w:val="single" w:color="BBBBBB" w:sz="1"/>
              <w:right w:val="single" w:color="BBBBBB" w:sz="1"/>
            </w:tcBorders>
            <w:shd w:fill="FFF2CC" w:val="clear"/>
            <w:tcMar>
              <w:top w:type="dxa" w:w="100"/>
              <w:left w:type="dxa" w:w="120"/>
              <w:bottom w:type="dxa" w:w="100"/>
              <w:right w:type="dxa" w:w="120"/>
            </w:tcMar>
            <w:vAlign w:val="top"/>
          </w:tcPr>
          <w:p>
            <w:pPr>
              <w:spacing w:after="0" w:before="0"/>
            </w:pPr>
            <w:r>
              <w:rPr>
                <w:rFonts w:ascii="Arial" w:cs="Arial" w:eastAsia="Arial" w:hAnsi="Arial"/>
                <w:b/>
                <w:bCs/>
                <w:color w:val="1A3C5E"/>
                <w:sz w:val="21"/>
                <w:szCs w:val="21"/>
              </w:rPr>
              <w:t xml:space="preserve">Technology &amp; Platform Partners</w:t>
            </w:r>
          </w:p>
        </w:tc>
        <w:tc>
          <w:tcPr>
            <w:tcW w:type="dxa" w:w="3680"/>
            <w:tcBorders>
              <w:top w:val="single" w:color="BBBBBB" w:sz="1"/>
              <w:left w:val="single" w:color="BBBBBB" w:sz="1"/>
              <w:bottom w:val="single" w:color="BBBBBB" w:sz="1"/>
              <w:right w:val="single" w:color="BBBBBB" w:sz="1"/>
            </w:tcBorders>
            <w:shd w:fill="FFF2CC" w:val="clear"/>
            <w:tcMar>
              <w:top w:type="dxa" w:w="100"/>
              <w:left w:type="dxa" w:w="120"/>
              <w:bottom w:type="dxa" w:w="100"/>
              <w:right w:type="dxa" w:w="120"/>
            </w:tcMar>
            <w:vAlign w:val="top"/>
          </w:tcPr>
          <w:p>
            <w:pPr>
              <w:spacing w:after="0" w:before="0"/>
            </w:pPr>
            <w:r>
              <w:rPr>
                <w:rFonts w:ascii="Arial" w:cs="Arial" w:eastAsia="Arial" w:hAnsi="Arial"/>
                <w:b w:val="false"/>
                <w:bCs w:val="false"/>
                <w:color w:val="1A1A1A"/>
                <w:sz w:val="20"/>
                <w:szCs w:val="20"/>
              </w:rPr>
              <w:t xml:space="preserve">Mobile app development vendors, IoT device providers (GPS trackers, smart locks), payment gateway partners, and cloud infrastructure providers supporting the rental platform.</w:t>
            </w:r>
          </w:p>
        </w:tc>
        <w:tc>
          <w:tcPr>
            <w:tcW w:type="dxa" w:w="3880"/>
            <w:tcBorders>
              <w:top w:val="single" w:color="BBBBBB" w:sz="1"/>
              <w:left w:val="single" w:color="BBBBBB" w:sz="1"/>
              <w:bottom w:val="single" w:color="BBBBBB" w:sz="1"/>
              <w:right w:val="single" w:color="BBBBBB" w:sz="1"/>
            </w:tcBorders>
            <w:shd w:fill="FFF2CC" w:val="clear"/>
            <w:tcMar>
              <w:top w:type="dxa" w:w="100"/>
              <w:left w:type="dxa" w:w="120"/>
              <w:bottom w:type="dxa" w:w="100"/>
              <w:right w:type="dxa" w:w="120"/>
            </w:tcMar>
            <w:vAlign w:val="top"/>
          </w:tcPr>
          <w:p>
            <w:pPr>
              <w:spacing w:after="0" w:before="0"/>
            </w:pPr>
            <w:r>
              <w:rPr>
                <w:rFonts w:ascii="Arial" w:cs="Arial" w:eastAsia="Arial" w:hAnsi="Arial"/>
                <w:b w:val="false"/>
                <w:bCs w:val="false"/>
                <w:color w:val="1A1A1A"/>
                <w:sz w:val="20"/>
                <w:szCs w:val="20"/>
              </w:rPr>
              <w:t xml:space="preserve">Clearly defined technical requirements and integration specs. Stable API contracts and versioning. Timely feedback cycles and UAT support. Revenue model clarity (licensing vs. revenue share).</w:t>
            </w:r>
          </w:p>
        </w:tc>
      </w:tr>
    </w:tbl>
    <w:p>
      <w:pPr>
        <w:spacing w:after="0" w:before="200"/>
      </w:pPr>
      <w:r>
        <w:t xml:space="preserve"/>
      </w:r>
    </w:p>
    <w:p>
      <w:pPr>
        <w:spacing w:after="80" w:before="200"/>
      </w:pPr>
      <w:r>
        <w:rPr>
          <w:rFonts w:ascii="Arial" w:cs="Arial" w:eastAsia="Arial" w:hAnsi="Arial"/>
          <w:b/>
          <w:bCs/>
          <w:color w:val="2E75B6"/>
          <w:sz w:val="24"/>
          <w:szCs w:val="24"/>
        </w:rPr>
        <w:t xml:space="preserve">3.4  Financial &amp; Strategic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80"/>
        <w:gridCol w:w="3880"/>
      </w:tblGrid>
      <w:tr>
        <w:tc>
          <w:tcPr>
            <w:tcW w:type="dxa" w:w="9360"/>
            <w:gridSpan w:val="3"/>
            <w:tcBorders>
              <w:top w:val="single" w:color="BBBBBB" w:sz="1"/>
              <w:left w:val="single" w:color="BBBBBB" w:sz="1"/>
              <w:bottom w:val="single" w:color="BBBBBB" w:sz="1"/>
              <w:right w:val="single" w:color="BBBBBB" w:sz="1"/>
            </w:tcBorders>
            <w:shd w:fill="1A3C5E" w:val="clear"/>
            <w:tcMar>
              <w:top w:type="dxa" w:w="80"/>
              <w:left w:type="dxa" w:w="160"/>
              <w:bottom w:type="dxa" w:w="80"/>
              <w:right w:type="dxa" w:w="120"/>
            </w:tcMar>
          </w:tcPr>
          <w:p>
            <w:r>
              <w:rPr>
                <w:rFonts w:ascii="Arial" w:cs="Arial" w:eastAsia="Arial" w:hAnsi="Arial"/>
                <w:b/>
                <w:bCs/>
                <w:color w:val="FFFFFF"/>
                <w:sz w:val="22"/>
                <w:szCs w:val="22"/>
              </w:rPr>
              <w:t xml:space="preserve">Financial &amp; Strategic Stakeholders</w:t>
            </w:r>
          </w:p>
        </w:tc>
      </w:tr>
      <w:tr>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r>
              <w:rPr>
                <w:rFonts w:ascii="Arial" w:cs="Arial" w:eastAsia="Arial" w:hAnsi="Arial"/>
                <w:b/>
                <w:bCs/>
                <w:color w:val="1A3C5E"/>
                <w:sz w:val="20"/>
                <w:szCs w:val="20"/>
              </w:rPr>
              <w:t xml:space="preserve">Stakeholder</w:t>
            </w:r>
          </w:p>
        </w:tc>
        <w:tc>
          <w:tcPr>
            <w:tcW w:type="dxa" w:w="3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r>
              <w:rPr>
                <w:rFonts w:ascii="Arial" w:cs="Arial" w:eastAsia="Arial" w:hAnsi="Arial"/>
                <w:b/>
                <w:bCs/>
                <w:color w:val="1A3C5E"/>
                <w:sz w:val="20"/>
                <w:szCs w:val="20"/>
              </w:rPr>
              <w:t xml:space="preserve">Examples / Context</w:t>
            </w:r>
          </w:p>
        </w:tc>
        <w:tc>
          <w:tcPr>
            <w:tcW w:type="dxa" w:w="38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r>
              <w:rPr>
                <w:rFonts w:ascii="Arial" w:cs="Arial" w:eastAsia="Arial" w:hAnsi="Arial"/>
                <w:b/>
                <w:bCs/>
                <w:color w:val="1A3C5E"/>
                <w:sz w:val="20"/>
                <w:szCs w:val="20"/>
              </w:rPr>
              <w:t xml:space="preserve">Interest / Expectation</w:t>
            </w:r>
          </w:p>
        </w:tc>
      </w:tr>
      <w:tr>
        <w:tc>
          <w:tcPr>
            <w:tcW w:type="dxa" w:w="1800"/>
            <w:tcBorders>
              <w:top w:val="single" w:color="BBBBBB" w:sz="1"/>
              <w:left w:val="single" w:color="BBBBBB" w:sz="1"/>
              <w:bottom w:val="single" w:color="BBBBBB" w:sz="1"/>
              <w:right w:val="single" w:color="BBBBBB" w:sz="1"/>
            </w:tcBorders>
            <w:shd w:fill="FCE4D6" w:val="clear"/>
            <w:tcMar>
              <w:top w:type="dxa" w:w="100"/>
              <w:left w:type="dxa" w:w="120"/>
              <w:bottom w:type="dxa" w:w="100"/>
              <w:right w:type="dxa" w:w="120"/>
            </w:tcMar>
            <w:vAlign w:val="top"/>
          </w:tcPr>
          <w:p>
            <w:pPr>
              <w:spacing w:after="0" w:before="0"/>
            </w:pPr>
            <w:r>
              <w:rPr>
                <w:rFonts w:ascii="Arial" w:cs="Arial" w:eastAsia="Arial" w:hAnsi="Arial"/>
                <w:b/>
                <w:bCs/>
                <w:color w:val="1A3C5E"/>
                <w:sz w:val="21"/>
                <w:szCs w:val="21"/>
              </w:rPr>
              <w:t xml:space="preserve">Investors &amp; Venture Capitalists</w:t>
            </w:r>
          </w:p>
        </w:tc>
        <w:tc>
          <w:tcPr>
            <w:tcW w:type="dxa" w:w="3680"/>
            <w:tcBorders>
              <w:top w:val="single" w:color="BBBBBB" w:sz="1"/>
              <w:left w:val="single" w:color="BBBBBB" w:sz="1"/>
              <w:bottom w:val="single" w:color="BBBBBB" w:sz="1"/>
              <w:right w:val="single" w:color="BBBBBB" w:sz="1"/>
            </w:tcBorders>
            <w:shd w:fill="FCE4D6" w:val="clear"/>
            <w:tcMar>
              <w:top w:type="dxa" w:w="100"/>
              <w:left w:type="dxa" w:w="120"/>
              <w:bottom w:type="dxa" w:w="100"/>
              <w:right w:type="dxa" w:w="120"/>
            </w:tcMar>
            <w:vAlign w:val="top"/>
          </w:tcPr>
          <w:p>
            <w:pPr>
              <w:spacing w:after="0" w:before="0"/>
            </w:pPr>
            <w:r>
              <w:rPr>
                <w:rFonts w:ascii="Arial" w:cs="Arial" w:eastAsia="Arial" w:hAnsi="Arial"/>
                <w:b w:val="false"/>
                <w:bCs w:val="false"/>
                <w:color w:val="1A1A1A"/>
                <w:sz w:val="20"/>
                <w:szCs w:val="20"/>
              </w:rPr>
              <w:t xml:space="preserve">Seed or Series-A investors, angel investors, ESG-focused VCs, and impact investment funds interested in sustainable urban mobility startups.</w:t>
            </w:r>
          </w:p>
        </w:tc>
        <w:tc>
          <w:tcPr>
            <w:tcW w:type="dxa" w:w="3880"/>
            <w:tcBorders>
              <w:top w:val="single" w:color="BBBBBB" w:sz="1"/>
              <w:left w:val="single" w:color="BBBBBB" w:sz="1"/>
              <w:bottom w:val="single" w:color="BBBBBB" w:sz="1"/>
              <w:right w:val="single" w:color="BBBBBB" w:sz="1"/>
            </w:tcBorders>
            <w:shd w:fill="FCE4D6" w:val="clear"/>
            <w:tcMar>
              <w:top w:type="dxa" w:w="100"/>
              <w:left w:type="dxa" w:w="120"/>
              <w:bottom w:type="dxa" w:w="100"/>
              <w:right w:type="dxa" w:w="120"/>
            </w:tcMar>
            <w:vAlign w:val="top"/>
          </w:tcPr>
          <w:p>
            <w:pPr>
              <w:spacing w:after="0" w:before="0"/>
            </w:pPr>
            <w:r>
              <w:rPr>
                <w:rFonts w:ascii="Arial" w:cs="Arial" w:eastAsia="Arial" w:hAnsi="Arial"/>
                <w:b w:val="false"/>
                <w:bCs w:val="false"/>
                <w:color w:val="1A1A1A"/>
                <w:sz w:val="20"/>
                <w:szCs w:val="20"/>
              </w:rPr>
              <w:t xml:space="preserve">Clear ROI projections, unit economics, and market expansion roadmap. Transparent financial reporting and milestone tracking. Scalability potential across cities. Alignment with ESG investment mandates.</w:t>
            </w:r>
          </w:p>
        </w:tc>
      </w:tr>
      <w:tr>
        <w:tc>
          <w:tcPr>
            <w:tcW w:type="dxa" w:w="1800"/>
            <w:tcBorders>
              <w:top w:val="single" w:color="BBBBBB" w:sz="1"/>
              <w:left w:val="single" w:color="BBBBBB" w:sz="1"/>
              <w:bottom w:val="single" w:color="BBBBBB" w:sz="1"/>
              <w:right w:val="single" w:color="BBBBBB" w:sz="1"/>
            </w:tcBorders>
            <w:shd w:fill="FCE4D6" w:val="clear"/>
            <w:tcMar>
              <w:top w:type="dxa" w:w="100"/>
              <w:left w:type="dxa" w:w="120"/>
              <w:bottom w:type="dxa" w:w="100"/>
              <w:right w:type="dxa" w:w="120"/>
            </w:tcMar>
            <w:vAlign w:val="top"/>
          </w:tcPr>
          <w:p>
            <w:pPr>
              <w:spacing w:after="0" w:before="0"/>
            </w:pPr>
            <w:r>
              <w:rPr>
                <w:rFonts w:ascii="Arial" w:cs="Arial" w:eastAsia="Arial" w:hAnsi="Arial"/>
                <w:b/>
                <w:bCs/>
                <w:color w:val="1A3C5E"/>
                <w:sz w:val="21"/>
                <w:szCs w:val="21"/>
              </w:rPr>
              <w:t xml:space="preserve">Channel &amp; Franchise Business Partners</w:t>
            </w:r>
          </w:p>
        </w:tc>
        <w:tc>
          <w:tcPr>
            <w:tcW w:type="dxa" w:w="3680"/>
            <w:tcBorders>
              <w:top w:val="single" w:color="BBBBBB" w:sz="1"/>
              <w:left w:val="single" w:color="BBBBBB" w:sz="1"/>
              <w:bottom w:val="single" w:color="BBBBBB" w:sz="1"/>
              <w:right w:val="single" w:color="BBBBBB" w:sz="1"/>
            </w:tcBorders>
            <w:shd w:fill="FCE4D6" w:val="clear"/>
            <w:tcMar>
              <w:top w:type="dxa" w:w="100"/>
              <w:left w:type="dxa" w:w="120"/>
              <w:bottom w:type="dxa" w:w="100"/>
              <w:right w:type="dxa" w:w="120"/>
            </w:tcMar>
            <w:vAlign w:val="top"/>
          </w:tcPr>
          <w:p>
            <w:pPr>
              <w:spacing w:after="0" w:before="0"/>
            </w:pPr>
            <w:r>
              <w:rPr>
                <w:rFonts w:ascii="Arial" w:cs="Arial" w:eastAsia="Arial" w:hAnsi="Arial"/>
                <w:b w:val="false"/>
                <w:bCs w:val="false"/>
                <w:color w:val="1A1A1A"/>
                <w:sz w:val="20"/>
                <w:szCs w:val="20"/>
              </w:rPr>
              <w:t xml:space="preserve">Local entrepreneurs or franchisees interested in operating e-bike rental hubs in their city or zone under the startup's brand and technology platform.</w:t>
            </w:r>
          </w:p>
        </w:tc>
        <w:tc>
          <w:tcPr>
            <w:tcW w:type="dxa" w:w="3880"/>
            <w:tcBorders>
              <w:top w:val="single" w:color="BBBBBB" w:sz="1"/>
              <w:left w:val="single" w:color="BBBBBB" w:sz="1"/>
              <w:bottom w:val="single" w:color="BBBBBB" w:sz="1"/>
              <w:right w:val="single" w:color="BBBBBB" w:sz="1"/>
            </w:tcBorders>
            <w:shd w:fill="FCE4D6" w:val="clear"/>
            <w:tcMar>
              <w:top w:type="dxa" w:w="100"/>
              <w:left w:type="dxa" w:w="120"/>
              <w:bottom w:type="dxa" w:w="100"/>
              <w:right w:type="dxa" w:w="120"/>
            </w:tcMar>
            <w:vAlign w:val="top"/>
          </w:tcPr>
          <w:p>
            <w:pPr>
              <w:spacing w:after="0" w:before="0"/>
            </w:pPr>
            <w:r>
              <w:rPr>
                <w:rFonts w:ascii="Arial" w:cs="Arial" w:eastAsia="Arial" w:hAnsi="Arial"/>
                <w:b w:val="false"/>
                <w:bCs w:val="false"/>
                <w:color w:val="1A1A1A"/>
                <w:sz w:val="20"/>
                <w:szCs w:val="20"/>
              </w:rPr>
              <w:t xml:space="preserve">Attractive franchise model with defined margins. Brand, technology, and training support from the startup. Low operational complexity. Clearly defined territorial rights and expansion criteria.</w:t>
            </w:r>
          </w:p>
        </w:tc>
      </w:tr>
    </w:tbl>
    <w:p>
      <w:pPr>
        <w:pBdr>
          <w:bottom w:val="single" w:color="2E75B6" w:sz="4" w:space="4"/>
        </w:pBdr>
        <w:spacing w:after="100" w:before="280"/>
      </w:pPr>
      <w:r>
        <w:rPr>
          <w:rFonts w:ascii="Arial" w:cs="Arial" w:eastAsia="Arial" w:hAnsi="Arial"/>
          <w:b/>
          <w:bCs/>
          <w:color w:val="1A3C5E"/>
          <w:sz w:val="28"/>
          <w:szCs w:val="28"/>
        </w:rPr>
        <w:t xml:space="preserve">4.  Stakeholder Summary Matrix</w:t>
      </w:r>
    </w:p>
    <w:p>
      <w:pPr>
        <w:spacing w:after="60" w:before="60"/>
      </w:pPr>
      <w:r>
        <w:rPr>
          <w:rFonts w:ascii="Arial" w:cs="Arial" w:eastAsia="Arial" w:hAnsi="Arial"/>
          <w:b w:val="false"/>
          <w:bCs w:val="false"/>
          <w:color w:val="1A1A1A"/>
          <w:sz w:val="22"/>
          <w:szCs w:val="22"/>
        </w:rPr>
        <w:t xml:space="preserve">The matrix below rates each stakeholder on Influence, Interest, and Engagement Priority to guide elicitation planning.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000"/>
        <w:gridCol w:w="1500"/>
        <w:gridCol w:w="1180"/>
        <w:gridCol w:w="1180"/>
        <w:gridCol w:w="3080"/>
      </w:tblGrid>
      <w:tr>
        <w:tc>
          <w:tcPr>
            <w:tcW w:type="dxa" w:w="420"/>
            <w:tcBorders>
              <w:top w:val="single" w:color="BBBBBB" w:sz="1"/>
              <w:left w:val="single" w:color="BBBBBB" w:sz="1"/>
              <w:bottom w:val="single" w:color="BBBBBB" w:sz="1"/>
              <w:right w:val="single" w:color="BBBBBB" w:sz="1"/>
            </w:tcBorders>
            <w:shd w:fill="1A3C5E"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000"/>
            <w:tcBorders>
              <w:top w:val="single" w:color="BBBBBB" w:sz="1"/>
              <w:left w:val="single" w:color="BBBBBB" w:sz="1"/>
              <w:bottom w:val="single" w:color="BBBBBB" w:sz="1"/>
              <w:right w:val="single" w:color="BBBBBB" w:sz="1"/>
            </w:tcBorders>
            <w:shd w:fill="1A3C5E" w:val="clear"/>
            <w:tcMar>
              <w:top w:type="dxa" w:w="80"/>
              <w:left w:type="dxa" w:w="100"/>
              <w:bottom w:type="dxa" w:w="80"/>
              <w:right w:type="dxa" w:w="100"/>
            </w:tcMar>
          </w:tcPr>
          <w:p>
            <w:r>
              <w:rPr>
                <w:rFonts w:ascii="Arial" w:cs="Arial" w:eastAsia="Arial" w:hAnsi="Arial"/>
                <w:b/>
                <w:bCs/>
                <w:color w:val="FFFFFF"/>
                <w:sz w:val="19"/>
                <w:szCs w:val="19"/>
              </w:rPr>
              <w:t xml:space="preserve">Stakeholder</w:t>
            </w:r>
          </w:p>
        </w:tc>
        <w:tc>
          <w:tcPr>
            <w:tcW w:type="dxa" w:w="1500"/>
            <w:tcBorders>
              <w:top w:val="single" w:color="BBBBBB" w:sz="1"/>
              <w:left w:val="single" w:color="BBBBBB" w:sz="1"/>
              <w:bottom w:val="single" w:color="BBBBBB" w:sz="1"/>
              <w:right w:val="single" w:color="BBBBBB" w:sz="1"/>
            </w:tcBorders>
            <w:shd w:fill="1A3C5E"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1180"/>
            <w:tcBorders>
              <w:top w:val="single" w:color="BBBBBB" w:sz="1"/>
              <w:left w:val="single" w:color="BBBBBB" w:sz="1"/>
              <w:bottom w:val="single" w:color="BBBBBB" w:sz="1"/>
              <w:right w:val="single" w:color="BBBBBB" w:sz="1"/>
            </w:tcBorders>
            <w:shd w:fill="1A3C5E" w:val="clear"/>
            <w:tcMar>
              <w:top w:type="dxa" w:w="80"/>
              <w:left w:type="dxa" w:w="100"/>
              <w:bottom w:type="dxa" w:w="80"/>
              <w:right w:type="dxa" w:w="100"/>
            </w:tcMar>
          </w:tcPr>
          <w:p>
            <w:r>
              <w:rPr>
                <w:rFonts w:ascii="Arial" w:cs="Arial" w:eastAsia="Arial" w:hAnsi="Arial"/>
                <w:b/>
                <w:bCs/>
                <w:color w:val="FFFFFF"/>
                <w:sz w:val="19"/>
                <w:szCs w:val="19"/>
              </w:rPr>
              <w:t xml:space="preserve">Influence</w:t>
            </w:r>
          </w:p>
        </w:tc>
        <w:tc>
          <w:tcPr>
            <w:tcW w:type="dxa" w:w="1180"/>
            <w:tcBorders>
              <w:top w:val="single" w:color="BBBBBB" w:sz="1"/>
              <w:left w:val="single" w:color="BBBBBB" w:sz="1"/>
              <w:bottom w:val="single" w:color="BBBBBB" w:sz="1"/>
              <w:right w:val="single" w:color="BBBBBB" w:sz="1"/>
            </w:tcBorders>
            <w:shd w:fill="1A3C5E" w:val="clear"/>
            <w:tcMar>
              <w:top w:type="dxa" w:w="80"/>
              <w:left w:type="dxa" w:w="100"/>
              <w:bottom w:type="dxa" w:w="80"/>
              <w:right w:type="dxa" w:w="100"/>
            </w:tcMar>
          </w:tcPr>
          <w:p>
            <w:r>
              <w:rPr>
                <w:rFonts w:ascii="Arial" w:cs="Arial" w:eastAsia="Arial" w:hAnsi="Arial"/>
                <w:b/>
                <w:bCs/>
                <w:color w:val="FFFFFF"/>
                <w:sz w:val="19"/>
                <w:szCs w:val="19"/>
              </w:rPr>
              <w:t xml:space="preserve">Interest</w:t>
            </w:r>
          </w:p>
        </w:tc>
        <w:tc>
          <w:tcPr>
            <w:tcW w:type="dxa" w:w="3080"/>
            <w:tcBorders>
              <w:top w:val="single" w:color="BBBBBB" w:sz="1"/>
              <w:left w:val="single" w:color="BBBBBB" w:sz="1"/>
              <w:bottom w:val="single" w:color="BBBBBB" w:sz="1"/>
              <w:right w:val="single" w:color="BBBBBB" w:sz="1"/>
            </w:tcBorders>
            <w:shd w:fill="1A3C5E" w:val="clear"/>
            <w:tcMar>
              <w:top w:type="dxa" w:w="80"/>
              <w:left w:type="dxa" w:w="100"/>
              <w:bottom w:type="dxa" w:w="80"/>
              <w:right w:type="dxa" w:w="100"/>
            </w:tcMar>
          </w:tcPr>
          <w:p>
            <w:r>
              <w:rPr>
                <w:rFonts w:ascii="Arial" w:cs="Arial" w:eastAsia="Arial" w:hAnsi="Arial"/>
                <w:b/>
                <w:bCs/>
                <w:color w:val="FFFFFF"/>
                <w:sz w:val="19"/>
                <w:szCs w:val="19"/>
              </w:rPr>
              <w:t xml:space="preserve">Engagement Priority</w:t>
            </w:r>
          </w:p>
        </w:tc>
      </w:tr>
      <w:tr>
        <w:tc>
          <w:tcPr>
            <w:tcW w:type="dxa" w:w="42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Tourists &amp; Visitors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B2C</w:t>
            </w:r>
          </w:p>
        </w:tc>
        <w:tc>
          <w:tcPr>
            <w:tcW w:type="dxa" w:w="11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Low</w:t>
            </w:r>
          </w:p>
        </w:tc>
        <w:tc>
          <w:tcPr>
            <w:tcW w:type="dxa" w:w="11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High</w:t>
            </w:r>
          </w:p>
        </w:tc>
        <w:tc>
          <w:tcPr>
            <w:tcW w:type="dxa" w:w="308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tcPr>
          <w:p>
            <w:r>
              <w:rPr>
                <w:rFonts w:ascii="Arial" w:cs="Arial" w:eastAsia="Arial" w:hAnsi="Arial"/>
                <w:b w:val="false"/>
                <w:bCs w:val="false"/>
                <w:color w:val="1A1A1A"/>
                <w:sz w:val="19"/>
                <w:szCs w:val="19"/>
              </w:rPr>
              <w:t xml:space="preserve">High</w:t>
            </w:r>
          </w:p>
        </w:tc>
      </w:tr>
      <w:tr>
        <w:tc>
          <w:tcPr>
            <w:tcW w:type="dxa" w:w="42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color w:val="1A1A1A"/>
                <w:sz w:val="19"/>
                <w:szCs w:val="19"/>
              </w:rPr>
              <w:t xml:space="preserve">2</w:t>
            </w:r>
          </w:p>
        </w:tc>
        <w:tc>
          <w:tcPr>
            <w:tcW w:type="dxa" w:w="20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color w:val="1A1A1A"/>
                <w:sz w:val="19"/>
                <w:szCs w:val="19"/>
              </w:rPr>
              <w:t xml:space="preserve">General Urban Commuters</w:t>
            </w:r>
          </w:p>
        </w:tc>
        <w:tc>
          <w:tcPr>
            <w:tcW w:type="dxa" w:w="15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color w:val="1A1A1A"/>
                <w:sz w:val="19"/>
                <w:szCs w:val="19"/>
              </w:rPr>
              <w:t xml:space="preserve">B2C</w:t>
            </w:r>
          </w:p>
        </w:tc>
        <w:tc>
          <w:tcPr>
            <w:tcW w:type="dxa" w:w="118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color w:val="1A1A1A"/>
                <w:sz w:val="19"/>
                <w:szCs w:val="19"/>
              </w:rPr>
              <w:t xml:space="preserve">Low</w:t>
            </w:r>
          </w:p>
        </w:tc>
        <w:tc>
          <w:tcPr>
            <w:tcW w:type="dxa" w:w="118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color w:val="1A1A1A"/>
                <w:sz w:val="19"/>
                <w:szCs w:val="19"/>
              </w:rPr>
              <w:t xml:space="preserve">High</w:t>
            </w:r>
          </w:p>
        </w:tc>
        <w:tc>
          <w:tcPr>
            <w:tcW w:type="dxa" w:w="308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tcPr>
          <w:p>
            <w:r>
              <w:rPr>
                <w:rFonts w:ascii="Arial" w:cs="Arial" w:eastAsia="Arial" w:hAnsi="Arial"/>
                <w:b w:val="false"/>
                <w:bCs w:val="false"/>
                <w:color w:val="1A1A1A"/>
                <w:sz w:val="19"/>
                <w:szCs w:val="19"/>
              </w:rPr>
              <w:t xml:space="preserve">High</w:t>
            </w:r>
          </w:p>
        </w:tc>
      </w:tr>
      <w:tr>
        <w:tc>
          <w:tcPr>
            <w:tcW w:type="dxa" w:w="42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Gig Economy &amp; Delivery Workers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B2C</w:t>
            </w:r>
          </w:p>
        </w:tc>
        <w:tc>
          <w:tcPr>
            <w:tcW w:type="dxa" w:w="11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Low</w:t>
            </w:r>
          </w:p>
        </w:tc>
        <w:tc>
          <w:tcPr>
            <w:tcW w:type="dxa" w:w="11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High</w:t>
            </w:r>
          </w:p>
        </w:tc>
        <w:tc>
          <w:tcPr>
            <w:tcW w:type="dxa" w:w="308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tcPr>
          <w:p>
            <w:r>
              <w:rPr>
                <w:rFonts w:ascii="Arial" w:cs="Arial" w:eastAsia="Arial" w:hAnsi="Arial"/>
                <w:b w:val="false"/>
                <w:bCs w:val="false"/>
                <w:color w:val="1A1A1A"/>
                <w:sz w:val="19"/>
                <w:szCs w:val="19"/>
              </w:rPr>
              <w:t xml:space="preserve">High</w:t>
            </w:r>
          </w:p>
        </w:tc>
      </w:tr>
      <w:tr>
        <w:tc>
          <w:tcPr>
            <w:tcW w:type="dxa" w:w="42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color w:val="1A1A1A"/>
                <w:sz w:val="19"/>
                <w:szCs w:val="19"/>
              </w:rPr>
              <w:t xml:space="preserve">4</w:t>
            </w:r>
          </w:p>
        </w:tc>
        <w:tc>
          <w:tcPr>
            <w:tcW w:type="dxa" w:w="20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color w:val="1A1A1A"/>
                <w:sz w:val="19"/>
                <w:szCs w:val="19"/>
              </w:rPr>
              <w:t xml:space="preserve">Corporate Employees &amp; Enterprises</w:t>
            </w:r>
          </w:p>
        </w:tc>
        <w:tc>
          <w:tcPr>
            <w:tcW w:type="dxa" w:w="15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color w:val="1A1A1A"/>
                <w:sz w:val="19"/>
                <w:szCs w:val="19"/>
              </w:rPr>
              <w:t xml:space="preserve">B2B</w:t>
            </w:r>
          </w:p>
        </w:tc>
        <w:tc>
          <w:tcPr>
            <w:tcW w:type="dxa" w:w="118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color w:val="1A1A1A"/>
                <w:sz w:val="19"/>
                <w:szCs w:val="19"/>
              </w:rPr>
              <w:t xml:space="preserve">Medium</w:t>
            </w:r>
          </w:p>
        </w:tc>
        <w:tc>
          <w:tcPr>
            <w:tcW w:type="dxa" w:w="118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color w:val="1A1A1A"/>
                <w:sz w:val="19"/>
                <w:szCs w:val="19"/>
              </w:rPr>
              <w:t xml:space="preserve">High</w:t>
            </w:r>
          </w:p>
        </w:tc>
        <w:tc>
          <w:tcPr>
            <w:tcW w:type="dxa" w:w="308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tcPr>
          <w:p>
            <w:r>
              <w:rPr>
                <w:rFonts w:ascii="Arial" w:cs="Arial" w:eastAsia="Arial" w:hAnsi="Arial"/>
                <w:b w:val="false"/>
                <w:bCs w:val="false"/>
                <w:color w:val="1A1A1A"/>
                <w:sz w:val="19"/>
                <w:szCs w:val="19"/>
              </w:rPr>
              <w:t xml:space="preserve">High</w:t>
            </w:r>
          </w:p>
        </w:tc>
      </w:tr>
      <w:tr>
        <w:tc>
          <w:tcPr>
            <w:tcW w:type="dxa" w:w="42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Hospitality &amp; Tourism Partners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B2B</w:t>
            </w:r>
          </w:p>
        </w:tc>
        <w:tc>
          <w:tcPr>
            <w:tcW w:type="dxa" w:w="11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Medium</w:t>
            </w:r>
          </w:p>
        </w:tc>
        <w:tc>
          <w:tcPr>
            <w:tcW w:type="dxa" w:w="11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Medium</w:t>
            </w:r>
          </w:p>
        </w:tc>
        <w:tc>
          <w:tcPr>
            <w:tcW w:type="dxa" w:w="308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b w:val="false"/>
                <w:bCs w:val="false"/>
                <w:color w:val="1A1A1A"/>
                <w:sz w:val="19"/>
                <w:szCs w:val="19"/>
              </w:rPr>
              <w:t xml:space="preserve">Medium</w:t>
            </w:r>
          </w:p>
        </w:tc>
      </w:tr>
      <w:tr>
        <w:tc>
          <w:tcPr>
            <w:tcW w:type="dxa" w:w="42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color w:val="1A1A1A"/>
                <w:sz w:val="19"/>
                <w:szCs w:val="19"/>
              </w:rPr>
              <w:t xml:space="preserve">6</w:t>
            </w:r>
          </w:p>
        </w:tc>
        <w:tc>
          <w:tcPr>
            <w:tcW w:type="dxa" w:w="20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color w:val="1A1A1A"/>
                <w:sz w:val="19"/>
                <w:szCs w:val="19"/>
              </w:rPr>
              <w:t xml:space="preserve">Government &amp; Municipal Authorities</w:t>
            </w:r>
          </w:p>
        </w:tc>
        <w:tc>
          <w:tcPr>
            <w:tcW w:type="dxa" w:w="15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color w:val="1A1A1A"/>
                <w:sz w:val="19"/>
                <w:szCs w:val="19"/>
              </w:rPr>
              <w:t xml:space="preserve">Regulatory</w:t>
            </w:r>
          </w:p>
        </w:tc>
        <w:tc>
          <w:tcPr>
            <w:tcW w:type="dxa" w:w="118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color w:val="1A1A1A"/>
                <w:sz w:val="19"/>
                <w:szCs w:val="19"/>
              </w:rPr>
              <w:t xml:space="preserve">High</w:t>
            </w:r>
          </w:p>
        </w:tc>
        <w:tc>
          <w:tcPr>
            <w:tcW w:type="dxa" w:w="118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color w:val="1A1A1A"/>
                <w:sz w:val="19"/>
                <w:szCs w:val="19"/>
              </w:rPr>
              <w:t xml:space="preserve">Medium</w:t>
            </w:r>
          </w:p>
        </w:tc>
        <w:tc>
          <w:tcPr>
            <w:tcW w:type="dxa" w:w="3080"/>
            <w:tcBorders>
              <w:top w:val="single" w:color="BBBBBB" w:sz="1"/>
              <w:left w:val="single" w:color="BBBBBB" w:sz="1"/>
              <w:bottom w:val="single" w:color="BBBBBB" w:sz="1"/>
              <w:right w:val="single" w:color="BBBBBB" w:sz="1"/>
            </w:tcBorders>
            <w:shd w:fill="FCE4D6" w:val="clear"/>
            <w:tcMar>
              <w:top w:type="dxa" w:w="80"/>
              <w:left w:type="dxa" w:w="100"/>
              <w:bottom w:type="dxa" w:w="80"/>
              <w:right w:type="dxa" w:w="100"/>
            </w:tcMar>
          </w:tcPr>
          <w:p>
            <w:r>
              <w:rPr>
                <w:rFonts w:ascii="Arial" w:cs="Arial" w:eastAsia="Arial" w:hAnsi="Arial"/>
                <w:b/>
                <w:bCs/>
                <w:color w:val="C00000"/>
                <w:sz w:val="19"/>
                <w:szCs w:val="19"/>
              </w:rPr>
              <w:t xml:space="preserve">Critical</w:t>
            </w:r>
          </w:p>
        </w:tc>
      </w:tr>
      <w:tr>
        <w:tc>
          <w:tcPr>
            <w:tcW w:type="dxa" w:w="42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7</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Fleet Maintenance &amp; Ops Partners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Operational</w:t>
            </w:r>
          </w:p>
        </w:tc>
        <w:tc>
          <w:tcPr>
            <w:tcW w:type="dxa" w:w="11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Medium</w:t>
            </w:r>
          </w:p>
        </w:tc>
        <w:tc>
          <w:tcPr>
            <w:tcW w:type="dxa" w:w="11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Medium</w:t>
            </w:r>
          </w:p>
        </w:tc>
        <w:tc>
          <w:tcPr>
            <w:tcW w:type="dxa" w:w="308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tcPr>
          <w:p>
            <w:r>
              <w:rPr>
                <w:rFonts w:ascii="Arial" w:cs="Arial" w:eastAsia="Arial" w:hAnsi="Arial"/>
                <w:b w:val="false"/>
                <w:bCs w:val="false"/>
                <w:color w:val="1A1A1A"/>
                <w:sz w:val="19"/>
                <w:szCs w:val="19"/>
              </w:rPr>
              <w:t xml:space="preserve">High</w:t>
            </w:r>
          </w:p>
        </w:tc>
      </w:tr>
      <w:tr>
        <w:tc>
          <w:tcPr>
            <w:tcW w:type="dxa" w:w="42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color w:val="1A1A1A"/>
                <w:sz w:val="19"/>
                <w:szCs w:val="19"/>
              </w:rPr>
              <w:t xml:space="preserve">8</w:t>
            </w:r>
          </w:p>
        </w:tc>
        <w:tc>
          <w:tcPr>
            <w:tcW w:type="dxa" w:w="20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color w:val="1A1A1A"/>
                <w:sz w:val="19"/>
                <w:szCs w:val="19"/>
              </w:rPr>
              <w:t xml:space="preserve">Technology &amp; Platform Partners</w:t>
            </w:r>
          </w:p>
        </w:tc>
        <w:tc>
          <w:tcPr>
            <w:tcW w:type="dxa" w:w="15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color w:val="1A1A1A"/>
                <w:sz w:val="19"/>
                <w:szCs w:val="19"/>
              </w:rPr>
              <w:t xml:space="preserve">Operational</w:t>
            </w:r>
          </w:p>
        </w:tc>
        <w:tc>
          <w:tcPr>
            <w:tcW w:type="dxa" w:w="118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color w:val="1A1A1A"/>
                <w:sz w:val="19"/>
                <w:szCs w:val="19"/>
              </w:rPr>
              <w:t xml:space="preserve">High</w:t>
            </w:r>
          </w:p>
        </w:tc>
        <w:tc>
          <w:tcPr>
            <w:tcW w:type="dxa" w:w="118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color w:val="1A1A1A"/>
                <w:sz w:val="19"/>
                <w:szCs w:val="19"/>
              </w:rPr>
              <w:t xml:space="preserve">Medium</w:t>
            </w:r>
          </w:p>
        </w:tc>
        <w:tc>
          <w:tcPr>
            <w:tcW w:type="dxa" w:w="308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tcPr>
          <w:p>
            <w:r>
              <w:rPr>
                <w:rFonts w:ascii="Arial" w:cs="Arial" w:eastAsia="Arial" w:hAnsi="Arial"/>
                <w:b w:val="false"/>
                <w:bCs w:val="false"/>
                <w:color w:val="1A1A1A"/>
                <w:sz w:val="19"/>
                <w:szCs w:val="19"/>
              </w:rPr>
              <w:t xml:space="preserve">High</w:t>
            </w:r>
          </w:p>
        </w:tc>
      </w:tr>
      <w:tr>
        <w:tc>
          <w:tcPr>
            <w:tcW w:type="dxa" w:w="42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9</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Investors &amp; Venture Capitalists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Financial</w:t>
            </w:r>
          </w:p>
        </w:tc>
        <w:tc>
          <w:tcPr>
            <w:tcW w:type="dxa" w:w="11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High</w:t>
            </w:r>
          </w:p>
        </w:tc>
        <w:tc>
          <w:tcPr>
            <w:tcW w:type="dxa" w:w="11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High</w:t>
            </w:r>
          </w:p>
        </w:tc>
        <w:tc>
          <w:tcPr>
            <w:tcW w:type="dxa" w:w="3080"/>
            <w:tcBorders>
              <w:top w:val="single" w:color="BBBBBB" w:sz="1"/>
              <w:left w:val="single" w:color="BBBBBB" w:sz="1"/>
              <w:bottom w:val="single" w:color="BBBBBB" w:sz="1"/>
              <w:right w:val="single" w:color="BBBBBB" w:sz="1"/>
            </w:tcBorders>
            <w:shd w:fill="FCE4D6" w:val="clear"/>
            <w:tcMar>
              <w:top w:type="dxa" w:w="80"/>
              <w:left w:type="dxa" w:w="100"/>
              <w:bottom w:type="dxa" w:w="80"/>
              <w:right w:type="dxa" w:w="100"/>
            </w:tcMar>
          </w:tcPr>
          <w:p>
            <w:r>
              <w:rPr>
                <w:rFonts w:ascii="Arial" w:cs="Arial" w:eastAsia="Arial" w:hAnsi="Arial"/>
                <w:b/>
                <w:bCs/>
                <w:color w:val="C00000"/>
                <w:sz w:val="19"/>
                <w:szCs w:val="19"/>
              </w:rPr>
              <w:t xml:space="preserve">Critical</w:t>
            </w:r>
          </w:p>
        </w:tc>
      </w:tr>
      <w:tr>
        <w:tc>
          <w:tcPr>
            <w:tcW w:type="dxa" w:w="42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color w:val="1A1A1A"/>
                <w:sz w:val="19"/>
                <w:szCs w:val="19"/>
              </w:rPr>
              <w:t xml:space="preserve">10</w:t>
            </w:r>
          </w:p>
        </w:tc>
        <w:tc>
          <w:tcPr>
            <w:tcW w:type="dxa" w:w="20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color w:val="1A1A1A"/>
                <w:sz w:val="19"/>
                <w:szCs w:val="19"/>
              </w:rPr>
              <w:t xml:space="preserve">Channel &amp; Franchise Partners</w:t>
            </w:r>
          </w:p>
        </w:tc>
        <w:tc>
          <w:tcPr>
            <w:tcW w:type="dxa" w:w="15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color w:val="1A1A1A"/>
                <w:sz w:val="19"/>
                <w:szCs w:val="19"/>
              </w:rPr>
              <w:t xml:space="preserve">Strategic</w:t>
            </w:r>
          </w:p>
        </w:tc>
        <w:tc>
          <w:tcPr>
            <w:tcW w:type="dxa" w:w="118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color w:val="1A1A1A"/>
                <w:sz w:val="19"/>
                <w:szCs w:val="19"/>
              </w:rPr>
              <w:t xml:space="preserve">Medium</w:t>
            </w:r>
          </w:p>
        </w:tc>
        <w:tc>
          <w:tcPr>
            <w:tcW w:type="dxa" w:w="118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color w:val="1A1A1A"/>
                <w:sz w:val="19"/>
                <w:szCs w:val="19"/>
              </w:rPr>
              <w:t xml:space="preserve">High</w:t>
            </w:r>
          </w:p>
        </w:tc>
        <w:tc>
          <w:tcPr>
            <w:tcW w:type="dxa" w:w="308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r>
              <w:rPr>
                <w:rFonts w:ascii="Arial" w:cs="Arial" w:eastAsia="Arial" w:hAnsi="Arial"/>
                <w:b w:val="false"/>
                <w:bCs w:val="false"/>
                <w:color w:val="1A1A1A"/>
                <w:sz w:val="19"/>
                <w:szCs w:val="19"/>
              </w:rPr>
              <w:t xml:space="preserve">Medium</w:t>
            </w:r>
          </w:p>
        </w:tc>
      </w:tr>
    </w:tbl>
    <w:p>
      <w:pPr>
        <w:pBdr>
          <w:bottom w:val="single" w:color="2E75B6" w:sz="4" w:space="4"/>
        </w:pBdr>
        <w:spacing w:after="100" w:before="280"/>
      </w:pPr>
      <w:r>
        <w:rPr>
          <w:rFonts w:ascii="Arial" w:cs="Arial" w:eastAsia="Arial" w:hAnsi="Arial"/>
          <w:b/>
          <w:bCs/>
          <w:color w:val="1A3C5E"/>
          <w:sz w:val="28"/>
          <w:szCs w:val="28"/>
        </w:rPr>
        <w:t xml:space="preserve">5.  BA Notes &amp; Elicitation Implications</w:t>
      </w:r>
    </w:p>
    <w:p>
      <w:pPr>
        <w:pStyle w:val="ListParagraph"/>
        <w:numPr>
          <w:ilvl w:val="0"/>
          <w:numId w:val="2"/>
        </w:numPr>
        <w:spacing w:after="40" w:before="40"/>
      </w:pPr>
      <w:r>
        <w:rPr>
          <w:rFonts w:ascii="Arial" w:cs="Arial" w:eastAsia="Arial" w:hAnsi="Arial"/>
          <w:color w:val="1A1A1A"/>
          <w:sz w:val="22"/>
          <w:szCs w:val="22"/>
        </w:rPr>
        <w:t xml:space="preserve">Government &amp; Municipal Authorities and Investors are classified as Critical priority due to their high influence over business approvals, funding, and regulatory compliance. Early engagement is essential.</w:t>
      </w:r>
    </w:p>
    <w:p>
      <w:pPr>
        <w:pStyle w:val="ListParagraph"/>
        <w:numPr>
          <w:ilvl w:val="0"/>
          <w:numId w:val="2"/>
        </w:numPr>
        <w:spacing w:after="40" w:before="40"/>
      </w:pPr>
      <w:r>
        <w:rPr>
          <w:rFonts w:ascii="Arial" w:cs="Arial" w:eastAsia="Arial" w:hAnsi="Arial"/>
          <w:color w:val="1A1A1A"/>
          <w:sz w:val="22"/>
          <w:szCs w:val="22"/>
        </w:rPr>
        <w:t xml:space="preserve">Tourists &amp; Urban Commuters are the primary revenue-driving stakeholders. Their requirements will directly inform core product features, pricing models, and UX design.</w:t>
      </w:r>
    </w:p>
    <w:p>
      <w:pPr>
        <w:pStyle w:val="ListParagraph"/>
        <w:numPr>
          <w:ilvl w:val="0"/>
          <w:numId w:val="2"/>
        </w:numPr>
        <w:spacing w:after="40" w:before="40"/>
      </w:pPr>
      <w:r>
        <w:rPr>
          <w:rFonts w:ascii="Arial" w:cs="Arial" w:eastAsia="Arial" w:hAnsi="Arial"/>
          <w:color w:val="1A1A1A"/>
          <w:sz w:val="22"/>
          <w:szCs w:val="22"/>
        </w:rPr>
        <w:t xml:space="preserve">Technology &amp; Platform Partners must be engaged early in the sprint planning cycle, as their integration requirements will impact the technical backlog significantly.</w:t>
      </w:r>
    </w:p>
    <w:p>
      <w:pPr>
        <w:pStyle w:val="ListParagraph"/>
        <w:numPr>
          <w:ilvl w:val="0"/>
          <w:numId w:val="2"/>
        </w:numPr>
        <w:spacing w:after="40" w:before="40"/>
      </w:pPr>
      <w:r>
        <w:rPr>
          <w:rFonts w:ascii="Arial" w:cs="Arial" w:eastAsia="Arial" w:hAnsi="Arial"/>
          <w:color w:val="1A1A1A"/>
          <w:sz w:val="22"/>
          <w:szCs w:val="22"/>
        </w:rPr>
        <w:t xml:space="preserve">Gig Economy Workers represent an underserved but high-frequency user segment — their feedback will be critical during elicitation workshops and UAT phases.</w:t>
      </w:r>
    </w:p>
    <w:p>
      <w:pPr>
        <w:pStyle w:val="ListParagraph"/>
        <w:numPr>
          <w:ilvl w:val="0"/>
          <w:numId w:val="2"/>
        </w:numPr>
        <w:spacing w:after="40" w:before="40"/>
      </w:pPr>
      <w:r>
        <w:rPr>
          <w:rFonts w:ascii="Arial" w:cs="Arial" w:eastAsia="Arial" w:hAnsi="Arial"/>
          <w:color w:val="1A1A1A"/>
          <w:sz w:val="22"/>
          <w:szCs w:val="22"/>
        </w:rPr>
        <w:t xml:space="preserve">Stakeholder engagement plans, interview guides, and elicitation techniques for each group will be documented in subsequent artifacts under this knowledge area.</w:t>
      </w:r>
    </w:p>
    <w:p>
      <w:pPr>
        <w:pBdr>
          <w:bottom w:val="single" w:color="2E75B6" w:sz="4" w:space="4"/>
        </w:pBdr>
        <w:spacing w:after="100" w:before="280"/>
      </w:pPr>
      <w:r>
        <w:rPr>
          <w:rFonts w:ascii="Arial" w:cs="Arial" w:eastAsia="Arial" w:hAnsi="Arial"/>
          <w:b/>
          <w:bCs/>
          <w:color w:val="1A3C5E"/>
          <w:sz w:val="28"/>
          <w:szCs w:val="28"/>
        </w:rPr>
        <w:t xml:space="preserve">6.  Next Steps (Agile Context)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 Item</w:t>
            </w:r>
          </w:p>
        </w:tc>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Develop Stakeholder Engagement Plan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Business Analyst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1</w:t>
            </w:r>
          </w:p>
        </w:tc>
      </w:tr>
      <w:tr>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Design elicitation techniques per stakeholder group</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Business Analyst</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Sprint 1</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Schedule discovery sessions with priority stakeholders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 + Project Lead</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1–2</w:t>
            </w:r>
          </w:p>
        </w:tc>
      </w:tr>
      <w:tr>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Map stakeholders to Epics and User Stories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Business Analyst</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Sprint 2</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Review and update register as new stakeholders emerge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Business Analyst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Ongoing</w:t>
            </w:r>
          </w:p>
        </w:tc>
      </w:tr>
    </w:tbl>
    <w:p>
      <w:pPr>
        <w:pBdr>
          <w:bottom w:val="single" w:color="2E75B6" w:sz="4" w:space="4"/>
        </w:pBdr>
        <w:spacing w:after="100" w:before="280"/>
      </w:pPr>
      <w:r>
        <w:rPr>
          <w:rFonts w:ascii="Arial" w:cs="Arial" w:eastAsia="Arial" w:hAnsi="Arial"/>
          <w:b/>
          <w:bCs/>
          <w:color w:val="1A3C5E"/>
          <w:sz w:val="28"/>
          <w:szCs w:val="28"/>
        </w:rPr>
        <w:t xml:space="preserve">7.  Version History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2560"/>
        <w:gridCol w:w="3360"/>
      </w:tblGrid>
      <w:tr>
        <w:tc>
          <w:tcPr>
            <w:tcW w:type="dxa" w:w="14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Version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Date</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Author</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Changes</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v1.0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May 2026</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[Your Name]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Initial baseline document created</w:t>
            </w:r>
          </w:p>
        </w:tc>
      </w:tr>
    </w:tbl>
    <w:p>
      <w:pPr>
        <w:spacing w:after="0" w:before="320"/>
      </w:pPr>
      <w:r>
        <w:t xml:space="preserve"/>
      </w:r>
    </w:p>
    <w:p>
      <w:pPr>
        <w:pBdr>
          <w:top w:val="single" w:color="CCCCCC" w:sz="2" w:space="6"/>
        </w:pBdr>
        <w:spacing w:after="0" w:before="120"/>
        <w:jc w:val="center"/>
      </w:pPr>
      <w:r>
        <w:rPr>
          <w:rFonts w:ascii="Arial" w:cs="Arial" w:eastAsia="Arial" w:hAnsi="Arial"/>
          <w:i/>
          <w:iCs/>
          <w:color w:val="999999"/>
          <w:sz w:val="17"/>
          <w:szCs w:val="17"/>
        </w:rPr>
        <w:t xml:space="preserve">This document is part of the e-Bike Rental Startup BA Case Study Portfolio. BABOK Knowledge Area: Elicitation &amp; Collaboration | Technique: Stakeholder Identification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pPr>
    <w:r>
      <w:rPr>
        <w:rFonts w:ascii="Arial" w:cs="Arial" w:eastAsia="Arial" w:hAnsi="Arial"/>
        <w:color w:val="888888"/>
        <w:sz w:val="17"/>
        <w:szCs w:val="17"/>
      </w:rPr>
      <w:t xml:space="preserve">Stakeholder Identification Register  |  v1.0  |  BABOK: Elicitation &amp; Collaboration</w:t>
    </w:r>
    <w:r>
      <w:rPr>
        <w:sz w:val="17"/>
        <w:szCs w:val="17"/>
      </w:rPr>
      <w:t xml:space="preserve">	</w:t>
    </w:r>
    <w:r>
      <w:rPr>
        <w:rFonts w:ascii="Arial" w:cs="Arial" w:eastAsia="Arial" w:hAnsi="Arial"/>
        <w:color w:val="888888"/>
        <w:sz w:val="17"/>
        <w:szCs w:val="17"/>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80"/>
    </w:pPr>
    <w:r>
      <w:rPr>
        <w:rFonts w:ascii="Arial" w:cs="Arial" w:eastAsia="Arial" w:hAnsi="Arial"/>
        <w:color w:val="888888"/>
        <w:sz w:val="18"/>
        <w:szCs w:val="18"/>
      </w:rPr>
      <w:t xml:space="preserve">e-Bike Rental Startup  |  Business Analysis Case Study</w:t>
    </w:r>
    <w:r>
      <w:rPr>
        <w:sz w:val="18"/>
        <w:szCs w:val="18"/>
      </w:rPr>
      <w:t xml:space="preserve">	</w:t>
    </w:r>
    <w:r>
      <w:rPr>
        <w:rFonts w:ascii="Arial" w:cs="Arial" w:eastAsia="Arial" w:hAnsi="Arial"/>
        <w:i/>
        <w:iCs/>
        <w:color w:val="AAAAAA"/>
        <w:sz w:val="17"/>
        <w:szCs w:val="17"/>
      </w:rPr>
      <w:t xml:space="preserve">CONFIDENTIAL — FOR PORTFOLIO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2026-05-05T09:03:27.008Z</dcterms:created>
  <dcterms:modified xsi:type="dcterms:W3CDTF">2026-05-05T09:03:27.008Z</dcterms:modified>
</cp:coreProperties>
</file>

<file path=docProps/custom.xml><?xml version="1.0" encoding="utf-8"?>
<Properties xmlns="http://schemas.openxmlformats.org/officeDocument/2006/custom-properties" xmlns:vt="http://schemas.openxmlformats.org/officeDocument/2006/docPropsVTypes"/>
</file>