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8F940" w14:textId="77777777" w:rsidR="00174274" w:rsidRPr="00174274" w:rsidRDefault="00174274" w:rsidP="00174274">
      <w:pPr>
        <w:spacing w:after="66" w:line="259" w:lineRule="auto"/>
        <w:ind w:left="14" w:right="0" w:firstLine="0"/>
        <w:jc w:val="center"/>
        <w:rPr>
          <w:b/>
          <w:sz w:val="28"/>
        </w:rPr>
      </w:pPr>
    </w:p>
    <w:tbl>
      <w:tblPr>
        <w:tblStyle w:val="TableGrid"/>
        <w:tblW w:w="9895" w:type="dxa"/>
        <w:tblInd w:w="0" w:type="dxa"/>
        <w:tblCellMar>
          <w:top w:w="2" w:type="dxa"/>
          <w:left w:w="0" w:type="dxa"/>
          <w:bottom w:w="0" w:type="dxa"/>
          <w:right w:w="0" w:type="dxa"/>
        </w:tblCellMar>
        <w:tblLook w:val="04A0" w:firstRow="1" w:lastRow="0" w:firstColumn="1" w:lastColumn="0" w:noHBand="0" w:noVBand="1"/>
      </w:tblPr>
      <w:tblGrid>
        <w:gridCol w:w="4855"/>
        <w:gridCol w:w="5040"/>
      </w:tblGrid>
      <w:tr w:rsidR="00174274" w14:paraId="1F50404C" w14:textId="77777777" w:rsidTr="00174274">
        <w:trPr>
          <w:trHeight w:val="312"/>
        </w:trPr>
        <w:tc>
          <w:tcPr>
            <w:tcW w:w="4855" w:type="dxa"/>
          </w:tcPr>
          <w:p w14:paraId="0D74E251" w14:textId="5F4FF960" w:rsidR="00174274" w:rsidRPr="00174274" w:rsidRDefault="00174274" w:rsidP="00174274">
            <w:pPr>
              <w:spacing w:after="0" w:line="259" w:lineRule="auto"/>
              <w:ind w:left="0" w:firstLine="0"/>
              <w:rPr>
                <w:sz w:val="28"/>
                <w:szCs w:val="32"/>
              </w:rPr>
            </w:pPr>
            <w:r w:rsidRPr="00174274">
              <w:rPr>
                <w:rFonts w:ascii="Times New Roman" w:eastAsia="Times New Roman" w:hAnsi="Times New Roman" w:cs="Times New Roman"/>
                <w:b/>
                <w:sz w:val="28"/>
                <w:szCs w:val="32"/>
              </w:rPr>
              <w:t xml:space="preserve">Name: </w:t>
            </w:r>
            <w:r w:rsidRPr="00174274">
              <w:rPr>
                <w:rFonts w:ascii="Times New Roman" w:eastAsia="Times New Roman" w:hAnsi="Times New Roman" w:cs="Times New Roman"/>
                <w:bCs/>
                <w:sz w:val="28"/>
                <w:szCs w:val="32"/>
              </w:rPr>
              <w:t>Omkar Bhoir</w:t>
            </w:r>
          </w:p>
        </w:tc>
        <w:tc>
          <w:tcPr>
            <w:tcW w:w="5040" w:type="dxa"/>
          </w:tcPr>
          <w:p w14:paraId="581B0308" w14:textId="3B9CDB33" w:rsidR="00174274" w:rsidRPr="00174274" w:rsidRDefault="00174274" w:rsidP="00174274">
            <w:pPr>
              <w:spacing w:after="0" w:line="259" w:lineRule="auto"/>
              <w:ind w:left="0" w:right="186" w:firstLine="0"/>
              <w:rPr>
                <w:sz w:val="28"/>
                <w:szCs w:val="32"/>
              </w:rPr>
            </w:pPr>
            <w:r w:rsidRPr="00174274">
              <w:rPr>
                <w:rFonts w:ascii="Times New Roman" w:eastAsia="Times New Roman" w:hAnsi="Times New Roman" w:cs="Times New Roman"/>
                <w:b/>
                <w:sz w:val="28"/>
                <w:szCs w:val="32"/>
              </w:rPr>
              <w:t xml:space="preserve">Branch: </w:t>
            </w:r>
            <w:r w:rsidRPr="00174274">
              <w:rPr>
                <w:bCs/>
                <w:sz w:val="28"/>
                <w:szCs w:val="32"/>
              </w:rPr>
              <w:t>CSE AIML</w:t>
            </w:r>
          </w:p>
        </w:tc>
      </w:tr>
      <w:tr w:rsidR="00174274" w14:paraId="61AB8395" w14:textId="77777777" w:rsidTr="00174274">
        <w:trPr>
          <w:trHeight w:val="312"/>
        </w:trPr>
        <w:tc>
          <w:tcPr>
            <w:tcW w:w="4855" w:type="dxa"/>
          </w:tcPr>
          <w:p w14:paraId="64BF56C9" w14:textId="62105053" w:rsidR="00174274" w:rsidRPr="00174274" w:rsidRDefault="00174274" w:rsidP="00174274">
            <w:pPr>
              <w:tabs>
                <w:tab w:val="center" w:pos="1586"/>
              </w:tabs>
              <w:spacing w:after="0" w:line="259" w:lineRule="auto"/>
              <w:ind w:left="0" w:firstLine="0"/>
              <w:rPr>
                <w:sz w:val="28"/>
                <w:szCs w:val="32"/>
              </w:rPr>
            </w:pPr>
            <w:r w:rsidRPr="00174274">
              <w:rPr>
                <w:rFonts w:ascii="Times New Roman" w:eastAsia="Times New Roman" w:hAnsi="Times New Roman" w:cs="Times New Roman"/>
                <w:b/>
                <w:sz w:val="28"/>
                <w:szCs w:val="32"/>
              </w:rPr>
              <w:t>UID:</w:t>
            </w:r>
            <w:r w:rsidRPr="00174274">
              <w:rPr>
                <w:rFonts w:ascii="Times New Roman" w:eastAsia="Times New Roman" w:hAnsi="Times New Roman" w:cs="Times New Roman"/>
                <w:b/>
                <w:sz w:val="28"/>
                <w:szCs w:val="32"/>
              </w:rPr>
              <w:t xml:space="preserve"> </w:t>
            </w:r>
            <w:r w:rsidRPr="00174274">
              <w:rPr>
                <w:rFonts w:ascii="Times New Roman" w:eastAsia="Times New Roman" w:hAnsi="Times New Roman" w:cs="Times New Roman"/>
                <w:bCs/>
                <w:sz w:val="28"/>
                <w:szCs w:val="32"/>
              </w:rPr>
              <w:t>2022601002</w:t>
            </w:r>
          </w:p>
        </w:tc>
        <w:tc>
          <w:tcPr>
            <w:tcW w:w="5040" w:type="dxa"/>
          </w:tcPr>
          <w:p w14:paraId="1B71392F" w14:textId="15E98B97" w:rsidR="00174274" w:rsidRPr="00174274" w:rsidRDefault="00174274" w:rsidP="00174274">
            <w:pPr>
              <w:spacing w:after="0" w:line="259" w:lineRule="auto"/>
              <w:ind w:left="0" w:firstLine="0"/>
              <w:rPr>
                <w:sz w:val="28"/>
                <w:szCs w:val="32"/>
              </w:rPr>
            </w:pPr>
            <w:r w:rsidRPr="00174274">
              <w:rPr>
                <w:rFonts w:ascii="Times New Roman" w:eastAsia="Times New Roman" w:hAnsi="Times New Roman" w:cs="Times New Roman"/>
                <w:b/>
                <w:sz w:val="28"/>
                <w:szCs w:val="32"/>
              </w:rPr>
              <w:t xml:space="preserve">Course: </w:t>
            </w:r>
            <w:r w:rsidRPr="00174274">
              <w:rPr>
                <w:sz w:val="28"/>
                <w:szCs w:val="32"/>
              </w:rPr>
              <w:t xml:space="preserve">ADV Batch </w:t>
            </w:r>
            <w:r w:rsidRPr="00174274">
              <w:rPr>
                <w:sz w:val="28"/>
                <w:szCs w:val="32"/>
              </w:rPr>
              <w:t>D</w:t>
            </w:r>
          </w:p>
        </w:tc>
      </w:tr>
    </w:tbl>
    <w:p w14:paraId="182A7064" w14:textId="77777777" w:rsidR="00174274" w:rsidRDefault="00174274" w:rsidP="00174274">
      <w:pPr>
        <w:spacing w:after="66" w:line="259" w:lineRule="auto"/>
        <w:ind w:left="14" w:right="0" w:firstLine="0"/>
        <w:jc w:val="center"/>
        <w:rPr>
          <w:b/>
          <w:sz w:val="28"/>
        </w:rPr>
      </w:pPr>
    </w:p>
    <w:p w14:paraId="160E6F84" w14:textId="040392FC" w:rsidR="00174274" w:rsidRDefault="00174274" w:rsidP="00174274">
      <w:pPr>
        <w:spacing w:after="66" w:line="259" w:lineRule="auto"/>
        <w:ind w:left="14" w:right="0" w:firstLine="0"/>
        <w:jc w:val="center"/>
        <w:rPr>
          <w:b/>
          <w:sz w:val="28"/>
        </w:rPr>
      </w:pPr>
      <w:r>
        <w:rPr>
          <w:b/>
          <w:sz w:val="28"/>
        </w:rPr>
        <w:t>Experiment-10</w:t>
      </w:r>
    </w:p>
    <w:p w14:paraId="204266B2" w14:textId="77777777" w:rsidR="00174274" w:rsidRDefault="00174274">
      <w:pPr>
        <w:spacing w:after="431" w:line="614" w:lineRule="auto"/>
        <w:ind w:left="0" w:firstLine="0"/>
        <w:rPr>
          <w:b/>
          <w:sz w:val="24"/>
          <w:u w:val="single" w:color="000000"/>
        </w:rPr>
      </w:pPr>
    </w:p>
    <w:p w14:paraId="0C3DE6C0" w14:textId="1DD21A29" w:rsidR="00F6460E" w:rsidRDefault="00000000">
      <w:pPr>
        <w:spacing w:after="431" w:line="614" w:lineRule="auto"/>
        <w:ind w:left="0" w:firstLine="0"/>
      </w:pPr>
      <w:r>
        <w:rPr>
          <w:b/>
          <w:sz w:val="24"/>
          <w:u w:val="single" w:color="000000"/>
        </w:rPr>
        <w:t>Aim</w:t>
      </w:r>
      <w:r>
        <w:rPr>
          <w:b/>
          <w:sz w:val="24"/>
        </w:rPr>
        <w:t xml:space="preserve">: </w:t>
      </w:r>
      <w:r>
        <w:t xml:space="preserve">Design Big Data Dashboard using Tableau on the dataset - Education Sector </w:t>
      </w:r>
      <w:r>
        <w:rPr>
          <w:b/>
          <w:u w:val="single" w:color="000000"/>
        </w:rPr>
        <w:t xml:space="preserve">Dataset: </w:t>
      </w:r>
      <w:r>
        <w:t>The dataset being used is a world education dataset. It contains columns:</w:t>
      </w:r>
    </w:p>
    <w:p w14:paraId="3DCA0DBF" w14:textId="77777777" w:rsidR="00F6460E" w:rsidRDefault="00000000">
      <w:pPr>
        <w:numPr>
          <w:ilvl w:val="0"/>
          <w:numId w:val="1"/>
        </w:numPr>
        <w:spacing w:after="27" w:line="271" w:lineRule="auto"/>
        <w:ind w:right="0" w:hanging="360"/>
      </w:pPr>
      <w:r>
        <w:rPr>
          <w:b/>
          <w:color w:val="3C4043"/>
          <w:sz w:val="21"/>
        </w:rPr>
        <w:t>Countries and Areas</w:t>
      </w:r>
      <w:r>
        <w:rPr>
          <w:color w:val="3C4043"/>
          <w:sz w:val="21"/>
        </w:rPr>
        <w:t>: Name of the countries and areas.</w:t>
      </w:r>
    </w:p>
    <w:p w14:paraId="0B7E227F" w14:textId="77777777" w:rsidR="00F6460E" w:rsidRDefault="00000000">
      <w:pPr>
        <w:numPr>
          <w:ilvl w:val="0"/>
          <w:numId w:val="1"/>
        </w:numPr>
        <w:spacing w:after="27" w:line="271" w:lineRule="auto"/>
        <w:ind w:right="0" w:hanging="360"/>
      </w:pPr>
      <w:r>
        <w:rPr>
          <w:b/>
          <w:color w:val="3C4043"/>
          <w:sz w:val="21"/>
        </w:rPr>
        <w:t>Latitude</w:t>
      </w:r>
      <w:r>
        <w:rPr>
          <w:color w:val="3C4043"/>
          <w:sz w:val="21"/>
        </w:rPr>
        <w:t>: Latitude coordinates of the geographical location.</w:t>
      </w:r>
    </w:p>
    <w:p w14:paraId="00FE07E8" w14:textId="77777777" w:rsidR="00F6460E" w:rsidRDefault="00000000">
      <w:pPr>
        <w:numPr>
          <w:ilvl w:val="0"/>
          <w:numId w:val="1"/>
        </w:numPr>
        <w:spacing w:after="27" w:line="271" w:lineRule="auto"/>
        <w:ind w:right="0" w:hanging="360"/>
      </w:pPr>
      <w:r>
        <w:rPr>
          <w:b/>
          <w:color w:val="3C4043"/>
          <w:sz w:val="21"/>
        </w:rPr>
        <w:t>Longitude</w:t>
      </w:r>
      <w:r>
        <w:rPr>
          <w:color w:val="3C4043"/>
          <w:sz w:val="21"/>
        </w:rPr>
        <w:t>: Longitude coordinates of the geographical location.</w:t>
      </w:r>
    </w:p>
    <w:p w14:paraId="2C81F160" w14:textId="77777777" w:rsidR="00F6460E" w:rsidRDefault="00000000">
      <w:pPr>
        <w:numPr>
          <w:ilvl w:val="0"/>
          <w:numId w:val="1"/>
        </w:numPr>
        <w:spacing w:after="27" w:line="271" w:lineRule="auto"/>
        <w:ind w:right="0" w:hanging="360"/>
      </w:pPr>
      <w:r>
        <w:rPr>
          <w:b/>
          <w:color w:val="3C4043"/>
          <w:sz w:val="21"/>
        </w:rPr>
        <w:t>OOSR_Pre0Primary_Age_Male</w:t>
      </w:r>
      <w:r>
        <w:rPr>
          <w:color w:val="3C4043"/>
          <w:sz w:val="21"/>
        </w:rPr>
        <w:t>: Out-of-school rate for pre-primary age males.</w:t>
      </w:r>
    </w:p>
    <w:p w14:paraId="1015BC28" w14:textId="77777777" w:rsidR="00F6460E" w:rsidRDefault="00000000">
      <w:pPr>
        <w:numPr>
          <w:ilvl w:val="0"/>
          <w:numId w:val="1"/>
        </w:numPr>
        <w:spacing w:after="27" w:line="271" w:lineRule="auto"/>
        <w:ind w:right="0" w:hanging="360"/>
      </w:pPr>
      <w:r>
        <w:rPr>
          <w:b/>
          <w:color w:val="3C4043"/>
          <w:sz w:val="21"/>
        </w:rPr>
        <w:t>OOSR_Pre0Primary_Age_Female</w:t>
      </w:r>
      <w:r>
        <w:rPr>
          <w:color w:val="3C4043"/>
          <w:sz w:val="21"/>
        </w:rPr>
        <w:t>: Out-of-school rate for pre-primary age females.</w:t>
      </w:r>
    </w:p>
    <w:p w14:paraId="2CE00610" w14:textId="77777777" w:rsidR="00F6460E" w:rsidRDefault="00000000">
      <w:pPr>
        <w:numPr>
          <w:ilvl w:val="0"/>
          <w:numId w:val="1"/>
        </w:numPr>
        <w:spacing w:after="27" w:line="271" w:lineRule="auto"/>
        <w:ind w:right="0" w:hanging="360"/>
      </w:pPr>
      <w:proofErr w:type="spellStart"/>
      <w:r>
        <w:rPr>
          <w:b/>
          <w:color w:val="3C4043"/>
          <w:sz w:val="21"/>
        </w:rPr>
        <w:t>OOSR_Primary_Age_Male</w:t>
      </w:r>
      <w:proofErr w:type="spellEnd"/>
      <w:r>
        <w:rPr>
          <w:color w:val="3C4043"/>
          <w:sz w:val="21"/>
        </w:rPr>
        <w:t>: Out-of-school rate for primary age males.</w:t>
      </w:r>
    </w:p>
    <w:p w14:paraId="2955667F" w14:textId="77777777" w:rsidR="00F6460E" w:rsidRDefault="00000000">
      <w:pPr>
        <w:numPr>
          <w:ilvl w:val="0"/>
          <w:numId w:val="1"/>
        </w:numPr>
        <w:spacing w:after="27" w:line="271" w:lineRule="auto"/>
        <w:ind w:right="0" w:hanging="360"/>
      </w:pPr>
      <w:proofErr w:type="spellStart"/>
      <w:r>
        <w:rPr>
          <w:b/>
          <w:color w:val="3C4043"/>
          <w:sz w:val="21"/>
        </w:rPr>
        <w:t>OOSR_Primary_Age_Female</w:t>
      </w:r>
      <w:proofErr w:type="spellEnd"/>
      <w:r>
        <w:rPr>
          <w:color w:val="3C4043"/>
          <w:sz w:val="21"/>
        </w:rPr>
        <w:t>: Out-of-school rate for primary age females.</w:t>
      </w:r>
    </w:p>
    <w:p w14:paraId="4C49EDB1" w14:textId="77777777" w:rsidR="00F6460E" w:rsidRDefault="00000000">
      <w:pPr>
        <w:numPr>
          <w:ilvl w:val="0"/>
          <w:numId w:val="1"/>
        </w:numPr>
        <w:spacing w:after="27" w:line="271" w:lineRule="auto"/>
        <w:ind w:right="0" w:hanging="360"/>
      </w:pPr>
      <w:proofErr w:type="spellStart"/>
      <w:r>
        <w:rPr>
          <w:b/>
          <w:color w:val="3C4043"/>
          <w:sz w:val="21"/>
        </w:rPr>
        <w:t>OOSR_Lower_Secondary_Age_Male</w:t>
      </w:r>
      <w:proofErr w:type="spellEnd"/>
      <w:r>
        <w:rPr>
          <w:color w:val="3C4043"/>
          <w:sz w:val="21"/>
        </w:rPr>
        <w:t>: Out-of-school rate for lower secondary age males.</w:t>
      </w:r>
    </w:p>
    <w:p w14:paraId="4B306F70" w14:textId="77777777" w:rsidR="00F6460E" w:rsidRDefault="00000000">
      <w:pPr>
        <w:numPr>
          <w:ilvl w:val="0"/>
          <w:numId w:val="1"/>
        </w:numPr>
        <w:spacing w:after="27" w:line="271" w:lineRule="auto"/>
        <w:ind w:right="0" w:hanging="360"/>
      </w:pPr>
      <w:proofErr w:type="spellStart"/>
      <w:r>
        <w:rPr>
          <w:b/>
          <w:color w:val="3C4043"/>
          <w:sz w:val="21"/>
        </w:rPr>
        <w:t>OOSR_Lower_Secondary_Age_Female</w:t>
      </w:r>
      <w:proofErr w:type="spellEnd"/>
      <w:r>
        <w:rPr>
          <w:color w:val="3C4043"/>
          <w:sz w:val="21"/>
        </w:rPr>
        <w:t>: Out-of-school rate for lower secondary age females.</w:t>
      </w:r>
    </w:p>
    <w:p w14:paraId="1C2FEC76" w14:textId="77777777" w:rsidR="00F6460E" w:rsidRDefault="00000000">
      <w:pPr>
        <w:numPr>
          <w:ilvl w:val="0"/>
          <w:numId w:val="1"/>
        </w:numPr>
        <w:spacing w:after="27" w:line="271" w:lineRule="auto"/>
        <w:ind w:right="0" w:hanging="360"/>
      </w:pPr>
      <w:proofErr w:type="spellStart"/>
      <w:r>
        <w:rPr>
          <w:b/>
          <w:color w:val="3C4043"/>
          <w:sz w:val="21"/>
        </w:rPr>
        <w:t>OOSR_Upper_Secondary_Age_Male</w:t>
      </w:r>
      <w:proofErr w:type="spellEnd"/>
      <w:r>
        <w:rPr>
          <w:color w:val="3C4043"/>
          <w:sz w:val="21"/>
        </w:rPr>
        <w:t>: Out-of-school rate for upper secondary age males.</w:t>
      </w:r>
    </w:p>
    <w:p w14:paraId="758F3D5C" w14:textId="77777777" w:rsidR="00F6460E" w:rsidRDefault="00000000">
      <w:pPr>
        <w:numPr>
          <w:ilvl w:val="0"/>
          <w:numId w:val="1"/>
        </w:numPr>
        <w:spacing w:after="27" w:line="271" w:lineRule="auto"/>
        <w:ind w:right="0" w:hanging="360"/>
      </w:pPr>
      <w:proofErr w:type="spellStart"/>
      <w:r>
        <w:rPr>
          <w:b/>
          <w:color w:val="3C4043"/>
          <w:sz w:val="21"/>
        </w:rPr>
        <w:t>OOSR_Upper_Secondary_Age_Female</w:t>
      </w:r>
      <w:proofErr w:type="spellEnd"/>
      <w:r>
        <w:rPr>
          <w:color w:val="3C4043"/>
          <w:sz w:val="21"/>
        </w:rPr>
        <w:t>: Out-of-school rate for upper secondary age females.</w:t>
      </w:r>
    </w:p>
    <w:p w14:paraId="1331F21A" w14:textId="77777777" w:rsidR="00F6460E" w:rsidRDefault="00000000">
      <w:pPr>
        <w:numPr>
          <w:ilvl w:val="0"/>
          <w:numId w:val="1"/>
        </w:numPr>
        <w:spacing w:after="27" w:line="271" w:lineRule="auto"/>
        <w:ind w:right="0" w:hanging="360"/>
      </w:pPr>
      <w:proofErr w:type="spellStart"/>
      <w:r>
        <w:rPr>
          <w:b/>
          <w:color w:val="3C4043"/>
          <w:sz w:val="21"/>
        </w:rPr>
        <w:t>Completion_Rate_Primary_Male</w:t>
      </w:r>
      <w:proofErr w:type="spellEnd"/>
      <w:r>
        <w:rPr>
          <w:color w:val="3C4043"/>
          <w:sz w:val="21"/>
        </w:rPr>
        <w:t>: Completion rate for primary education among males.</w:t>
      </w:r>
    </w:p>
    <w:p w14:paraId="7E2196B3" w14:textId="77777777" w:rsidR="00F6460E" w:rsidRDefault="00000000">
      <w:pPr>
        <w:numPr>
          <w:ilvl w:val="0"/>
          <w:numId w:val="1"/>
        </w:numPr>
        <w:spacing w:after="27" w:line="271" w:lineRule="auto"/>
        <w:ind w:right="0" w:hanging="360"/>
      </w:pPr>
      <w:proofErr w:type="spellStart"/>
      <w:r>
        <w:rPr>
          <w:b/>
          <w:color w:val="3C4043"/>
          <w:sz w:val="21"/>
        </w:rPr>
        <w:t>Completion_Rate_Primary_Female</w:t>
      </w:r>
      <w:proofErr w:type="spellEnd"/>
      <w:r>
        <w:rPr>
          <w:color w:val="3C4043"/>
          <w:sz w:val="21"/>
        </w:rPr>
        <w:t>: Completion rate for primary education among females.</w:t>
      </w:r>
    </w:p>
    <w:p w14:paraId="699F4743" w14:textId="77777777" w:rsidR="00F6460E" w:rsidRDefault="00000000">
      <w:pPr>
        <w:numPr>
          <w:ilvl w:val="0"/>
          <w:numId w:val="1"/>
        </w:numPr>
        <w:spacing w:after="27" w:line="271" w:lineRule="auto"/>
        <w:ind w:right="0" w:hanging="360"/>
      </w:pPr>
      <w:proofErr w:type="spellStart"/>
      <w:r>
        <w:rPr>
          <w:b/>
          <w:color w:val="3C4043"/>
          <w:sz w:val="21"/>
        </w:rPr>
        <w:t>Completion_Rate_Lower_Secondary_Male</w:t>
      </w:r>
      <w:proofErr w:type="spellEnd"/>
      <w:r>
        <w:rPr>
          <w:color w:val="3C4043"/>
          <w:sz w:val="21"/>
        </w:rPr>
        <w:t>: Completion rate for lower secondary education among males.</w:t>
      </w:r>
    </w:p>
    <w:p w14:paraId="1E7DC775" w14:textId="77777777" w:rsidR="00F6460E" w:rsidRDefault="00000000">
      <w:pPr>
        <w:numPr>
          <w:ilvl w:val="0"/>
          <w:numId w:val="1"/>
        </w:numPr>
        <w:spacing w:after="27" w:line="271" w:lineRule="auto"/>
        <w:ind w:right="0" w:hanging="360"/>
      </w:pPr>
      <w:proofErr w:type="spellStart"/>
      <w:r>
        <w:rPr>
          <w:b/>
          <w:color w:val="3C4043"/>
          <w:sz w:val="21"/>
        </w:rPr>
        <w:t>Completion_Rate_Lower_Secondary_Female</w:t>
      </w:r>
      <w:proofErr w:type="spellEnd"/>
      <w:r>
        <w:rPr>
          <w:color w:val="3C4043"/>
          <w:sz w:val="21"/>
        </w:rPr>
        <w:t>: Completion rate for lower secondary education among females.</w:t>
      </w:r>
    </w:p>
    <w:p w14:paraId="5A599F7B" w14:textId="77777777" w:rsidR="00F6460E" w:rsidRDefault="00000000">
      <w:pPr>
        <w:numPr>
          <w:ilvl w:val="0"/>
          <w:numId w:val="1"/>
        </w:numPr>
        <w:spacing w:after="27" w:line="271" w:lineRule="auto"/>
        <w:ind w:right="0" w:hanging="360"/>
      </w:pPr>
      <w:proofErr w:type="spellStart"/>
      <w:r>
        <w:rPr>
          <w:b/>
          <w:color w:val="3C4043"/>
          <w:sz w:val="21"/>
        </w:rPr>
        <w:t>Completion_Rate_Upper_Secondary_Male</w:t>
      </w:r>
      <w:proofErr w:type="spellEnd"/>
      <w:r>
        <w:rPr>
          <w:color w:val="3C4043"/>
          <w:sz w:val="21"/>
        </w:rPr>
        <w:t>: Completion rate for upper secondary education among males.</w:t>
      </w:r>
    </w:p>
    <w:p w14:paraId="3B481291" w14:textId="77777777" w:rsidR="00F6460E" w:rsidRDefault="00000000">
      <w:pPr>
        <w:numPr>
          <w:ilvl w:val="0"/>
          <w:numId w:val="1"/>
        </w:numPr>
        <w:spacing w:after="27" w:line="271" w:lineRule="auto"/>
        <w:ind w:right="0" w:hanging="360"/>
      </w:pPr>
      <w:proofErr w:type="spellStart"/>
      <w:r>
        <w:rPr>
          <w:b/>
          <w:color w:val="3C4043"/>
          <w:sz w:val="21"/>
        </w:rPr>
        <w:t>Completion_Rate_Upper_Secondary_Female</w:t>
      </w:r>
      <w:proofErr w:type="spellEnd"/>
      <w:r>
        <w:rPr>
          <w:color w:val="3C4043"/>
          <w:sz w:val="21"/>
        </w:rPr>
        <w:t>: Completion rate for upper secondary education among females.</w:t>
      </w:r>
    </w:p>
    <w:p w14:paraId="56FD1932" w14:textId="77777777" w:rsidR="00F6460E" w:rsidRDefault="00000000">
      <w:pPr>
        <w:numPr>
          <w:ilvl w:val="0"/>
          <w:numId w:val="1"/>
        </w:numPr>
        <w:spacing w:after="27" w:line="271" w:lineRule="auto"/>
        <w:ind w:right="0" w:hanging="360"/>
      </w:pPr>
      <w:r>
        <w:rPr>
          <w:b/>
          <w:color w:val="3C4043"/>
          <w:sz w:val="21"/>
        </w:rPr>
        <w:t>Grade_2_3_Proficiency_Reading</w:t>
      </w:r>
      <w:r>
        <w:rPr>
          <w:color w:val="3C4043"/>
          <w:sz w:val="21"/>
        </w:rPr>
        <w:t>: Proficiency in reading for grade 2-3 students.</w:t>
      </w:r>
    </w:p>
    <w:p w14:paraId="46BC68CF" w14:textId="77777777" w:rsidR="00F6460E" w:rsidRDefault="00000000">
      <w:pPr>
        <w:numPr>
          <w:ilvl w:val="0"/>
          <w:numId w:val="1"/>
        </w:numPr>
        <w:spacing w:after="27" w:line="271" w:lineRule="auto"/>
        <w:ind w:right="0" w:hanging="360"/>
      </w:pPr>
      <w:r>
        <w:rPr>
          <w:b/>
          <w:color w:val="3C4043"/>
          <w:sz w:val="21"/>
        </w:rPr>
        <w:t>Grade_2_3_Proficiency_Math</w:t>
      </w:r>
      <w:r>
        <w:rPr>
          <w:color w:val="3C4043"/>
          <w:sz w:val="21"/>
        </w:rPr>
        <w:t>: Proficiency in math for grade 2-3 students.</w:t>
      </w:r>
    </w:p>
    <w:p w14:paraId="450D9847" w14:textId="77777777" w:rsidR="00F6460E" w:rsidRDefault="00000000">
      <w:pPr>
        <w:numPr>
          <w:ilvl w:val="0"/>
          <w:numId w:val="1"/>
        </w:numPr>
        <w:spacing w:after="27" w:line="271" w:lineRule="auto"/>
        <w:ind w:right="0" w:hanging="360"/>
      </w:pPr>
      <w:proofErr w:type="spellStart"/>
      <w:r>
        <w:rPr>
          <w:b/>
          <w:color w:val="3C4043"/>
          <w:sz w:val="21"/>
        </w:rPr>
        <w:t>Primary_End_Proficiency_Reading</w:t>
      </w:r>
      <w:proofErr w:type="spellEnd"/>
      <w:r>
        <w:rPr>
          <w:color w:val="3C4043"/>
          <w:sz w:val="21"/>
        </w:rPr>
        <w:t>: Proficiency in reading at the end of primary education.</w:t>
      </w:r>
    </w:p>
    <w:p w14:paraId="3597B5C8" w14:textId="77777777" w:rsidR="00F6460E" w:rsidRDefault="00000000">
      <w:pPr>
        <w:numPr>
          <w:ilvl w:val="0"/>
          <w:numId w:val="1"/>
        </w:numPr>
        <w:spacing w:after="27" w:line="271" w:lineRule="auto"/>
        <w:ind w:right="0" w:hanging="360"/>
      </w:pPr>
      <w:proofErr w:type="spellStart"/>
      <w:r>
        <w:rPr>
          <w:b/>
          <w:color w:val="3C4043"/>
          <w:sz w:val="21"/>
        </w:rPr>
        <w:lastRenderedPageBreak/>
        <w:t>Primary_End_Proficiency_Math</w:t>
      </w:r>
      <w:proofErr w:type="spellEnd"/>
      <w:r>
        <w:rPr>
          <w:color w:val="3C4043"/>
          <w:sz w:val="21"/>
        </w:rPr>
        <w:t>: Proficiency in math at the end of primary education.</w:t>
      </w:r>
    </w:p>
    <w:p w14:paraId="18259944" w14:textId="77777777" w:rsidR="00F6460E" w:rsidRDefault="00000000">
      <w:pPr>
        <w:numPr>
          <w:ilvl w:val="0"/>
          <w:numId w:val="1"/>
        </w:numPr>
        <w:spacing w:after="27" w:line="271" w:lineRule="auto"/>
        <w:ind w:right="0" w:hanging="360"/>
      </w:pPr>
      <w:proofErr w:type="spellStart"/>
      <w:r>
        <w:rPr>
          <w:b/>
          <w:color w:val="3C4043"/>
          <w:sz w:val="21"/>
        </w:rPr>
        <w:t>Lower_Secondary_End_Proficiency_Reading</w:t>
      </w:r>
      <w:proofErr w:type="spellEnd"/>
      <w:r>
        <w:rPr>
          <w:color w:val="3C4043"/>
          <w:sz w:val="21"/>
        </w:rPr>
        <w:t>: Proficiency in reading at the end of lower secondary education.</w:t>
      </w:r>
    </w:p>
    <w:p w14:paraId="757596D9" w14:textId="77777777" w:rsidR="00F6460E" w:rsidRDefault="00000000">
      <w:pPr>
        <w:numPr>
          <w:ilvl w:val="0"/>
          <w:numId w:val="1"/>
        </w:numPr>
        <w:spacing w:after="27" w:line="271" w:lineRule="auto"/>
        <w:ind w:right="0" w:hanging="360"/>
      </w:pPr>
      <w:proofErr w:type="spellStart"/>
      <w:r>
        <w:rPr>
          <w:b/>
          <w:color w:val="3C4043"/>
          <w:sz w:val="21"/>
        </w:rPr>
        <w:t>Lower_Secondary_End_Proficiency_Math</w:t>
      </w:r>
      <w:proofErr w:type="spellEnd"/>
      <w:r>
        <w:rPr>
          <w:color w:val="3C4043"/>
          <w:sz w:val="21"/>
        </w:rPr>
        <w:t>: Proficiency in math at the end of lower secondary education.</w:t>
      </w:r>
    </w:p>
    <w:p w14:paraId="3B28F82C" w14:textId="77777777" w:rsidR="00F6460E" w:rsidRDefault="00000000">
      <w:pPr>
        <w:numPr>
          <w:ilvl w:val="0"/>
          <w:numId w:val="1"/>
        </w:numPr>
        <w:spacing w:after="27" w:line="271" w:lineRule="auto"/>
        <w:ind w:right="0" w:hanging="360"/>
      </w:pPr>
      <w:r>
        <w:rPr>
          <w:b/>
          <w:color w:val="3C4043"/>
          <w:sz w:val="21"/>
        </w:rPr>
        <w:t>Youth_15_24_Literacy_Rate_Male</w:t>
      </w:r>
      <w:r>
        <w:rPr>
          <w:color w:val="3C4043"/>
          <w:sz w:val="21"/>
        </w:rPr>
        <w:t>: Literacy rate among male youths aged 15-24.</w:t>
      </w:r>
    </w:p>
    <w:p w14:paraId="2DC574D8" w14:textId="77777777" w:rsidR="00F6460E" w:rsidRDefault="00000000">
      <w:pPr>
        <w:numPr>
          <w:ilvl w:val="0"/>
          <w:numId w:val="1"/>
        </w:numPr>
        <w:spacing w:after="27" w:line="271" w:lineRule="auto"/>
        <w:ind w:right="0" w:hanging="360"/>
      </w:pPr>
      <w:r>
        <w:rPr>
          <w:b/>
          <w:color w:val="3C4043"/>
          <w:sz w:val="21"/>
        </w:rPr>
        <w:t>Youth_15_24_Literacy_Rate_Female</w:t>
      </w:r>
      <w:r>
        <w:rPr>
          <w:color w:val="3C4043"/>
          <w:sz w:val="21"/>
        </w:rPr>
        <w:t>: Literacy rate among female youths aged 15-24.</w:t>
      </w:r>
    </w:p>
    <w:p w14:paraId="0B20598A" w14:textId="77777777" w:rsidR="00F6460E" w:rsidRDefault="00000000">
      <w:pPr>
        <w:numPr>
          <w:ilvl w:val="0"/>
          <w:numId w:val="1"/>
        </w:numPr>
        <w:spacing w:after="27" w:line="271" w:lineRule="auto"/>
        <w:ind w:right="0" w:hanging="360"/>
      </w:pPr>
      <w:proofErr w:type="spellStart"/>
      <w:r>
        <w:rPr>
          <w:b/>
          <w:color w:val="3C4043"/>
          <w:sz w:val="21"/>
        </w:rPr>
        <w:t>Birth_Rate</w:t>
      </w:r>
      <w:proofErr w:type="spellEnd"/>
      <w:r>
        <w:rPr>
          <w:color w:val="3C4043"/>
          <w:sz w:val="21"/>
        </w:rPr>
        <w:t>: Birth rate in the respective countries/areas.</w:t>
      </w:r>
    </w:p>
    <w:p w14:paraId="7317B927" w14:textId="77777777" w:rsidR="00F6460E" w:rsidRDefault="00000000">
      <w:pPr>
        <w:numPr>
          <w:ilvl w:val="0"/>
          <w:numId w:val="1"/>
        </w:numPr>
        <w:spacing w:after="27" w:line="271" w:lineRule="auto"/>
        <w:ind w:right="0" w:hanging="360"/>
      </w:pPr>
      <w:proofErr w:type="spellStart"/>
      <w:r>
        <w:rPr>
          <w:b/>
          <w:color w:val="3C4043"/>
          <w:sz w:val="21"/>
        </w:rPr>
        <w:t>Gross_Primary_Education_Enrollment</w:t>
      </w:r>
      <w:proofErr w:type="spellEnd"/>
      <w:r>
        <w:rPr>
          <w:color w:val="3C4043"/>
          <w:sz w:val="21"/>
        </w:rPr>
        <w:t xml:space="preserve">: Gross </w:t>
      </w:r>
      <w:proofErr w:type="spellStart"/>
      <w:r>
        <w:rPr>
          <w:color w:val="3C4043"/>
          <w:sz w:val="21"/>
        </w:rPr>
        <w:t>enrollment</w:t>
      </w:r>
      <w:proofErr w:type="spellEnd"/>
      <w:r>
        <w:rPr>
          <w:color w:val="3C4043"/>
          <w:sz w:val="21"/>
        </w:rPr>
        <w:t xml:space="preserve"> in primary education.</w:t>
      </w:r>
    </w:p>
    <w:p w14:paraId="70270BF2" w14:textId="77777777" w:rsidR="00F6460E" w:rsidRDefault="00000000">
      <w:pPr>
        <w:numPr>
          <w:ilvl w:val="0"/>
          <w:numId w:val="1"/>
        </w:numPr>
        <w:spacing w:after="27" w:line="271" w:lineRule="auto"/>
        <w:ind w:right="0" w:hanging="360"/>
      </w:pPr>
      <w:proofErr w:type="spellStart"/>
      <w:r>
        <w:rPr>
          <w:b/>
          <w:color w:val="3C4043"/>
          <w:sz w:val="21"/>
        </w:rPr>
        <w:t>Gross_Tertiary_Education_Enrollment</w:t>
      </w:r>
      <w:proofErr w:type="spellEnd"/>
      <w:r>
        <w:rPr>
          <w:color w:val="3C4043"/>
          <w:sz w:val="21"/>
        </w:rPr>
        <w:t xml:space="preserve">: Gross </w:t>
      </w:r>
      <w:proofErr w:type="spellStart"/>
      <w:r>
        <w:rPr>
          <w:color w:val="3C4043"/>
          <w:sz w:val="21"/>
        </w:rPr>
        <w:t>enrollment</w:t>
      </w:r>
      <w:proofErr w:type="spellEnd"/>
      <w:r>
        <w:rPr>
          <w:color w:val="3C4043"/>
          <w:sz w:val="21"/>
        </w:rPr>
        <w:t xml:space="preserve"> in tertiary education.</w:t>
      </w:r>
    </w:p>
    <w:p w14:paraId="250229A5" w14:textId="77777777" w:rsidR="00F6460E" w:rsidRDefault="00000000">
      <w:pPr>
        <w:numPr>
          <w:ilvl w:val="0"/>
          <w:numId w:val="1"/>
        </w:numPr>
        <w:spacing w:after="522" w:line="271" w:lineRule="auto"/>
        <w:ind w:right="0" w:hanging="360"/>
      </w:pPr>
      <w:proofErr w:type="spellStart"/>
      <w:r>
        <w:rPr>
          <w:b/>
          <w:color w:val="3C4043"/>
          <w:sz w:val="21"/>
        </w:rPr>
        <w:t>Unemployment_Rate</w:t>
      </w:r>
      <w:proofErr w:type="spellEnd"/>
      <w:r>
        <w:rPr>
          <w:color w:val="3C4043"/>
          <w:sz w:val="21"/>
        </w:rPr>
        <w:t>: Unemployment rate in the respective countries/areas.</w:t>
      </w:r>
    </w:p>
    <w:p w14:paraId="5F04539D" w14:textId="77777777" w:rsidR="00F6460E" w:rsidRDefault="00000000">
      <w:pPr>
        <w:spacing w:after="86" w:line="259" w:lineRule="auto"/>
        <w:ind w:left="0" w:right="0" w:firstLine="0"/>
      </w:pPr>
      <w:r>
        <w:rPr>
          <w:b/>
          <w:u w:val="single" w:color="000000"/>
        </w:rPr>
        <w:t>Analysis and description of charts/dashboard</w:t>
      </w:r>
    </w:p>
    <w:p w14:paraId="4408A279" w14:textId="77777777" w:rsidR="00F6460E" w:rsidRDefault="00000000">
      <w:pPr>
        <w:spacing w:after="710" w:line="259" w:lineRule="auto"/>
        <w:ind w:left="30" w:right="-44" w:firstLine="0"/>
      </w:pPr>
      <w:r>
        <w:rPr>
          <w:noProof/>
        </w:rPr>
        <w:drawing>
          <wp:inline distT="0" distB="0" distL="0" distR="0" wp14:anchorId="772D9F63" wp14:editId="2C488098">
            <wp:extent cx="5943600" cy="315277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5"/>
                    <a:stretch>
                      <a:fillRect/>
                    </a:stretch>
                  </pic:blipFill>
                  <pic:spPr>
                    <a:xfrm>
                      <a:off x="0" y="0"/>
                      <a:ext cx="5943600" cy="3152775"/>
                    </a:xfrm>
                    <a:prstGeom prst="rect">
                      <a:avLst/>
                    </a:prstGeom>
                  </pic:spPr>
                </pic:pic>
              </a:graphicData>
            </a:graphic>
          </wp:inline>
        </w:drawing>
      </w:r>
    </w:p>
    <w:p w14:paraId="1A4DE024" w14:textId="77777777" w:rsidR="00F6460E" w:rsidRDefault="00000000">
      <w:pPr>
        <w:pStyle w:val="Heading1"/>
        <w:ind w:left="274" w:hanging="289"/>
      </w:pPr>
      <w:r>
        <w:t>OOSR Male per Country (Map)</w:t>
      </w:r>
    </w:p>
    <w:p w14:paraId="389C72EF" w14:textId="77777777" w:rsidR="00F6460E" w:rsidRDefault="00000000">
      <w:pPr>
        <w:numPr>
          <w:ilvl w:val="0"/>
          <w:numId w:val="2"/>
        </w:numPr>
        <w:ind w:right="18" w:hanging="360"/>
      </w:pPr>
      <w:r>
        <w:rPr>
          <w:b/>
        </w:rPr>
        <w:t>Description</w:t>
      </w:r>
      <w:r>
        <w:t xml:space="preserve">: This map displays the out-of-school rate (OOSR) for males across different countries. The size and </w:t>
      </w:r>
      <w:proofErr w:type="spellStart"/>
      <w:r>
        <w:t>color</w:t>
      </w:r>
      <w:proofErr w:type="spellEnd"/>
      <w:r>
        <w:t xml:space="preserve"> intensity of each circle represent the out-of-school rate, with darker and larger circles indicating higher rates.</w:t>
      </w:r>
    </w:p>
    <w:p w14:paraId="64F21AF5" w14:textId="77777777" w:rsidR="00F6460E" w:rsidRDefault="00000000">
      <w:pPr>
        <w:numPr>
          <w:ilvl w:val="0"/>
          <w:numId w:val="2"/>
        </w:numPr>
        <w:spacing w:after="0"/>
        <w:ind w:right="18" w:hanging="360"/>
      </w:pPr>
      <w:r>
        <w:rPr>
          <w:b/>
        </w:rPr>
        <w:t>Analysis</w:t>
      </w:r>
      <w:r>
        <w:t>: Countries with higher out-of-school rates for males are more prominent on the map. This visualization is useful for identifying regions where male children are more likely to be out of school. For example, certain regions in Africa and South Asia show darker circles, indicating that male out-of-school rates are a significant issue in these</w:t>
      </w:r>
    </w:p>
    <w:p w14:paraId="37010491" w14:textId="77777777" w:rsidR="00F6460E" w:rsidRDefault="00000000">
      <w:pPr>
        <w:spacing w:after="129"/>
        <w:ind w:left="720" w:right="0" w:firstLine="0"/>
      </w:pPr>
      <w:r>
        <w:lastRenderedPageBreak/>
        <w:t xml:space="preserve">areas. The map helps in visually locating countries that may need targeted interventions to increase male school </w:t>
      </w:r>
      <w:proofErr w:type="spellStart"/>
      <w:r>
        <w:t>enrollment</w:t>
      </w:r>
      <w:proofErr w:type="spellEnd"/>
      <w:r>
        <w:t>.</w:t>
      </w:r>
    </w:p>
    <w:p w14:paraId="3D19072B" w14:textId="77777777" w:rsidR="00F6460E" w:rsidRDefault="00000000">
      <w:pPr>
        <w:spacing w:after="457" w:line="259" w:lineRule="auto"/>
        <w:ind w:left="60" w:right="0" w:firstLine="0"/>
      </w:pPr>
      <w:r>
        <w:rPr>
          <w:rFonts w:ascii="Calibri" w:eastAsia="Calibri" w:hAnsi="Calibri" w:cs="Calibri"/>
          <w:noProof/>
        </w:rPr>
        <mc:AlternateContent>
          <mc:Choice Requires="wpg">
            <w:drawing>
              <wp:inline distT="0" distB="0" distL="0" distR="0" wp14:anchorId="747A02C9" wp14:editId="07C9C25F">
                <wp:extent cx="5867400" cy="12700"/>
                <wp:effectExtent l="0" t="0" r="0" b="0"/>
                <wp:docPr id="6273" name="Group 627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88" name="Shape 48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3" style="width:462pt;height:1pt;mso-position-horizontal-relative:char;mso-position-vertical-relative:line" coordsize="58674,127">
                <v:shape id="Shape 488" style="position:absolute;width:58674;height:0;left:0;top:0;" coordsize="5867400,0" path="m0,0l5867400,0">
                  <v:stroke weight="1pt" endcap="flat" joinstyle="miter" miterlimit="10" on="true" color="#888888"/>
                  <v:fill on="false" color="#000000" opacity="0"/>
                </v:shape>
              </v:group>
            </w:pict>
          </mc:Fallback>
        </mc:AlternateContent>
      </w:r>
    </w:p>
    <w:p w14:paraId="0434C3F5" w14:textId="77777777" w:rsidR="00F6460E" w:rsidRDefault="00000000">
      <w:pPr>
        <w:pStyle w:val="Heading1"/>
        <w:ind w:left="274" w:hanging="289"/>
      </w:pPr>
      <w:r>
        <w:t>Completion Rate of Male and Female per Country (Bar Chart)</w:t>
      </w:r>
    </w:p>
    <w:p w14:paraId="774E3E7B" w14:textId="77777777" w:rsidR="00F6460E" w:rsidRDefault="00000000">
      <w:pPr>
        <w:numPr>
          <w:ilvl w:val="0"/>
          <w:numId w:val="3"/>
        </w:numPr>
        <w:ind w:right="0" w:hanging="360"/>
      </w:pPr>
      <w:r>
        <w:rPr>
          <w:b/>
        </w:rPr>
        <w:t>Description</w:t>
      </w:r>
      <w:r>
        <w:t>: This bar chart compares the completion rates of males and females for each country. The chart is divided by gender, with bars showing the completion rate percentages for males (green) and females (red) across different countries.</w:t>
      </w:r>
    </w:p>
    <w:p w14:paraId="0FBFE288" w14:textId="77777777" w:rsidR="00F6460E" w:rsidRDefault="00000000">
      <w:pPr>
        <w:numPr>
          <w:ilvl w:val="0"/>
          <w:numId w:val="3"/>
        </w:numPr>
        <w:spacing w:after="136"/>
        <w:ind w:right="0" w:hanging="360"/>
      </w:pPr>
      <w:r>
        <w:rPr>
          <w:b/>
        </w:rPr>
        <w:t>Analysis</w:t>
      </w:r>
      <w:r>
        <w:t>: This visualization provides insights into gender disparities in educational completion rates. In some countries, females have higher completion rates than males, while in others, males outperform females. For instance, countries like Argentina and Australia show higher completion rates for females, while other countries display an opposite trend. This chart highlights where gender gaps exist in education completion rates, allowing stakeholders to identify and address inequalities.</w:t>
      </w:r>
    </w:p>
    <w:p w14:paraId="4F6239F9" w14:textId="77777777" w:rsidR="00F6460E" w:rsidRDefault="00000000">
      <w:pPr>
        <w:spacing w:after="450" w:line="259" w:lineRule="auto"/>
        <w:ind w:left="60" w:right="0" w:firstLine="0"/>
      </w:pPr>
      <w:r>
        <w:rPr>
          <w:rFonts w:ascii="Calibri" w:eastAsia="Calibri" w:hAnsi="Calibri" w:cs="Calibri"/>
          <w:noProof/>
        </w:rPr>
        <mc:AlternateContent>
          <mc:Choice Requires="wpg">
            <w:drawing>
              <wp:inline distT="0" distB="0" distL="0" distR="0" wp14:anchorId="623278F9" wp14:editId="4557C6B8">
                <wp:extent cx="5867400" cy="12700"/>
                <wp:effectExtent l="0" t="0" r="0" b="0"/>
                <wp:docPr id="6274" name="Group 627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07" name="Shape 60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4" style="width:462pt;height:1pt;mso-position-horizontal-relative:char;mso-position-vertical-relative:line" coordsize="58674,127">
                <v:shape id="Shape 607" style="position:absolute;width:58674;height:0;left:0;top:0;" coordsize="5867400,0" path="m0,0l5867400,0">
                  <v:stroke weight="1pt" endcap="flat" joinstyle="miter" miterlimit="10" on="true" color="#888888"/>
                  <v:fill on="false" color="#000000" opacity="0"/>
                </v:shape>
              </v:group>
            </w:pict>
          </mc:Fallback>
        </mc:AlternateContent>
      </w:r>
    </w:p>
    <w:p w14:paraId="0656D2A3" w14:textId="77777777" w:rsidR="00F6460E" w:rsidRDefault="00000000">
      <w:pPr>
        <w:pStyle w:val="Heading1"/>
        <w:ind w:left="274" w:hanging="289"/>
      </w:pPr>
      <w:r>
        <w:t xml:space="preserve">Birth Rate vs. Gross Primary Education </w:t>
      </w:r>
      <w:proofErr w:type="spellStart"/>
      <w:r>
        <w:t>Enrollment</w:t>
      </w:r>
      <w:proofErr w:type="spellEnd"/>
      <w:r>
        <w:t xml:space="preserve"> (Scatter Plot)</w:t>
      </w:r>
    </w:p>
    <w:p w14:paraId="4BDB6E23" w14:textId="77777777" w:rsidR="00F6460E" w:rsidRDefault="00000000">
      <w:pPr>
        <w:numPr>
          <w:ilvl w:val="0"/>
          <w:numId w:val="4"/>
        </w:numPr>
        <w:ind w:right="0" w:hanging="360"/>
      </w:pPr>
      <w:r>
        <w:rPr>
          <w:b/>
        </w:rPr>
        <w:t>Description</w:t>
      </w:r>
      <w:r>
        <w:t xml:space="preserve">: This scatter plot compares birth rates with gross primary education </w:t>
      </w:r>
      <w:proofErr w:type="spellStart"/>
      <w:r>
        <w:t>enrollment</w:t>
      </w:r>
      <w:proofErr w:type="spellEnd"/>
      <w:r>
        <w:t xml:space="preserve"> across countries. Each point represents a country, and the size of the points indicates the unemployment rate.</w:t>
      </w:r>
    </w:p>
    <w:p w14:paraId="3C1D1406" w14:textId="77777777" w:rsidR="00F6460E" w:rsidRDefault="00000000">
      <w:pPr>
        <w:numPr>
          <w:ilvl w:val="0"/>
          <w:numId w:val="4"/>
        </w:numPr>
        <w:spacing w:after="132"/>
        <w:ind w:right="0" w:hanging="360"/>
      </w:pPr>
      <w:r>
        <w:rPr>
          <w:b/>
        </w:rPr>
        <w:t>Analysis</w:t>
      </w:r>
      <w:r>
        <w:t xml:space="preserve">: This chart examines if there is any visible correlation between birth rates and gross primary education </w:t>
      </w:r>
      <w:proofErr w:type="spellStart"/>
      <w:r>
        <w:t>enrollment</w:t>
      </w:r>
      <w:proofErr w:type="spellEnd"/>
      <w:r>
        <w:t xml:space="preserve">, with point size adding an extra layer for unemployment rate. Countries with higher birth rates tend to have varying </w:t>
      </w:r>
      <w:proofErr w:type="spellStart"/>
      <w:r>
        <w:t>enrollment</w:t>
      </w:r>
      <w:proofErr w:type="spellEnd"/>
      <w:r>
        <w:t xml:space="preserve"> rates, but no clear linear correlation is evident. Countries with smaller dots have lower unemployment rates, while larger dots indicate higher unemployment. This visualization allows for a multi-dimensional analysis, exploring how birth rates, education </w:t>
      </w:r>
      <w:proofErr w:type="spellStart"/>
      <w:r>
        <w:t>enrollment</w:t>
      </w:r>
      <w:proofErr w:type="spellEnd"/>
      <w:r>
        <w:t>, and unemployment rates interact with each other.</w:t>
      </w:r>
    </w:p>
    <w:p w14:paraId="429605D1" w14:textId="77777777" w:rsidR="00F6460E" w:rsidRDefault="00000000">
      <w:pPr>
        <w:spacing w:after="454" w:line="259" w:lineRule="auto"/>
        <w:ind w:left="60" w:right="0" w:firstLine="0"/>
      </w:pPr>
      <w:r>
        <w:rPr>
          <w:rFonts w:ascii="Calibri" w:eastAsia="Calibri" w:hAnsi="Calibri" w:cs="Calibri"/>
          <w:noProof/>
        </w:rPr>
        <mc:AlternateContent>
          <mc:Choice Requires="wpg">
            <w:drawing>
              <wp:inline distT="0" distB="0" distL="0" distR="0" wp14:anchorId="536F47A6" wp14:editId="6F1C9E18">
                <wp:extent cx="5867400" cy="12700"/>
                <wp:effectExtent l="0" t="0" r="0" b="0"/>
                <wp:docPr id="6275" name="Group 627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31" name="Shape 73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5" style="width:462pt;height:1pt;mso-position-horizontal-relative:char;mso-position-vertical-relative:line" coordsize="58674,127">
                <v:shape id="Shape 731" style="position:absolute;width:58674;height:0;left:0;top:0;" coordsize="5867400,0" path="m0,0l5867400,0">
                  <v:stroke weight="1pt" endcap="flat" joinstyle="miter" miterlimit="10" on="true" color="#888888"/>
                  <v:fill on="false" color="#000000" opacity="0"/>
                </v:shape>
              </v:group>
            </w:pict>
          </mc:Fallback>
        </mc:AlternateContent>
      </w:r>
    </w:p>
    <w:p w14:paraId="106A0263" w14:textId="77777777" w:rsidR="00F6460E" w:rsidRDefault="00000000">
      <w:pPr>
        <w:pStyle w:val="Heading1"/>
        <w:ind w:left="-5"/>
      </w:pPr>
      <w:r>
        <w:t>Completion Rate vs. Literacy Rate by Gender (Scatter Plot with Trend Line)</w:t>
      </w:r>
    </w:p>
    <w:p w14:paraId="4DEA532D" w14:textId="77777777" w:rsidR="00F6460E" w:rsidRDefault="00000000">
      <w:pPr>
        <w:numPr>
          <w:ilvl w:val="0"/>
          <w:numId w:val="5"/>
        </w:numPr>
        <w:ind w:right="0" w:hanging="360"/>
      </w:pPr>
      <w:r>
        <w:rPr>
          <w:b/>
        </w:rPr>
        <w:t>Description</w:t>
      </w:r>
      <w:r>
        <w:t>: This scatter plot shows the relationship between male primary completion rates and male youth literacy rates (ages 15-24). Each point represents a country, and a trend line indicates the overall correlation between these two metrics.</w:t>
      </w:r>
    </w:p>
    <w:p w14:paraId="3185BC91" w14:textId="77777777" w:rsidR="00F6460E" w:rsidRDefault="00000000">
      <w:pPr>
        <w:numPr>
          <w:ilvl w:val="0"/>
          <w:numId w:val="5"/>
        </w:numPr>
        <w:spacing w:after="240"/>
        <w:ind w:right="0" w:hanging="360"/>
      </w:pPr>
      <w:r>
        <w:rPr>
          <w:b/>
        </w:rPr>
        <w:t>Analysis</w:t>
      </w:r>
      <w:r>
        <w:t xml:space="preserve">: The trend line suggests a positive correlation between primary completion rates and literacy rates for young males, meaning that countries with higher primary </w:t>
      </w:r>
      <w:r>
        <w:lastRenderedPageBreak/>
        <w:t>completion rates generally tend to have higher literacy rates among young men. However, the scatter plot also shows some variation, with certain countries achieving high literacy rates even if primary completion rates are lower. This insight can help assess the effectiveness of primary education completion in improving youth literacy and identify areas where additional literacy programs may be beneficial.</w:t>
      </w:r>
    </w:p>
    <w:p w14:paraId="729FCAA2" w14:textId="77777777" w:rsidR="00F6460E" w:rsidRDefault="00000000">
      <w:pPr>
        <w:ind w:left="0" w:right="0" w:firstLine="0"/>
      </w:pPr>
      <w:r>
        <w:rPr>
          <w:b/>
          <w:u w:val="single" w:color="000000"/>
        </w:rPr>
        <w:t>Conclusion</w:t>
      </w:r>
      <w:r>
        <w:t>: Through this lab, I have gained proficiency in using Tableau to create informative and visually appealing dashboards for world education data. I have explored a variety of chart types and learned how to interpret the insights they provide. The skills acquired in this lab can be applied to various data visualization tasks and contribute to effective decision-making.</w:t>
      </w:r>
    </w:p>
    <w:sectPr w:rsidR="00F6460E">
      <w:pgSz w:w="12240" w:h="15840"/>
      <w:pgMar w:top="1484" w:right="1454"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C8A0C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A7AD3"/>
    <w:multiLevelType w:val="hybridMultilevel"/>
    <w:tmpl w:val="823A8980"/>
    <w:lvl w:ilvl="0" w:tplc="8822E03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3604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00CA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E8B8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BCEF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C8C0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60E2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5622A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EC7E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143931"/>
    <w:multiLevelType w:val="hybridMultilevel"/>
    <w:tmpl w:val="9000CFBE"/>
    <w:lvl w:ilvl="0" w:tplc="69820CD6">
      <w:start w:val="1"/>
      <w:numFmt w:val="decimal"/>
      <w:lvlText w:val="%1."/>
      <w:lvlJc w:val="left"/>
      <w:pPr>
        <w:ind w:left="705"/>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1" w:tplc="AC92F4BA">
      <w:start w:val="1"/>
      <w:numFmt w:val="lowerLetter"/>
      <w:lvlText w:val="%2"/>
      <w:lvlJc w:val="left"/>
      <w:pPr>
        <w:ind w:left="144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2" w:tplc="3E722568">
      <w:start w:val="1"/>
      <w:numFmt w:val="lowerRoman"/>
      <w:lvlText w:val="%3"/>
      <w:lvlJc w:val="left"/>
      <w:pPr>
        <w:ind w:left="216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3" w:tplc="5E4CEF88">
      <w:start w:val="1"/>
      <w:numFmt w:val="decimal"/>
      <w:lvlText w:val="%4"/>
      <w:lvlJc w:val="left"/>
      <w:pPr>
        <w:ind w:left="288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4" w:tplc="E3B8A51C">
      <w:start w:val="1"/>
      <w:numFmt w:val="lowerLetter"/>
      <w:lvlText w:val="%5"/>
      <w:lvlJc w:val="left"/>
      <w:pPr>
        <w:ind w:left="360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5" w:tplc="C444FDFC">
      <w:start w:val="1"/>
      <w:numFmt w:val="lowerRoman"/>
      <w:lvlText w:val="%6"/>
      <w:lvlJc w:val="left"/>
      <w:pPr>
        <w:ind w:left="432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6" w:tplc="4C3291B2">
      <w:start w:val="1"/>
      <w:numFmt w:val="decimal"/>
      <w:lvlText w:val="%7"/>
      <w:lvlJc w:val="left"/>
      <w:pPr>
        <w:ind w:left="504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7" w:tplc="EB6631D4">
      <w:start w:val="1"/>
      <w:numFmt w:val="lowerLetter"/>
      <w:lvlText w:val="%8"/>
      <w:lvlJc w:val="left"/>
      <w:pPr>
        <w:ind w:left="576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8" w:tplc="0DAA7382">
      <w:start w:val="1"/>
      <w:numFmt w:val="lowerRoman"/>
      <w:lvlText w:val="%9"/>
      <w:lvlJc w:val="left"/>
      <w:pPr>
        <w:ind w:left="648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abstractNum>
  <w:abstractNum w:abstractNumId="3" w15:restartNumberingAfterBreak="0">
    <w:nsid w:val="47095F77"/>
    <w:multiLevelType w:val="hybridMultilevel"/>
    <w:tmpl w:val="22EE771E"/>
    <w:lvl w:ilvl="0" w:tplc="31F602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DCDA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089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EA43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9072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46A3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68B9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804CC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8CC1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E3028F"/>
    <w:multiLevelType w:val="hybridMultilevel"/>
    <w:tmpl w:val="D01C4704"/>
    <w:lvl w:ilvl="0" w:tplc="F4AE6978">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B5A87756">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B59E0084">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4508A970">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CD885560">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C428C26A">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F3D86E44">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C27493AA">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78C6AF7C">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5AC5D5C"/>
    <w:multiLevelType w:val="hybridMultilevel"/>
    <w:tmpl w:val="DC2E4D74"/>
    <w:lvl w:ilvl="0" w:tplc="ACCC8A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7202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724B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A205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30036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C688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CC2B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EE60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70F44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737457D"/>
    <w:multiLevelType w:val="hybridMultilevel"/>
    <w:tmpl w:val="1CBA4E0E"/>
    <w:lvl w:ilvl="0" w:tplc="FD2AE1B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88B1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92AB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ACB4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7630F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7080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68D5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D018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18FD7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10508911">
    <w:abstractNumId w:val="2"/>
  </w:num>
  <w:num w:numId="2" w16cid:durableId="771127440">
    <w:abstractNumId w:val="6"/>
  </w:num>
  <w:num w:numId="3" w16cid:durableId="2104717630">
    <w:abstractNumId w:val="3"/>
  </w:num>
  <w:num w:numId="4" w16cid:durableId="582571576">
    <w:abstractNumId w:val="1"/>
  </w:num>
  <w:num w:numId="5" w16cid:durableId="1805148871">
    <w:abstractNumId w:val="5"/>
  </w:num>
  <w:num w:numId="6" w16cid:durableId="1144464697">
    <w:abstractNumId w:val="4"/>
  </w:num>
  <w:num w:numId="7" w16cid:durableId="132193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0E"/>
    <w:rsid w:val="00174274"/>
    <w:rsid w:val="004C6AB0"/>
    <w:rsid w:val="00F64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F0B8"/>
  <w15:docId w15:val="{7E6E932B-3813-461B-A136-694AB081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1" w:lineRule="auto"/>
      <w:ind w:left="370" w:right="411" w:hanging="370"/>
    </w:pPr>
    <w:rPr>
      <w:rFonts w:ascii="Arial" w:eastAsia="Arial" w:hAnsi="Arial" w:cs="Arial"/>
      <w:color w:val="000000"/>
      <w:sz w:val="22"/>
    </w:rPr>
  </w:style>
  <w:style w:type="paragraph" w:styleId="Heading1">
    <w:name w:val="heading 1"/>
    <w:next w:val="Normal"/>
    <w:link w:val="Heading1Char"/>
    <w:uiPriority w:val="9"/>
    <w:qFormat/>
    <w:pPr>
      <w:keepNext/>
      <w:keepLines/>
      <w:numPr>
        <w:numId w:val="6"/>
      </w:numPr>
      <w:spacing w:after="247" w:line="259"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174274"/>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ADV_EXP_10</dc:title>
  <dc:subject/>
  <dc:creator>Omkar Bhoir</dc:creator>
  <cp:keywords/>
  <cp:lastModifiedBy>Omkar Bhoir</cp:lastModifiedBy>
  <cp:revision>2</cp:revision>
  <dcterms:created xsi:type="dcterms:W3CDTF">2024-11-10T17:52:00Z</dcterms:created>
  <dcterms:modified xsi:type="dcterms:W3CDTF">2024-11-10T17:52:00Z</dcterms:modified>
</cp:coreProperties>
</file>