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34"/>
        </w:rPr>
        <w:t>Salesforce Adoption &amp; User Engagement Dashboard</w:t>
      </w:r>
    </w:p>
    <w:p>
      <w:pPr>
        <w:spacing w:after="80"/>
        <w:jc w:val="center"/>
      </w:pPr>
      <w:r>
        <w:rPr>
          <w:color w:val="5A5A5A"/>
          <w:sz w:val="17"/>
        </w:rPr>
        <w:t>Portfolio Project One-Page Summary | SQL + Tableau Public | Prepared by Omkar Ambulkar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2160"/>
            <w:shd w:fill="BDD7EE"/>
            <w:vAlign w:val="center"/>
          </w:tcPr>
          <w:p>
            <w:r/>
            <w:r>
              <w:rPr>
                <w:b/>
                <w:sz w:val="15"/>
              </w:rPr>
              <w:t>Section</w:t>
            </w:r>
          </w:p>
        </w:tc>
        <w:tc>
          <w:tcPr>
            <w:tcW w:type="dxa" w:w="8352"/>
            <w:shd w:fill="BDD7EE"/>
            <w:vAlign w:val="center"/>
          </w:tcPr>
          <w:p>
            <w:r/>
            <w:r>
              <w:rPr>
                <w:b/>
                <w:sz w:val="15"/>
              </w:rPr>
              <w:t>Summary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5"/>
              </w:rPr>
              <w:t>Business requirement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5"/>
              </w:rPr>
              <w:t>Track Salesforce adoption across regions, users, customers, industries, and subscription types; identify adoption gaps, training needs, and commercial risk.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5"/>
              </w:rPr>
              <w:t>Dataset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5"/>
              </w:rPr>
              <w:t>9,994 activity records exported from MySQL into Tableau Public as a final dashboard-ready CSV.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5"/>
              </w:rPr>
              <w:t>Tools used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5"/>
              </w:rPr>
              <w:t>MySQL Workbench for data import, cleaning, validation, and SQL analysis; Tableau Public for dashboarding; Excel/CSV for data transfer; GitHub for portfolio documentation.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5"/>
              </w:rPr>
              <w:t>Core KPIs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5"/>
              </w:rPr>
              <w:t>Total Usage: 2.30M | Avg Engagement: 3.79 | Active Users: 99 | Customers: 99 | Total Profit: 286.4K | Avg Discount: 15.62% | Adoption Score: 11.49M</w:t>
            </w:r>
          </w:p>
        </w:tc>
      </w:tr>
    </w:tbl>
    <w:p>
      <w:pPr>
        <w:spacing w:before="100" w:after="40"/>
      </w:pPr>
      <w:r>
        <w:rPr>
          <w:b/>
          <w:color w:val="1F4E79"/>
          <w:sz w:val="20"/>
        </w:rPr>
        <w:t>SQL work performed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2448"/>
            <w:shd w:fill="E2F0D9"/>
            <w:vAlign w:val="center"/>
          </w:tcPr>
          <w:p>
            <w:r/>
            <w:r>
              <w:rPr>
                <w:b/>
                <w:sz w:val="14"/>
              </w:rPr>
              <w:t>SQL area</w:t>
            </w:r>
          </w:p>
        </w:tc>
        <w:tc>
          <w:tcPr>
            <w:tcW w:type="dxa" w:w="8064"/>
            <w:shd w:fill="E2F0D9"/>
            <w:vAlign w:val="center"/>
          </w:tcPr>
          <w:p>
            <w:r/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Import &amp; validation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4"/>
              </w:rPr>
              <w:t>Created database/table, imported CSV using LOAD DATA INFILE, validated row count and field distributions.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Cleaning view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4"/>
              </w:rPr>
              <w:t>Built vw_salesforce_adoption_clean to convert dates and create adoption_score, engagement_category, and training_flag.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Business analysis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4"/>
              </w:rPr>
              <w:t>Used SUM, AVG, COUNT, COUNT DISTINCT, CASE, GROUP BY, HAVING, ORDER BY, DATE_FORMAT, YEAR, ROUND, LIMIT, NULLIF, and subqueries.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Final export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4"/>
              </w:rPr>
              <w:t>Created vw_tableau_salesforce_adoption_dashboard and exported a complete 9,994-row CSV for Tableau Public.</w:t>
            </w:r>
          </w:p>
        </w:tc>
      </w:tr>
    </w:tbl>
    <w:p>
      <w:pPr>
        <w:spacing w:before="100" w:after="40"/>
      </w:pPr>
      <w:r>
        <w:rPr>
          <w:b/>
          <w:color w:val="1F4E79"/>
          <w:sz w:val="20"/>
        </w:rPr>
        <w:t>Tableau dashboard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3024"/>
            <w:shd w:fill="FCE4D6"/>
            <w:vAlign w:val="center"/>
          </w:tcPr>
          <w:p>
            <w:r/>
            <w:r>
              <w:rPr>
                <w:b/>
                <w:sz w:val="14"/>
              </w:rPr>
              <w:t>Dashboard element</w:t>
            </w:r>
          </w:p>
        </w:tc>
        <w:tc>
          <w:tcPr>
            <w:tcW w:type="dxa" w:w="7488"/>
            <w:shd w:fill="FCE4D6"/>
            <w:vAlign w:val="center"/>
          </w:tcPr>
          <w:p>
            <w:r/>
            <w:r>
              <w:rPr>
                <w:b/>
                <w:sz w:val="14"/>
              </w:rPr>
              <w:t>Why it was used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4"/>
              </w:rPr>
              <w:t>KPI cards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4"/>
              </w:rPr>
              <w:t>Quick executive summary of usage, engagement, users, customers, profit, discount, and adoption score.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4"/>
              </w:rPr>
              <w:t>Region-wise Adoption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4"/>
              </w:rPr>
              <w:t>Bar chart comparing total usage by region, colored by average engagement.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4"/>
              </w:rPr>
              <w:t>Monthly Adoption Trend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4"/>
              </w:rPr>
              <w:t>Line chart showing usage movement over time.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4"/>
              </w:rPr>
              <w:t>Training Need by Region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4"/>
              </w:rPr>
              <w:t>Bar chart showing percentage of records needing training support.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4"/>
              </w:rPr>
              <w:t>Subscription Type Performance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4"/>
              </w:rPr>
              <w:t>Horizontal bar chart ranking modules by usage and engagement.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4"/>
              </w:rPr>
              <w:t>Customer Profitability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4"/>
              </w:rPr>
              <w:t>Scatter plot comparing total usage vs total profit with break-even reference line.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4"/>
              </w:rPr>
              <w:t>Industry Adoption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4"/>
              </w:rPr>
              <w:t>Horizontal bar chart showing adoption by industry.</w:t>
            </w:r>
          </w:p>
        </w:tc>
      </w:tr>
    </w:tbl>
    <w:p>
      <w:pPr>
        <w:spacing w:before="100" w:after="40"/>
      </w:pPr>
      <w:r>
        <w:rPr>
          <w:b/>
          <w:color w:val="1F4E79"/>
          <w:sz w:val="20"/>
        </w:rPr>
        <w:t>Key insights</w:t>
      </w:r>
    </w:p>
    <w:p>
      <w:pPr>
        <w:pStyle w:val="ListBullet"/>
        <w:spacing w:after="20"/>
      </w:pPr>
      <w:r>
        <w:rPr>
          <w:sz w:val="15"/>
        </w:rPr>
        <w:t>Adoption volume: EMEA led total usage and adoption score, followed by AMER and APJ.</w:t>
      </w:r>
    </w:p>
    <w:p>
      <w:pPr>
        <w:pStyle w:val="ListBullet"/>
        <w:spacing w:after="20"/>
      </w:pPr>
      <w:r>
        <w:rPr>
          <w:sz w:val="15"/>
        </w:rPr>
        <w:t>Training need: AMER had the highest training need percentage at about 33.89%; training need was broadly similar across regions.</w:t>
      </w:r>
    </w:p>
    <w:p>
      <w:pPr>
        <w:pStyle w:val="ListBullet"/>
        <w:spacing w:after="20"/>
      </w:pPr>
      <w:r>
        <w:rPr>
          <w:sz w:val="15"/>
        </w:rPr>
        <w:t>Usage trend: Monthly usage showed noticeable spikes and fluctuations, suggesting adoption may depend on rollout waves, onboarding, or project activity cycles.</w:t>
      </w:r>
    </w:p>
    <w:p>
      <w:pPr>
        <w:pStyle w:val="ListBullet"/>
        <w:spacing w:after="20"/>
      </w:pPr>
      <w:r>
        <w:rPr>
          <w:sz w:val="15"/>
        </w:rPr>
        <w:t>Customer profitability: High usage did not always mean strong profit. Customers such as Morgan Stanley and Anthem showed high usage but negative profit in SQL analysis.</w:t>
      </w:r>
    </w:p>
    <w:p>
      <w:pPr>
        <w:pStyle w:val="ListBullet"/>
        <w:spacing w:after="20"/>
      </w:pPr>
      <w:r>
        <w:rPr>
          <w:sz w:val="15"/>
        </w:rPr>
        <w:t>Industry view: Finance drove the highest adoption volume, while Tech showed relatively stronger engagement quality.</w:t>
      </w:r>
    </w:p>
    <w:p>
      <w:pPr>
        <w:pStyle w:val="ListBullet"/>
        <w:spacing w:after="20"/>
      </w:pPr>
      <w:r>
        <w:rPr>
          <w:sz w:val="15"/>
        </w:rPr>
        <w:t>Data quality decision: Customer/user counts were not used as region-comparison metrics because validation showed customers appeared across all regions.</w:t>
      </w:r>
    </w:p>
    <w:p>
      <w:pPr>
        <w:spacing w:before="100" w:after="20"/>
      </w:pPr>
      <w:r>
        <w:rPr>
          <w:b/>
          <w:color w:val="1F4E79"/>
          <w:sz w:val="20"/>
        </w:rPr>
        <w:t>Interview positioning</w:t>
      </w:r>
    </w:p>
    <w:p>
      <w:pPr>
        <w:spacing w:after="0"/>
      </w:pPr>
      <w:r>
        <w:rPr>
          <w:sz w:val="15"/>
        </w:rPr>
        <w:t>This project demonstrates an end-to-end analyst workflow: requirement framing, SQL-based data preparation, validation, metric design, Tableau visualization, dashboard interactivity, and business storytelling. It also connects strongly with my Bureau Veritas Salesforce deployment/UAT/training background.</w:t>
      </w:r>
    </w:p>
    <w:sectPr w:rsidR="00FC693F" w:rsidRPr="0006063C" w:rsidSect="00034616">
      <w:pgSz w:w="12240" w:h="15840"/>
      <w:pgMar w:top="504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