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4E79"/>
          <w:sz w:val="24"/>
        </w:rPr>
        <w:t>ARCON</w:t>
      </w:r>
    </w:p>
    <w:p>
      <w:pPr>
        <w:spacing w:after="360"/>
      </w:pPr>
      <w:r>
        <w:rPr>
          <w:i w:val="0"/>
          <w:color w:val="595959"/>
          <w:sz w:val="20"/>
        </w:rPr>
        <w:t>PRODUCT STACK DEPENDENCY MATRIX</w:t>
      </w:r>
    </w:p>
    <w:p>
      <w:pPr>
        <w:spacing w:after="40"/>
      </w:pPr>
      <w:r>
        <w:rPr>
          <w:b/>
          <w:i w:val="0"/>
          <w:color w:val="1F3864"/>
          <w:sz w:val="52"/>
        </w:rPr>
        <w:t>Product Stack Dependency Matrix</w:t>
      </w:r>
    </w:p>
    <w:p>
      <w:pPr>
        <w:spacing w:after="40"/>
      </w:pPr>
      <w:r>
        <w:rPr>
          <w:i w:val="0"/>
          <w:color w:val="1F4E79"/>
          <w:sz w:val="32"/>
        </w:rPr>
        <w:t>ARCON Secrets Management Platform</w:t>
      </w:r>
    </w:p>
    <w:p>
      <w:pPr>
        <w:spacing w:after="480"/>
      </w:pPr>
      <w:r>
        <w:rPr>
          <w:i w:val="0"/>
          <w:color w:val="595959"/>
          <w:sz w:val="24"/>
        </w:rPr>
        <w:t>Version 10.11.005 — Release 01 June 2026</w:t>
      </w:r>
    </w:p>
    <w:tbl>
      <w:tblPr>
        <w:tblStyle w:val="TableGrid"/>
        <w:tblW w:type="auto" w:w="0"/>
        <w:jc w:val="center"/>
        <w:tblLayout w:type="fixed"/>
        <w:tblLook w:firstColumn="1" w:firstRow="1" w:lastColumn="0" w:lastRow="0" w:noHBand="0" w:noVBand="1" w:val="04A0"/>
      </w:tblPr>
      <w:tblGrid>
        <w:gridCol w:w="4320"/>
        <w:gridCol w:w="4320"/>
      </w:tblGrid>
      <w:tr>
        <w:tc>
          <w:tcPr>
            <w:tcW w:type="dxa" w:w="2016"/>
            <w:shd w:val="clear" w:fill="1F4E79"/>
          </w:tcPr>
          <w:p>
            <w:pPr>
              <w:spacing w:after="40" w:before="40"/>
            </w:pPr>
            <w:r/>
          </w:p>
          <w:p>
            <w:pPr>
              <w:spacing w:after="40" w:before="0"/>
            </w:pPr>
            <w:r>
              <w:rPr>
                <w:b/>
                <w:i w:val="0"/>
                <w:color w:val="1F4E79"/>
                <w:sz w:val="19"/>
              </w:rPr>
              <w:t>Product Name</w:t>
            </w:r>
          </w:p>
        </w:tc>
        <w:tc>
          <w:tcPr>
            <w:tcW w:type="dxa" w:w="7776"/>
            <w:shd w:val="clear" w:fill="1F4E79"/>
          </w:tcPr>
          <w:p>
            <w:pPr>
              <w:spacing w:after="40" w:before="40"/>
            </w:pPr>
            <w:r/>
          </w:p>
          <w:p>
            <w:pPr>
              <w:spacing w:after="40" w:before="0"/>
            </w:pPr>
            <w:r>
              <w:rPr>
                <w:b/>
                <w:i w:val="0"/>
                <w:color w:val="FFFFFF"/>
                <w:sz w:val="19"/>
              </w:rPr>
              <w:t>ARCON Converged Identity</w:t>
            </w:r>
          </w:p>
        </w:tc>
      </w:tr>
      <w:tr>
        <w:tc>
          <w:tcPr>
            <w:tcW w:type="dxa" w:w="2016"/>
          </w:tcPr>
          <w:p>
            <w:pPr>
              <w:spacing w:after="40" w:before="40"/>
            </w:pPr>
            <w:r/>
          </w:p>
          <w:p>
            <w:pPr>
              <w:spacing w:after="40" w:before="0"/>
            </w:pPr>
            <w:r>
              <w:rPr>
                <w:b/>
                <w:i w:val="0"/>
                <w:color w:val="1F4E79"/>
                <w:sz w:val="19"/>
              </w:rPr>
              <w:t>Product Version</w:t>
            </w:r>
          </w:p>
        </w:tc>
        <w:tc>
          <w:tcPr>
            <w:tcW w:type="dxa" w:w="7776"/>
          </w:tcPr>
          <w:p>
            <w:pPr>
              <w:spacing w:after="40" w:before="40"/>
            </w:pPr>
            <w:r/>
          </w:p>
          <w:p>
            <w:pPr>
              <w:spacing w:after="40" w:before="0"/>
            </w:pPr>
            <w:r>
              <w:rPr>
                <w:b w:val="0"/>
                <w:i w:val="0"/>
                <w:color w:val="333333"/>
                <w:sz w:val="19"/>
              </w:rPr>
              <w:t>v10.11.005</w:t>
            </w:r>
          </w:p>
        </w:tc>
      </w:tr>
      <w:tr>
        <w:tc>
          <w:tcPr>
            <w:tcW w:type="dxa" w:w="2016"/>
            <w:shd w:val="clear" w:fill="EDF1F8"/>
          </w:tcPr>
          <w:p>
            <w:pPr>
              <w:spacing w:after="40" w:before="40"/>
            </w:pPr>
            <w:r/>
          </w:p>
          <w:p>
            <w:pPr>
              <w:spacing w:after="40" w:before="0"/>
            </w:pPr>
            <w:r>
              <w:rPr>
                <w:b/>
                <w:i w:val="0"/>
                <w:color w:val="1F4E79"/>
                <w:sz w:val="19"/>
              </w:rPr>
              <w:t>Release Date</w:t>
            </w:r>
          </w:p>
        </w:tc>
        <w:tc>
          <w:tcPr>
            <w:tcW w:type="dxa" w:w="7776"/>
            <w:shd w:val="clear" w:fill="EDF1F8"/>
          </w:tcPr>
          <w:p>
            <w:pPr>
              <w:spacing w:after="40" w:before="40"/>
            </w:pPr>
            <w:r/>
          </w:p>
          <w:p>
            <w:pPr>
              <w:spacing w:after="40" w:before="0"/>
            </w:pPr>
            <w:r>
              <w:rPr>
                <w:b w:val="0"/>
                <w:i w:val="0"/>
                <w:color w:val="333333"/>
                <w:sz w:val="19"/>
              </w:rPr>
              <w:t>01 June 2026</w:t>
            </w:r>
          </w:p>
        </w:tc>
      </w:tr>
      <w:tr>
        <w:tc>
          <w:tcPr>
            <w:tcW w:type="dxa" w:w="2016"/>
          </w:tcPr>
          <w:p>
            <w:pPr>
              <w:spacing w:after="40" w:before="40"/>
            </w:pPr>
            <w:r/>
          </w:p>
          <w:p>
            <w:pPr>
              <w:spacing w:after="40" w:before="0"/>
            </w:pPr>
            <w:r>
              <w:rPr>
                <w:b/>
                <w:i w:val="0"/>
                <w:color w:val="1F4E79"/>
                <w:sz w:val="19"/>
              </w:rPr>
              <w:t>Document Version</w:t>
            </w:r>
          </w:p>
        </w:tc>
        <w:tc>
          <w:tcPr>
            <w:tcW w:type="dxa" w:w="7776"/>
          </w:tcPr>
          <w:p>
            <w:pPr>
              <w:spacing w:after="40" w:before="40"/>
            </w:pPr>
            <w:r/>
          </w:p>
          <w:p>
            <w:pPr>
              <w:spacing w:after="40" w:before="0"/>
            </w:pPr>
            <w:r>
              <w:rPr>
                <w:b w:val="0"/>
                <w:i w:val="0"/>
                <w:color w:val="333333"/>
                <w:sz w:val="19"/>
              </w:rPr>
              <w:t>V1.2 (reformatted)</w:t>
            </w:r>
          </w:p>
        </w:tc>
      </w:tr>
      <w:tr>
        <w:tc>
          <w:tcPr>
            <w:tcW w:type="dxa" w:w="2016"/>
            <w:shd w:val="clear" w:fill="EDF1F8"/>
          </w:tcPr>
          <w:p>
            <w:pPr>
              <w:spacing w:after="40" w:before="40"/>
            </w:pPr>
            <w:r/>
          </w:p>
          <w:p>
            <w:pPr>
              <w:spacing w:after="40" w:before="0"/>
            </w:pPr>
            <w:r>
              <w:rPr>
                <w:b/>
                <w:i w:val="0"/>
                <w:color w:val="1F4E79"/>
                <w:sz w:val="19"/>
              </w:rPr>
              <w:t>Document Status</w:t>
            </w:r>
          </w:p>
        </w:tc>
        <w:tc>
          <w:tcPr>
            <w:tcW w:type="dxa" w:w="7776"/>
            <w:shd w:val="clear" w:fill="EDF1F8"/>
          </w:tcPr>
          <w:p>
            <w:pPr>
              <w:spacing w:after="40" w:before="40"/>
            </w:pPr>
            <w:r/>
          </w:p>
          <w:p>
            <w:pPr>
              <w:spacing w:after="40" w:before="0"/>
            </w:pPr>
            <w:r>
              <w:rPr>
                <w:b w:val="0"/>
                <w:i w:val="0"/>
                <w:color w:val="333333"/>
                <w:sz w:val="19"/>
              </w:rPr>
              <w:t>For review and release readiness</w:t>
            </w:r>
          </w:p>
        </w:tc>
      </w:tr>
      <w:tr>
        <w:tc>
          <w:tcPr>
            <w:tcW w:type="dxa" w:w="2016"/>
          </w:tcPr>
          <w:p>
            <w:pPr>
              <w:spacing w:after="40" w:before="40"/>
            </w:pPr>
            <w:r/>
          </w:p>
          <w:p>
            <w:pPr>
              <w:spacing w:after="40" w:before="0"/>
            </w:pPr>
            <w:r>
              <w:rPr>
                <w:b/>
                <w:i w:val="0"/>
                <w:color w:val="1F4E79"/>
                <w:sz w:val="19"/>
              </w:rPr>
              <w:t>Author</w:t>
            </w:r>
          </w:p>
        </w:tc>
        <w:tc>
          <w:tcPr>
            <w:tcW w:type="dxa" w:w="7776"/>
          </w:tcPr>
          <w:p>
            <w:pPr>
              <w:spacing w:after="40" w:before="40"/>
            </w:pPr>
            <w:r/>
          </w:p>
          <w:p>
            <w:pPr>
              <w:spacing w:after="40" w:before="0"/>
            </w:pPr>
            <w:r>
              <w:rPr>
                <w:b w:val="0"/>
                <w:i w:val="0"/>
                <w:color w:val="333333"/>
                <w:sz w:val="19"/>
              </w:rPr>
              <w:t>Deepali Mathur</w:t>
            </w:r>
          </w:p>
        </w:tc>
      </w:tr>
      <w:tr>
        <w:tc>
          <w:tcPr>
            <w:tcW w:type="dxa" w:w="2016"/>
            <w:shd w:val="clear" w:fill="EDF1F8"/>
          </w:tcPr>
          <w:p>
            <w:pPr>
              <w:spacing w:after="40" w:before="40"/>
            </w:pPr>
            <w:r/>
          </w:p>
          <w:p>
            <w:pPr>
              <w:spacing w:after="40" w:before="0"/>
            </w:pPr>
            <w:r>
              <w:rPr>
                <w:b/>
                <w:i w:val="0"/>
                <w:color w:val="1F4E79"/>
                <w:sz w:val="19"/>
              </w:rPr>
              <w:t>Owner</w:t>
            </w:r>
          </w:p>
        </w:tc>
        <w:tc>
          <w:tcPr>
            <w:tcW w:type="dxa" w:w="7776"/>
            <w:shd w:val="clear" w:fill="EDF1F8"/>
          </w:tcPr>
          <w:p>
            <w:pPr>
              <w:spacing w:after="40" w:before="40"/>
            </w:pPr>
            <w:r/>
          </w:p>
          <w:p>
            <w:pPr>
              <w:spacing w:after="40" w:before="0"/>
            </w:pPr>
            <w:r>
              <w:rPr>
                <w:b w:val="0"/>
                <w:i w:val="0"/>
                <w:color w:val="333333"/>
                <w:sz w:val="19"/>
              </w:rPr>
              <w:t>Product Management</w:t>
            </w:r>
          </w:p>
        </w:tc>
      </w:tr>
    </w:tbl>
    <w:p>
      <w:pPr>
        <w:spacing w:after="40"/>
      </w:pPr>
    </w:p>
    <w:p/>
    <w:p/>
    <w:p>
      <w:pPr>
        <w:spacing w:after="80"/>
      </w:pPr>
      <w:r>
        <w:rPr>
          <w:i w:val="0"/>
          <w:color w:val="1F3864"/>
          <w:sz w:val="24"/>
        </w:rPr>
        <w:t>Contents</w:t>
      </w:r>
    </w:p>
    <w:p>
      <w:pPr>
        <w:spacing w:after="120"/>
      </w:pPr>
      <w:r/>
    </w:p>
    <w:p>
      <w:pPr>
        <w:spacing w:after="40"/>
      </w:pPr>
      <w:r>
        <w:rPr>
          <w:i w:val="0"/>
          <w:color w:val="333333"/>
          <w:sz w:val="21"/>
        </w:rPr>
        <w:t>1.  Purpose and Audience</w:t>
      </w:r>
    </w:p>
    <w:p>
      <w:pPr>
        <w:spacing w:after="40"/>
      </w:pPr>
      <w:r>
        <w:rPr>
          <w:i w:val="0"/>
          <w:color w:val="333333"/>
          <w:sz w:val="21"/>
        </w:rPr>
        <w:t>2.  Executive Summary</w:t>
      </w:r>
    </w:p>
    <w:p>
      <w:pPr>
        <w:spacing w:after="40"/>
      </w:pPr>
      <w:r>
        <w:rPr>
          <w:i w:val="0"/>
          <w:color w:val="333333"/>
          <w:sz w:val="21"/>
        </w:rPr>
        <w:t>3.  Technology Architecture</w:t>
      </w:r>
    </w:p>
    <w:p>
      <w:pPr>
        <w:spacing w:after="40"/>
      </w:pPr>
      <w:r>
        <w:rPr>
          <w:i w:val="0"/>
          <w:color w:val="333333"/>
          <w:sz w:val="21"/>
        </w:rPr>
        <w:t>4.  Component and Dependency Inventory</w:t>
      </w:r>
    </w:p>
    <w:p>
      <w:pPr>
        <w:spacing w:after="40"/>
      </w:pPr>
      <w:r>
        <w:rPr>
          <w:i w:val="0"/>
          <w:color w:val="333333"/>
          <w:sz w:val="21"/>
        </w:rPr>
        <w:t>5.  Supported Versions and End-of-Life Matrix</w:t>
      </w:r>
    </w:p>
    <w:p>
      <w:pPr>
        <w:spacing w:after="40"/>
      </w:pPr>
      <w:r>
        <w:rPr>
          <w:i w:val="0"/>
          <w:color w:val="333333"/>
          <w:sz w:val="21"/>
        </w:rPr>
        <w:t>6.  Platform Lifecycle and Compatibility</w:t>
      </w:r>
    </w:p>
    <w:p>
      <w:pPr>
        <w:spacing w:after="40"/>
      </w:pPr>
      <w:r>
        <w:rPr>
          <w:i w:val="0"/>
          <w:color w:val="333333"/>
          <w:sz w:val="21"/>
        </w:rPr>
        <w:t>7.  Risk Assessment</w:t>
      </w:r>
    </w:p>
    <w:p>
      <w:pPr>
        <w:spacing w:after="40"/>
      </w:pPr>
      <w:r>
        <w:rPr>
          <w:i w:val="0"/>
          <w:color w:val="333333"/>
          <w:sz w:val="21"/>
        </w:rPr>
        <w:t>8.  Recommended Actions and Ownership</w:t>
      </w:r>
    </w:p>
    <w:p>
      <w:r>
        <w:br w:type="page"/>
      </w:r>
    </w:p>
    <w:p>
      <w:pPr>
        <w:pStyle w:val="Heading1"/>
      </w:pPr>
      <w:r>
        <w:t>1.  Purpose and Audience</w:t>
      </w:r>
    </w:p>
    <w:p>
      <w:pPr>
        <w:spacing w:after="120"/>
      </w:pPr>
      <w:r>
        <w:rPr>
          <w:i w:val="0"/>
          <w:color w:val="333333"/>
          <w:sz w:val="21"/>
        </w:rPr>
        <w:t>This document consolidates the technology stack supporting ARCON Secrets Management Platform v10.11.005. It maps direct and shared dependencies, highlights lifecycle and compatibility risks, and defines the actions needed to maintain release readiness, security compliance, and product supportability.</w:t>
      </w:r>
    </w:p>
    <w:p>
      <w:pPr>
        <w:spacing w:after="80"/>
      </w:pPr>
      <w:r>
        <w:rPr>
          <w:i w:val="0"/>
          <w:color w:val="333333"/>
          <w:sz w:val="21"/>
        </w:rPr>
        <w:t>Three teams use this matrix, each for different purposes: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016"/>
            <w:shd w:val="clear" w:fill="1F4E79"/>
          </w:tcPr>
          <w:p>
            <w:pPr>
              <w:spacing w:after="40" w:before="40"/>
            </w:pPr>
            <w:r/>
          </w:p>
          <w:p>
            <w:pPr>
              <w:spacing w:after="40" w:before="0"/>
            </w:pPr>
            <w:r>
              <w:rPr>
                <w:b/>
                <w:i w:val="0"/>
                <w:color w:val="FFFFFF"/>
                <w:sz w:val="19"/>
              </w:rPr>
              <w:t>Audience</w:t>
            </w:r>
          </w:p>
        </w:tc>
        <w:tc>
          <w:tcPr>
            <w:tcW w:type="dxa" w:w="5040"/>
            <w:shd w:val="clear" w:fill="1F4E79"/>
          </w:tcPr>
          <w:p>
            <w:pPr>
              <w:spacing w:after="40" w:before="40"/>
            </w:pPr>
            <w:r/>
          </w:p>
          <w:p>
            <w:pPr>
              <w:spacing w:after="40" w:before="0"/>
            </w:pPr>
            <w:r>
              <w:rPr>
                <w:b/>
                <w:i w:val="0"/>
                <w:color w:val="FFFFFF"/>
                <w:sz w:val="19"/>
              </w:rPr>
              <w:t>What the document gives you</w:t>
            </w:r>
          </w:p>
        </w:tc>
        <w:tc>
          <w:tcPr>
            <w:tcW w:type="dxa" w:w="2304"/>
            <w:shd w:val="clear" w:fill="1F4E79"/>
          </w:tcPr>
          <w:p>
            <w:pPr>
              <w:spacing w:after="40" w:before="40"/>
            </w:pPr>
            <w:r/>
          </w:p>
          <w:p>
            <w:pPr>
              <w:spacing w:after="40" w:before="0"/>
            </w:pPr>
            <w:r>
              <w:rPr>
                <w:b/>
                <w:i w:val="0"/>
                <w:color w:val="FFFFFF"/>
                <w:sz w:val="19"/>
              </w:rPr>
              <w:t>Focus sections</w:t>
            </w:r>
          </w:p>
        </w:tc>
      </w:tr>
      <w:tr>
        <w:tc>
          <w:tcPr>
            <w:tcW w:type="dxa" w:w="2016"/>
            <w:vMerge w:val="restart"/>
          </w:tcPr>
          <w:p>
            <w:pPr>
              <w:spacing w:after="40" w:before="40"/>
            </w:pPr>
            <w:r/>
          </w:p>
          <w:p>
            <w:pPr>
              <w:spacing w:after="40" w:before="0"/>
            </w:pPr>
            <w:r>
              <w:rPr>
                <w:b w:val="0"/>
                <w:i w:val="0"/>
                <w:color w:val="333333"/>
                <w:sz w:val="19"/>
              </w:rPr>
              <w:t>Product Team</w:t>
            </w:r>
          </w:p>
          <w:p>
            <w:pPr>
              <w:spacing w:after="40" w:before="40"/>
            </w:pPr>
            <w:r/>
          </w:p>
          <w:p>
            <w:pPr>
              <w:spacing w:after="40" w:before="0"/>
            </w:pPr>
            <w:r>
              <w:rPr>
                <w:b w:val="0"/>
                <w:i w:val="0"/>
                <w:color w:val="333333"/>
                <w:sz w:val="19"/>
              </w:rPr>
              <w:t>Development Team</w:t>
            </w:r>
          </w:p>
          <w:p>
            <w:pPr>
              <w:spacing w:after="40" w:before="40"/>
            </w:pPr>
            <w:r/>
          </w:p>
          <w:p>
            <w:pPr>
              <w:spacing w:after="40" w:before="0"/>
            </w:pPr>
            <w:r>
              <w:rPr>
                <w:b w:val="0"/>
                <w:i w:val="0"/>
                <w:color w:val="333333"/>
                <w:sz w:val="19"/>
              </w:rPr>
              <w:t>Support &amp; Implementation Teams</w:t>
            </w:r>
          </w:p>
        </w:tc>
        <w:tc>
          <w:tcPr>
            <w:tcW w:type="dxa" w:w="5040"/>
          </w:tcPr>
          <w:p>
            <w:pPr>
              <w:spacing w:after="40" w:before="40"/>
            </w:pPr>
            <w:r/>
          </w:p>
          <w:p>
            <w:pPr>
              <w:spacing w:after="40" w:before="0"/>
            </w:pPr>
            <w:r>
              <w:rPr>
                <w:b w:val="0"/>
                <w:i w:val="0"/>
                <w:color w:val="333333"/>
                <w:sz w:val="19"/>
              </w:rPr>
              <w:t>A risk picture to govern: themes to include in the release baseline, named ownership, release gates and the modernization roadmap.</w:t>
            </w:r>
          </w:p>
        </w:tc>
        <w:tc>
          <w:tcPr>
            <w:tcW w:type="dxa" w:w="2304"/>
          </w:tcPr>
          <w:p>
            <w:pPr>
              <w:spacing w:after="40" w:before="40"/>
            </w:pPr>
            <w:r/>
          </w:p>
          <w:p>
            <w:pPr>
              <w:spacing w:after="40" w:before="0"/>
            </w:pPr>
            <w:r>
              <w:rPr>
                <w:b w:val="0"/>
                <w:i w:val="0"/>
                <w:color w:val="333333"/>
                <w:sz w:val="19"/>
              </w:rPr>
              <w:t>2 · 7 · 8</w:t>
            </w:r>
          </w:p>
        </w:tc>
      </w:tr>
      <w:tr>
        <w:tc>
          <w:tcPr>
            <w:tcW w:type="dxa" w:w="2016"/>
            <w:vMerge/>
            <w:shd w:val="clear" w:fill="EDF1F8"/>
          </w:tcPr>
          <w:p/>
        </w:tc>
        <w:tc>
          <w:tcPr>
            <w:tcW w:type="dxa" w:w="5040"/>
            <w:shd w:val="clear" w:fill="EDF1F8"/>
          </w:tcPr>
          <w:p>
            <w:pPr>
              <w:spacing w:after="40" w:before="40"/>
            </w:pPr>
            <w:r/>
          </w:p>
          <w:p>
            <w:pPr>
              <w:spacing w:after="40" w:before="0"/>
            </w:pPr>
            <w:r>
              <w:rPr>
                <w:b w:val="0"/>
                <w:i w:val="0"/>
                <w:color w:val="333333"/>
                <w:sz w:val="19"/>
              </w:rPr>
              <w:t>The exact component inventory, versions and end-of-life dates that set compatibility and build constraints.</w:t>
            </w:r>
          </w:p>
        </w:tc>
        <w:tc>
          <w:tcPr>
            <w:tcW w:type="dxa" w:w="2304"/>
            <w:shd w:val="clear" w:fill="EDF1F8"/>
          </w:tcPr>
          <w:p>
            <w:pPr>
              <w:spacing w:after="40" w:before="40"/>
            </w:pPr>
            <w:r/>
          </w:p>
          <w:p>
            <w:pPr>
              <w:spacing w:after="40" w:before="0"/>
            </w:pPr>
            <w:r>
              <w:rPr>
                <w:b w:val="0"/>
                <w:i w:val="0"/>
                <w:color w:val="333333"/>
                <w:sz w:val="19"/>
              </w:rPr>
              <w:t>3 · 4 · 5</w:t>
            </w:r>
          </w:p>
        </w:tc>
      </w:tr>
      <w:tr>
        <w:tc>
          <w:tcPr>
            <w:tcW w:type="dxa" w:w="2016"/>
            <w:vMerge/>
          </w:tcPr>
          <w:p/>
        </w:tc>
        <w:tc>
          <w:tcPr>
            <w:tcW w:type="dxa" w:w="5040"/>
          </w:tcPr>
          <w:p>
            <w:pPr>
              <w:spacing w:after="40" w:before="40"/>
            </w:pPr>
            <w:r/>
          </w:p>
          <w:p>
            <w:pPr>
              <w:spacing w:after="40" w:before="0"/>
            </w:pPr>
            <w:r>
              <w:rPr>
                <w:b w:val="0"/>
                <w:i w:val="0"/>
                <w:color w:val="333333"/>
                <w:sz w:val="19"/>
              </w:rPr>
              <w:t>The lifecycle, platform and integration support matrices used for deployment, sizing and customer upgrade planning.</w:t>
            </w:r>
          </w:p>
        </w:tc>
        <w:tc>
          <w:tcPr>
            <w:tcW w:type="dxa" w:w="2304"/>
          </w:tcPr>
          <w:p>
            <w:pPr>
              <w:spacing w:after="40" w:before="40"/>
            </w:pPr>
            <w:r/>
          </w:p>
          <w:p>
            <w:pPr>
              <w:spacing w:after="40" w:before="0"/>
            </w:pPr>
            <w:r>
              <w:rPr>
                <w:b w:val="0"/>
                <w:i w:val="0"/>
                <w:color w:val="333333"/>
                <w:sz w:val="19"/>
              </w:rPr>
              <w:t>5 · 6 · 8.3</w:t>
            </w:r>
          </w:p>
        </w:tc>
      </w:tr>
    </w:tbl>
    <w:p>
      <w:pPr>
        <w:spacing w:after="40"/>
      </w:pPr>
    </w:p>
    <w:p>
      <w:pPr>
        <w:pStyle w:val="Heading1"/>
      </w:pPr>
      <w:r>
        <w:t>2.  Executive Summary</w:t>
      </w:r>
    </w:p>
    <w:p>
      <w:pPr>
        <w:spacing w:after="120"/>
      </w:pPr>
      <w:r>
        <w:rPr>
          <w:i w:val="0"/>
          <w:color w:val="333333"/>
          <w:sz w:val="21"/>
        </w:rPr>
        <w:t>The release combines legacy and modern runtimes, multiple data platforms, access utilities, and shared open-source libraries. The principal product risks are concentrated in shared cryptographic and compression libraries, the continued use of .NET Framework 4.7.2, and compatibility dependencies across Java-based, database, messaging, and remote-access components. Product Management should govern these risks through an approved compatibility baseline, named ownership, evidence-based release gates, and a time-bound modernization roadmap.</w:t>
      </w:r>
    </w:p>
    <w:p>
      <w:pPr>
        <w:pStyle w:val="Heading2"/>
      </w:pPr>
      <w:r>
        <w:t>2.1  Stack at a glance</w:t>
      </w:r>
    </w:p>
    <w:p>
      <w:pPr>
        <w:pStyle w:val="ListBullet"/>
        <w:spacing w:after="60"/>
      </w:pPr>
      <w:r>
        <w:rPr>
          <w:b/>
        </w:rPr>
        <w:t>A deliberate mix of legacy (.NET Framework 4.7.2) and modern (.NET 8.0.22) runtimes ensures backward compatibility.</w:t>
      </w:r>
      <w:r>
        <w:rPr>
          <w:sz w:val="21"/>
        </w:rPr>
        <w:t>Core runtime:</w:t>
      </w:r>
    </w:p>
    <w:p>
      <w:pPr>
        <w:pStyle w:val="ListBullet"/>
        <w:spacing w:after="60"/>
      </w:pPr>
      <w:r>
        <w:rPr>
          <w:b/>
        </w:rPr>
        <w:t>Angular 14 powers the UI layer, dependent on RxJS, Zone.js, and TypeScript.</w:t>
      </w:r>
      <w:r>
        <w:rPr>
          <w:sz w:val="21"/>
        </w:rPr>
        <w:t>Frontend:</w:t>
      </w:r>
    </w:p>
    <w:p>
      <w:pPr>
        <w:pStyle w:val="ListBullet"/>
        <w:spacing w:after="60"/>
      </w:pPr>
      <w:r>
        <w:rPr>
          <w:b/>
        </w:rPr>
        <w:t>Apache Kafka and Redis provide real-time streaming and caching capabilities.</w:t>
      </w:r>
      <w:r>
        <w:rPr>
          <w:sz w:val="21"/>
        </w:rPr>
        <w:t>Middleware &amp; messaging:</w:t>
      </w:r>
    </w:p>
    <w:p>
      <w:pPr>
        <w:pStyle w:val="ListBullet"/>
        <w:spacing w:after="60"/>
      </w:pPr>
      <w:r>
        <w:rPr>
          <w:b/>
        </w:rPr>
        <w:t>SQL Server, MySQL, and Apache Ignite form a hybrid data layer supporting transactional and distributed workloads.</w:t>
      </w:r>
      <w:r>
        <w:rPr>
          <w:sz w:val="21"/>
        </w:rPr>
        <w:t>Databases:</w:t>
      </w:r>
    </w:p>
    <w:p>
      <w:pPr>
        <w:pStyle w:val="ListBullet"/>
        <w:spacing w:after="60"/>
      </w:pPr>
      <w:r>
        <w:rPr>
          <w:b/>
        </w:rPr>
        <w:t>PuTTY, OpenSSH, FreeRDP and Apache Guacamole provide secure remote access and gateway functions.</w:t>
      </w:r>
      <w:r>
        <w:rPr>
          <w:sz w:val="21"/>
        </w:rPr>
        <w:t>Access &amp; connectivity:</w:t>
      </w:r>
    </w:p>
    <w:p>
      <w:pPr>
        <w:pStyle w:val="ListBullet"/>
        <w:spacing w:after="60"/>
      </w:pPr>
      <w:r>
        <w:rPr>
          <w:b/>
        </w:rPr>
        <w:t>Squid acts as a proxy layer, enforcing traffic and access policies.</w:t>
      </w:r>
      <w:r>
        <w:rPr>
          <w:sz w:val="21"/>
        </w:rPr>
        <w:t>Networking:</w:t>
      </w:r>
    </w:p>
    <w:p>
      <w:pPr>
        <w:pStyle w:val="ListBullet"/>
        <w:spacing w:after="60"/>
      </w:pPr>
      <w:r>
        <w:rPr>
          <w:b/>
        </w:rPr>
        <w:t>OpenSSL and zlib remain critical across multiple layers — key for encryption and compression.</w:t>
      </w:r>
      <w:r>
        <w:rPr>
          <w:sz w:val="21"/>
        </w:rPr>
        <w:t>Shared dependencies:</w:t>
      </w:r>
    </w:p>
    <w:p>
      <w:pPr>
        <w:spacing w:after="120"/>
      </w:pPr>
      <w:r>
        <w:rPr>
          <w:i w:val="0"/>
          <w:color w:val="333333"/>
          <w:sz w:val="21"/>
        </w:rPr>
        <w:t>This stack integrates enterprise-grade Microsoft technologies with open-source distributed and streaming frameworks (Kafka, Ignite, Redis). Dependency hotspots include OpenSSL/zlib, the Java runtime, and .NET runtimes, which should be prioritized for patch management and compatibility validation.</w:t>
      </w:r>
    </w:p>
    <w:p>
      <w:pPr>
        <w:pStyle w:val="Heading1"/>
      </w:pPr>
      <w:r>
        <w:t>3.  Technology Architecture</w:t>
      </w:r>
    </w:p>
    <w:p>
      <w:pPr>
        <w:pStyle w:val="Heading2"/>
      </w:pPr>
      <w:r>
        <w:t>3.1  Architecture diagram</w:t>
      </w:r>
    </w:p>
    <w:p>
      <w:pPr>
        <w:jc w:val="center"/>
      </w:pPr>
      <w:r>
        <w:drawing>
          <wp:inline xmlns:a="http://schemas.openxmlformats.org/drawingml/2006/main" xmlns:pic="http://schemas.openxmlformats.org/drawingml/2006/picture">
            <wp:extent cx="6217920" cy="932688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217920" cy="9326880"/>
                    </a:xfrm>
                    <a:prstGeom prst="rect"/>
                  </pic:spPr>
                </pic:pic>
              </a:graphicData>
            </a:graphic>
          </wp:inline>
        </w:drawing>
      </w:r>
    </w:p>
    <w:p>
      <w:pPr>
        <w:spacing w:after="200"/>
        <w:jc w:val="center"/>
      </w:pPr>
      <w:r>
        <w:rPr>
          <w:i/>
          <w:color w:val="595959"/>
          <w:sz w:val="18"/>
        </w:rPr>
        <w:t>Figure 1 — ARCON Secrets Management Platform technology architecture</w:t>
      </w:r>
    </w:p>
    <w:p>
      <w:pPr>
        <w:pStyle w:val="Heading2"/>
      </w:pPr>
      <w:r>
        <w:t>3.2  Technology layers</w:t>
      </w:r>
    </w:p>
    <w:p>
      <w:pPr>
        <w:spacing w:after="80"/>
      </w:pPr>
      <w:r>
        <w:rPr>
          <w:i w:val="0"/>
          <w:color w:val="333333"/>
          <w:sz w:val="21"/>
        </w:rPr>
        <w:t>The architecture is layered from the top application surface down to infrastructure. Each layer is color-coded in the diagram and connected by downward arrows to show dependency flow.</w:t>
      </w:r>
    </w:p>
    <w:tbl>
      <w:tblPr>
        <w:tblStyle w:val="TableGrid"/>
        <w:tblW w:type="auto" w:w="0"/>
        <w:jc w:val="center"/>
        <w:tblLayout w:type="fixed"/>
        <w:tblLook w:firstColumn="1" w:firstRow="1" w:lastColumn="0" w:lastRow="0" w:noHBand="0" w:noVBand="1" w:val="04A0"/>
      </w:tblPr>
      <w:tblGrid>
        <w:gridCol w:w="4320"/>
        <w:gridCol w:w="4320"/>
      </w:tblGrid>
      <w:tr>
        <w:tc>
          <w:tcPr>
            <w:tcW w:type="dxa" w:w="1872"/>
            <w:shd w:val="clear" w:fill="1F4E79"/>
          </w:tcPr>
          <w:p>
            <w:pPr>
              <w:spacing w:after="40" w:before="40"/>
            </w:pPr>
            <w:r/>
          </w:p>
          <w:p>
            <w:pPr>
              <w:spacing w:after="40" w:before="0"/>
            </w:pPr>
            <w:r>
              <w:rPr>
                <w:b/>
                <w:i w:val="0"/>
                <w:color w:val="FFFFFF"/>
                <w:sz w:val="19"/>
              </w:rPr>
              <w:t>Layer</w:t>
            </w:r>
          </w:p>
        </w:tc>
        <w:tc>
          <w:tcPr>
            <w:tcW w:type="dxa" w:w="8064"/>
            <w:shd w:val="clear" w:fill="1F4E79"/>
          </w:tcPr>
          <w:p>
            <w:pPr>
              <w:spacing w:after="40" w:before="40"/>
            </w:pPr>
            <w:r/>
          </w:p>
          <w:p>
            <w:pPr>
              <w:spacing w:after="40" w:before="0"/>
            </w:pPr>
            <w:r>
              <w:rPr>
                <w:b/>
                <w:i w:val="0"/>
                <w:color w:val="FFFFFF"/>
                <w:sz w:val="19"/>
              </w:rPr>
              <w:t>Key components</w:t>
            </w:r>
          </w:p>
        </w:tc>
      </w:tr>
      <w:tr>
        <w:tc>
          <w:tcPr>
            <w:tcW w:type="dxa" w:w="1872"/>
          </w:tcPr>
          <w:p>
            <w:pPr>
              <w:spacing w:after="40" w:before="40"/>
            </w:pPr>
            <w:r/>
          </w:p>
          <w:p>
            <w:pPr>
              <w:spacing w:after="40" w:before="0"/>
            </w:pPr>
            <w:r>
              <w:rPr>
                <w:b w:val="0"/>
                <w:i w:val="0"/>
                <w:color w:val="333333"/>
                <w:sz w:val="19"/>
              </w:rPr>
              <w:t>Application</w:t>
            </w:r>
          </w:p>
        </w:tc>
        <w:tc>
          <w:tcPr>
            <w:tcW w:type="dxa" w:w="8064"/>
          </w:tcPr>
          <w:p>
            <w:pPr>
              <w:spacing w:after="40" w:before="40"/>
            </w:pPr>
            <w:r/>
          </w:p>
          <w:p>
            <w:pPr>
              <w:spacing w:after="40" w:before="0"/>
            </w:pPr>
            <w:r>
              <w:rPr>
                <w:b w:val="0"/>
                <w:i w:val="0"/>
                <w:color w:val="333333"/>
                <w:sz w:val="19"/>
              </w:rPr>
              <w:t>ARCON Secrets Management Platform (core application)</w:t>
            </w:r>
          </w:p>
        </w:tc>
      </w:tr>
      <w:tr>
        <w:tc>
          <w:tcPr>
            <w:tcW w:type="dxa" w:w="1872"/>
            <w:shd w:val="clear" w:fill="EDF1F8"/>
          </w:tcPr>
          <w:p>
            <w:pPr>
              <w:spacing w:after="40" w:before="40"/>
            </w:pPr>
            <w:r/>
          </w:p>
          <w:p>
            <w:pPr>
              <w:spacing w:after="40" w:before="0"/>
            </w:pPr>
            <w:r>
              <w:rPr>
                <w:b w:val="0"/>
                <w:i w:val="0"/>
                <w:color w:val="333333"/>
                <w:sz w:val="19"/>
              </w:rPr>
              <w:t>Frontend</w:t>
            </w:r>
          </w:p>
        </w:tc>
        <w:tc>
          <w:tcPr>
            <w:tcW w:type="dxa" w:w="8064"/>
            <w:shd w:val="clear" w:fill="EDF1F8"/>
          </w:tcPr>
          <w:p>
            <w:pPr>
              <w:spacing w:after="40" w:before="40"/>
            </w:pPr>
            <w:r/>
          </w:p>
          <w:p>
            <w:pPr>
              <w:spacing w:after="40" w:before="0"/>
            </w:pPr>
            <w:r>
              <w:rPr>
                <w:b w:val="0"/>
                <w:i w:val="0"/>
                <w:color w:val="333333"/>
                <w:sz w:val="19"/>
              </w:rPr>
              <w:t>Angular 14 with RxJS, Zone.js, TypeScript</w:t>
            </w:r>
          </w:p>
        </w:tc>
      </w:tr>
      <w:tr>
        <w:tc>
          <w:tcPr>
            <w:tcW w:type="dxa" w:w="1872"/>
          </w:tcPr>
          <w:p>
            <w:pPr>
              <w:spacing w:after="40" w:before="40"/>
            </w:pPr>
            <w:r/>
          </w:p>
          <w:p>
            <w:pPr>
              <w:spacing w:after="40" w:before="0"/>
            </w:pPr>
            <w:r>
              <w:rPr>
                <w:b w:val="0"/>
                <w:i w:val="0"/>
                <w:color w:val="333333"/>
                <w:sz w:val="19"/>
              </w:rPr>
              <w:t>Access tools</w:t>
            </w:r>
          </w:p>
        </w:tc>
        <w:tc>
          <w:tcPr>
            <w:tcW w:type="dxa" w:w="8064"/>
          </w:tcPr>
          <w:p>
            <w:pPr>
              <w:spacing w:after="40" w:before="40"/>
            </w:pPr>
            <w:r/>
          </w:p>
          <w:p>
            <w:pPr>
              <w:spacing w:after="40" w:before="0"/>
            </w:pPr>
            <w:r>
              <w:rPr>
                <w:b w:val="0"/>
                <w:i w:val="0"/>
                <w:color w:val="333333"/>
                <w:sz w:val="19"/>
              </w:rPr>
              <w:t>PuTTY, Apache Guacamole, DBeaver</w:t>
            </w:r>
          </w:p>
        </w:tc>
      </w:tr>
      <w:tr>
        <w:tc>
          <w:tcPr>
            <w:tcW w:type="dxa" w:w="1872"/>
            <w:shd w:val="clear" w:fill="EDF1F8"/>
          </w:tcPr>
          <w:p>
            <w:pPr>
              <w:spacing w:after="40" w:before="40"/>
            </w:pPr>
            <w:r/>
          </w:p>
          <w:p>
            <w:pPr>
              <w:spacing w:after="40" w:before="0"/>
            </w:pPr>
            <w:r>
              <w:rPr>
                <w:b w:val="0"/>
                <w:i w:val="0"/>
                <w:color w:val="333333"/>
                <w:sz w:val="19"/>
              </w:rPr>
              <w:t>Database layer</w:t>
            </w:r>
          </w:p>
        </w:tc>
        <w:tc>
          <w:tcPr>
            <w:tcW w:type="dxa" w:w="8064"/>
            <w:shd w:val="clear" w:fill="EDF1F8"/>
          </w:tcPr>
          <w:p>
            <w:pPr>
              <w:spacing w:after="40" w:before="40"/>
            </w:pPr>
            <w:r/>
          </w:p>
          <w:p>
            <w:pPr>
              <w:spacing w:after="40" w:before="0"/>
            </w:pPr>
            <w:r>
              <w:rPr>
                <w:b w:val="0"/>
                <w:i w:val="0"/>
                <w:color w:val="333333"/>
                <w:sz w:val="19"/>
              </w:rPr>
              <w:t>MS SQL Server 2019, MySQL 8.4.x, Apache Ignite</w:t>
            </w:r>
          </w:p>
        </w:tc>
      </w:tr>
      <w:tr>
        <w:tc>
          <w:tcPr>
            <w:tcW w:type="dxa" w:w="1872"/>
          </w:tcPr>
          <w:p>
            <w:pPr>
              <w:spacing w:after="40" w:before="40"/>
            </w:pPr>
            <w:r/>
          </w:p>
          <w:p>
            <w:pPr>
              <w:spacing w:after="40" w:before="0"/>
            </w:pPr>
            <w:r>
              <w:rPr>
                <w:b w:val="0"/>
                <w:i w:val="0"/>
                <w:color w:val="333333"/>
                <w:sz w:val="19"/>
              </w:rPr>
              <w:t>Messaging &amp; cache</w:t>
            </w:r>
          </w:p>
        </w:tc>
        <w:tc>
          <w:tcPr>
            <w:tcW w:type="dxa" w:w="8064"/>
          </w:tcPr>
          <w:p>
            <w:pPr>
              <w:spacing w:after="40" w:before="40"/>
            </w:pPr>
            <w:r/>
          </w:p>
          <w:p>
            <w:pPr>
              <w:spacing w:after="40" w:before="0"/>
            </w:pPr>
            <w:r>
              <w:rPr>
                <w:b w:val="0"/>
                <w:i w:val="0"/>
                <w:color w:val="333333"/>
                <w:sz w:val="19"/>
              </w:rPr>
              <w:t>Apache Kafka and Redis for streaming and in-memory operations</w:t>
            </w:r>
          </w:p>
        </w:tc>
      </w:tr>
      <w:tr>
        <w:tc>
          <w:tcPr>
            <w:tcW w:type="dxa" w:w="1872"/>
            <w:shd w:val="clear" w:fill="EDF1F8"/>
          </w:tcPr>
          <w:p>
            <w:pPr>
              <w:spacing w:after="40" w:before="40"/>
            </w:pPr>
            <w:r/>
          </w:p>
          <w:p>
            <w:pPr>
              <w:spacing w:after="40" w:before="0"/>
            </w:pPr>
            <w:r>
              <w:rPr>
                <w:b w:val="0"/>
                <w:i w:val="0"/>
                <w:color w:val="333333"/>
                <w:sz w:val="19"/>
              </w:rPr>
              <w:t>Middleware &amp; runtime</w:t>
            </w:r>
          </w:p>
        </w:tc>
        <w:tc>
          <w:tcPr>
            <w:tcW w:type="dxa" w:w="8064"/>
            <w:shd w:val="clear" w:fill="EDF1F8"/>
          </w:tcPr>
          <w:p>
            <w:pPr>
              <w:spacing w:after="40" w:before="40"/>
            </w:pPr>
            <w:r/>
          </w:p>
          <w:p>
            <w:pPr>
              <w:spacing w:after="40" w:before="0"/>
            </w:pPr>
            <w:r>
              <w:rPr>
                <w:b w:val="0"/>
                <w:i w:val="0"/>
                <w:color w:val="333333"/>
                <w:sz w:val="19"/>
              </w:rPr>
              <w:t>.NET Framework 4.7.2, .NET SDK 8.0, Apache Tomcat, OpenSSH</w:t>
            </w:r>
          </w:p>
        </w:tc>
      </w:tr>
      <w:tr>
        <w:tc>
          <w:tcPr>
            <w:tcW w:type="dxa" w:w="1872"/>
          </w:tcPr>
          <w:p>
            <w:pPr>
              <w:spacing w:after="40" w:before="40"/>
            </w:pPr>
            <w:r/>
          </w:p>
          <w:p>
            <w:pPr>
              <w:spacing w:after="40" w:before="0"/>
            </w:pPr>
            <w:r>
              <w:rPr>
                <w:b w:val="0"/>
                <w:i w:val="0"/>
                <w:color w:val="333333"/>
                <w:sz w:val="19"/>
              </w:rPr>
              <w:t>Infrastructure</w:t>
            </w:r>
          </w:p>
        </w:tc>
        <w:tc>
          <w:tcPr>
            <w:tcW w:type="dxa" w:w="8064"/>
          </w:tcPr>
          <w:p>
            <w:pPr>
              <w:spacing w:after="40" w:before="40"/>
            </w:pPr>
            <w:r/>
          </w:p>
          <w:p>
            <w:pPr>
              <w:spacing w:after="40" w:before="0"/>
            </w:pPr>
            <w:r>
              <w:rPr>
                <w:b w:val="0"/>
                <w:i w:val="0"/>
                <w:color w:val="333333"/>
                <w:sz w:val="19"/>
              </w:rPr>
              <w:t>Squid Proxy, OpenSSL &amp; zlib, Linux &amp; Windows servers</w:t>
            </w:r>
          </w:p>
        </w:tc>
      </w:tr>
    </w:tbl>
    <w:p>
      <w:pPr>
        <w:spacing w:after="40"/>
      </w:pPr>
    </w:p>
    <w:p>
      <w:pPr>
        <w:pStyle w:val="Heading1"/>
      </w:pPr>
      <w:r>
        <w:t>4.  Component and Dependency Inventory</w:t>
      </w:r>
    </w:p>
    <w:p>
      <w:pPr>
        <w:spacing w:after="80"/>
      </w:pPr>
      <w:r>
        <w:rPr>
          <w:i w:val="0"/>
          <w:color w:val="333333"/>
          <w:sz w:val="21"/>
        </w:rPr>
        <w:t>The authoritative inventory of components, versions, suppliers and direct dependencies.</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2376"/>
            <w:shd w:val="clear" w:fill="1F4E79"/>
          </w:tcPr>
          <w:p>
            <w:pPr>
              <w:spacing w:after="40" w:before="40"/>
            </w:pPr>
            <w:r/>
          </w:p>
          <w:p>
            <w:pPr>
              <w:spacing w:after="40" w:before="0"/>
            </w:pPr>
            <w:r>
              <w:rPr>
                <w:b/>
                <w:i w:val="0"/>
                <w:color w:val="FFFFFF"/>
                <w:sz w:val="19"/>
              </w:rPr>
              <w:t>Component</w:t>
            </w:r>
          </w:p>
        </w:tc>
        <w:tc>
          <w:tcPr>
            <w:tcW w:type="dxa" w:w="1296"/>
            <w:shd w:val="clear" w:fill="1F4E79"/>
          </w:tcPr>
          <w:p>
            <w:pPr>
              <w:spacing w:after="40" w:before="40"/>
            </w:pPr>
            <w:r/>
          </w:p>
          <w:p>
            <w:pPr>
              <w:spacing w:after="40" w:before="0"/>
            </w:pPr>
            <w:r>
              <w:rPr>
                <w:b/>
                <w:i w:val="0"/>
                <w:color w:val="FFFFFF"/>
                <w:sz w:val="19"/>
              </w:rPr>
              <w:t>Version</w:t>
            </w:r>
          </w:p>
        </w:tc>
        <w:tc>
          <w:tcPr>
            <w:tcW w:type="dxa" w:w="2088"/>
            <w:shd w:val="clear" w:fill="1F4E79"/>
          </w:tcPr>
          <w:p>
            <w:pPr>
              <w:spacing w:after="40" w:before="40"/>
            </w:pPr>
            <w:r/>
          </w:p>
          <w:p>
            <w:pPr>
              <w:spacing w:after="40" w:before="0"/>
            </w:pPr>
            <w:r>
              <w:rPr>
                <w:b/>
                <w:i w:val="0"/>
                <w:color w:val="FFFFFF"/>
                <w:sz w:val="19"/>
              </w:rPr>
              <w:t>Supplier</w:t>
            </w:r>
          </w:p>
        </w:tc>
        <w:tc>
          <w:tcPr>
            <w:tcW w:type="dxa" w:w="1584"/>
            <w:shd w:val="clear" w:fill="1F4E79"/>
          </w:tcPr>
          <w:p>
            <w:pPr>
              <w:spacing w:after="40" w:before="40"/>
            </w:pPr>
            <w:r/>
          </w:p>
          <w:p>
            <w:pPr>
              <w:spacing w:after="40" w:before="0"/>
            </w:pPr>
            <w:r>
              <w:rPr>
                <w:b/>
                <w:i w:val="0"/>
                <w:color w:val="FFFFFF"/>
                <w:sz w:val="19"/>
              </w:rPr>
              <w:t>Type</w:t>
            </w:r>
          </w:p>
        </w:tc>
        <w:tc>
          <w:tcPr>
            <w:tcW w:type="dxa" w:w="2520"/>
            <w:shd w:val="clear" w:fill="1F4E79"/>
          </w:tcPr>
          <w:p>
            <w:pPr>
              <w:spacing w:after="40" w:before="40"/>
            </w:pPr>
            <w:r/>
          </w:p>
          <w:p>
            <w:pPr>
              <w:spacing w:after="40" w:before="0"/>
            </w:pPr>
            <w:r>
              <w:rPr>
                <w:b/>
                <w:i w:val="0"/>
                <w:color w:val="FFFFFF"/>
                <w:sz w:val="19"/>
              </w:rPr>
              <w:t>Dependencies</w:t>
            </w:r>
          </w:p>
        </w:tc>
      </w:tr>
      <w:tr>
        <w:tc>
          <w:tcPr>
            <w:tcW w:type="dxa" w:w="2376"/>
          </w:tcPr>
          <w:p>
            <w:pPr>
              <w:spacing w:after="40" w:before="40"/>
            </w:pPr>
            <w:r/>
          </w:p>
          <w:p>
            <w:pPr>
              <w:spacing w:after="40" w:before="0"/>
            </w:pPr>
            <w:r>
              <w:rPr>
                <w:b w:val="0"/>
                <w:i w:val="0"/>
                <w:color w:val="333333"/>
                <w:sz w:val="19"/>
              </w:rPr>
              <w:t>ARCON Secrets Management Platform</w:t>
            </w:r>
          </w:p>
        </w:tc>
        <w:tc>
          <w:tcPr>
            <w:tcW w:type="dxa" w:w="1296"/>
          </w:tcPr>
          <w:p>
            <w:pPr>
              <w:spacing w:after="40" w:before="40"/>
            </w:pPr>
            <w:r/>
          </w:p>
          <w:p>
            <w:pPr>
              <w:spacing w:after="40" w:before="0"/>
            </w:pPr>
            <w:r>
              <w:rPr>
                <w:b w:val="0"/>
                <w:i w:val="0"/>
                <w:color w:val="333333"/>
                <w:sz w:val="19"/>
              </w:rPr>
              <w:t>10.11.005</w:t>
            </w:r>
          </w:p>
        </w:tc>
        <w:tc>
          <w:tcPr>
            <w:tcW w:type="dxa" w:w="2088"/>
          </w:tcPr>
          <w:p>
            <w:pPr>
              <w:spacing w:after="40" w:before="40"/>
            </w:pPr>
            <w:r/>
          </w:p>
          <w:p>
            <w:pPr>
              <w:spacing w:after="40" w:before="0"/>
            </w:pPr>
            <w:r>
              <w:rPr>
                <w:b w:val="0"/>
                <w:i w:val="0"/>
                <w:color w:val="333333"/>
                <w:sz w:val="19"/>
              </w:rPr>
              <w:t>ARCON TechSolutions Pvt. Ltd.</w:t>
            </w:r>
          </w:p>
        </w:tc>
        <w:tc>
          <w:tcPr>
            <w:tcW w:type="dxa" w:w="1584"/>
          </w:tcPr>
          <w:p>
            <w:pPr>
              <w:spacing w:after="40" w:before="40"/>
            </w:pPr>
            <w:r/>
          </w:p>
          <w:p>
            <w:pPr>
              <w:spacing w:after="40" w:before="0"/>
            </w:pPr>
            <w:r>
              <w:rPr>
                <w:b w:val="0"/>
                <w:i w:val="0"/>
                <w:color w:val="333333"/>
                <w:sz w:val="19"/>
              </w:rPr>
              <w:t>Application</w:t>
            </w:r>
          </w:p>
        </w:tc>
        <w:tc>
          <w:tcPr>
            <w:tcW w:type="dxa" w:w="2520"/>
          </w:tcPr>
          <w:p>
            <w:pPr>
              <w:spacing w:after="40" w:before="40"/>
            </w:pPr>
            <w:r/>
          </w:p>
          <w:p>
            <w:pPr>
              <w:spacing w:after="40" w:before="0"/>
            </w:pPr>
            <w:r>
              <w:rPr>
                <w:b w:val="0"/>
                <w:i w:val="0"/>
                <w:color w:val="333333"/>
                <w:sz w:val="19"/>
              </w:rPr>
              <w:t>.NET</w:t>
            </w:r>
          </w:p>
        </w:tc>
      </w:tr>
      <w:tr>
        <w:tc>
          <w:tcPr>
            <w:tcW w:type="dxa" w:w="2376"/>
            <w:shd w:val="clear" w:fill="EDF1F8"/>
          </w:tcPr>
          <w:p>
            <w:pPr>
              <w:spacing w:after="40" w:before="40"/>
            </w:pPr>
            <w:r/>
          </w:p>
          <w:p>
            <w:pPr>
              <w:spacing w:after="40" w:before="0"/>
            </w:pPr>
            <w:r>
              <w:rPr>
                <w:b w:val="0"/>
                <w:i w:val="0"/>
                <w:color w:val="333333"/>
                <w:sz w:val="19"/>
              </w:rPr>
              <w:t>Microsoft .NET Framework</w:t>
            </w:r>
          </w:p>
        </w:tc>
        <w:tc>
          <w:tcPr>
            <w:tcW w:type="dxa" w:w="1296"/>
            <w:shd w:val="clear" w:fill="EDF1F8"/>
          </w:tcPr>
          <w:p>
            <w:pPr>
              <w:spacing w:after="40" w:before="40"/>
            </w:pPr>
            <w:r/>
          </w:p>
          <w:p>
            <w:pPr>
              <w:spacing w:after="40" w:before="0"/>
            </w:pPr>
            <w:r>
              <w:rPr>
                <w:b w:val="0"/>
                <w:i w:val="0"/>
                <w:color w:val="333333"/>
                <w:sz w:val="19"/>
              </w:rPr>
              <w:t>4.7.2</w:t>
            </w:r>
          </w:p>
        </w:tc>
        <w:tc>
          <w:tcPr>
            <w:tcW w:type="dxa" w:w="2088"/>
            <w:shd w:val="clear" w:fill="EDF1F8"/>
          </w:tcPr>
          <w:p>
            <w:pPr>
              <w:spacing w:after="40" w:before="40"/>
            </w:pPr>
            <w:r/>
          </w:p>
          <w:p>
            <w:pPr>
              <w:spacing w:after="40" w:before="0"/>
            </w:pPr>
            <w:r>
              <w:rPr>
                <w:b w:val="0"/>
                <w:i w:val="0"/>
                <w:color w:val="333333"/>
                <w:sz w:val="19"/>
              </w:rPr>
              <w:t>Microsoft Corporation</w:t>
            </w:r>
          </w:p>
        </w:tc>
        <w:tc>
          <w:tcPr>
            <w:tcW w:type="dxa" w:w="1584"/>
            <w:shd w:val="clear" w:fill="EDF1F8"/>
          </w:tcPr>
          <w:p>
            <w:pPr>
              <w:spacing w:after="40" w:before="40"/>
            </w:pPr>
            <w:r/>
          </w:p>
          <w:p>
            <w:pPr>
              <w:spacing w:after="40" w:before="0"/>
            </w:pPr>
            <w:r>
              <w:rPr>
                <w:b w:val="0"/>
                <w:i w:val="0"/>
                <w:color w:val="333333"/>
                <w:sz w:val="19"/>
              </w:rPr>
              <w:t>Framework / Runtime</w:t>
            </w:r>
          </w:p>
        </w:tc>
        <w:tc>
          <w:tcPr>
            <w:tcW w:type="dxa" w:w="2520"/>
            <w:shd w:val="clear" w:fill="EDF1F8"/>
          </w:tcPr>
          <w:p>
            <w:pPr>
              <w:spacing w:after="40" w:before="40"/>
            </w:pPr>
            <w:r/>
          </w:p>
          <w:p>
            <w:pPr>
              <w:spacing w:after="40" w:before="0"/>
            </w:pPr>
            <w:r>
              <w:rPr>
                <w:b w:val="0"/>
                <w:i w:val="0"/>
                <w:color w:val="333333"/>
                <w:sz w:val="19"/>
              </w:rPr>
              <w:t>None</w:t>
            </w:r>
          </w:p>
        </w:tc>
      </w:tr>
      <w:tr>
        <w:tc>
          <w:tcPr>
            <w:tcW w:type="dxa" w:w="2376"/>
          </w:tcPr>
          <w:p>
            <w:pPr>
              <w:spacing w:after="40" w:before="40"/>
            </w:pPr>
            <w:r/>
          </w:p>
          <w:p>
            <w:pPr>
              <w:spacing w:after="40" w:before="0"/>
            </w:pPr>
            <w:r>
              <w:rPr>
                <w:b w:val="0"/>
                <w:i w:val="0"/>
                <w:color w:val="333333"/>
                <w:sz w:val="19"/>
              </w:rPr>
              <w:t>.NET (Cross-platform SDK)</w:t>
            </w:r>
          </w:p>
        </w:tc>
        <w:tc>
          <w:tcPr>
            <w:tcW w:type="dxa" w:w="1296"/>
          </w:tcPr>
          <w:p>
            <w:pPr>
              <w:spacing w:after="40" w:before="40"/>
            </w:pPr>
            <w:r/>
          </w:p>
          <w:p>
            <w:pPr>
              <w:spacing w:after="40" w:before="0"/>
            </w:pPr>
            <w:r>
              <w:rPr>
                <w:b w:val="0"/>
                <w:i w:val="0"/>
                <w:color w:val="333333"/>
                <w:sz w:val="19"/>
              </w:rPr>
              <w:t>8.0.22</w:t>
            </w:r>
          </w:p>
        </w:tc>
        <w:tc>
          <w:tcPr>
            <w:tcW w:type="dxa" w:w="2088"/>
          </w:tcPr>
          <w:p>
            <w:pPr>
              <w:spacing w:after="40" w:before="40"/>
            </w:pPr>
            <w:r/>
          </w:p>
          <w:p>
            <w:pPr>
              <w:spacing w:after="40" w:before="0"/>
            </w:pPr>
            <w:r>
              <w:rPr>
                <w:b w:val="0"/>
                <w:i w:val="0"/>
                <w:color w:val="333333"/>
                <w:sz w:val="19"/>
              </w:rPr>
              <w:t>Microsoft Corporation</w:t>
            </w:r>
          </w:p>
        </w:tc>
        <w:tc>
          <w:tcPr>
            <w:tcW w:type="dxa" w:w="1584"/>
          </w:tcPr>
          <w:p>
            <w:pPr>
              <w:spacing w:after="40" w:before="40"/>
            </w:pPr>
            <w:r/>
          </w:p>
          <w:p>
            <w:pPr>
              <w:spacing w:after="40" w:before="0"/>
            </w:pPr>
            <w:r>
              <w:rPr>
                <w:b w:val="0"/>
                <w:i w:val="0"/>
                <w:color w:val="333333"/>
                <w:sz w:val="19"/>
              </w:rPr>
              <w:t>Framework</w:t>
            </w:r>
          </w:p>
        </w:tc>
        <w:tc>
          <w:tcPr>
            <w:tcW w:type="dxa" w:w="2520"/>
          </w:tcPr>
          <w:p>
            <w:pPr>
              <w:spacing w:after="40" w:before="40"/>
            </w:pPr>
            <w:r/>
          </w:p>
          <w:p>
            <w:pPr>
              <w:spacing w:after="40" w:before="0"/>
            </w:pPr>
            <w:r>
              <w:rPr>
                <w:b w:val="0"/>
                <w:i w:val="0"/>
                <w:color w:val="333333"/>
                <w:sz w:val="19"/>
              </w:rPr>
              <w:t>System.Runtime; System.Text.Json</w:t>
            </w:r>
          </w:p>
        </w:tc>
      </w:tr>
      <w:tr>
        <w:tc>
          <w:tcPr>
            <w:tcW w:type="dxa" w:w="2376"/>
            <w:shd w:val="clear" w:fill="EDF1F8"/>
          </w:tcPr>
          <w:p>
            <w:pPr>
              <w:spacing w:after="40" w:before="40"/>
            </w:pPr>
            <w:r/>
          </w:p>
          <w:p>
            <w:pPr>
              <w:spacing w:after="40" w:before="0"/>
            </w:pPr>
            <w:r>
              <w:rPr>
                <w:b w:val="0"/>
                <w:i w:val="0"/>
                <w:color w:val="333333"/>
                <w:sz w:val="19"/>
              </w:rPr>
              <w:t>Angular</w:t>
            </w:r>
          </w:p>
        </w:tc>
        <w:tc>
          <w:tcPr>
            <w:tcW w:type="dxa" w:w="1296"/>
            <w:shd w:val="clear" w:fill="EDF1F8"/>
          </w:tcPr>
          <w:p>
            <w:pPr>
              <w:spacing w:after="40" w:before="40"/>
            </w:pPr>
            <w:r/>
          </w:p>
          <w:p>
            <w:pPr>
              <w:spacing w:after="40" w:before="0"/>
            </w:pPr>
            <w:r>
              <w:rPr>
                <w:b w:val="0"/>
                <w:i w:val="0"/>
                <w:color w:val="333333"/>
                <w:sz w:val="19"/>
              </w:rPr>
              <w:t>14.0.0</w:t>
            </w:r>
          </w:p>
        </w:tc>
        <w:tc>
          <w:tcPr>
            <w:tcW w:type="dxa" w:w="2088"/>
            <w:shd w:val="clear" w:fill="EDF1F8"/>
          </w:tcPr>
          <w:p>
            <w:pPr>
              <w:spacing w:after="40" w:before="40"/>
            </w:pPr>
            <w:r/>
          </w:p>
          <w:p>
            <w:pPr>
              <w:spacing w:after="40" w:before="0"/>
            </w:pPr>
            <w:r>
              <w:rPr>
                <w:b w:val="0"/>
                <w:i w:val="0"/>
                <w:color w:val="333333"/>
                <w:sz w:val="19"/>
              </w:rPr>
              <w:t>Google LLC</w:t>
            </w:r>
          </w:p>
        </w:tc>
        <w:tc>
          <w:tcPr>
            <w:tcW w:type="dxa" w:w="1584"/>
            <w:shd w:val="clear" w:fill="EDF1F8"/>
          </w:tcPr>
          <w:p>
            <w:pPr>
              <w:spacing w:after="40" w:before="40"/>
            </w:pPr>
            <w:r/>
          </w:p>
          <w:p>
            <w:pPr>
              <w:spacing w:after="40" w:before="0"/>
            </w:pPr>
            <w:r>
              <w:rPr>
                <w:b w:val="0"/>
                <w:i w:val="0"/>
                <w:color w:val="333333"/>
                <w:sz w:val="19"/>
              </w:rPr>
              <w:t>Frontend Framework</w:t>
            </w:r>
          </w:p>
        </w:tc>
        <w:tc>
          <w:tcPr>
            <w:tcW w:type="dxa" w:w="2520"/>
            <w:shd w:val="clear" w:fill="EDF1F8"/>
          </w:tcPr>
          <w:p>
            <w:pPr>
              <w:spacing w:after="40" w:before="40"/>
            </w:pPr>
            <w:r/>
          </w:p>
          <w:p>
            <w:pPr>
              <w:spacing w:after="40" w:before="0"/>
            </w:pPr>
            <w:r>
              <w:rPr>
                <w:b w:val="0"/>
                <w:i w:val="0"/>
                <w:color w:val="333333"/>
                <w:sz w:val="19"/>
              </w:rPr>
              <w:t>RxJS; Zone.js; TypeScript</w:t>
            </w:r>
          </w:p>
        </w:tc>
      </w:tr>
      <w:tr>
        <w:tc>
          <w:tcPr>
            <w:tcW w:type="dxa" w:w="2376"/>
          </w:tcPr>
          <w:p>
            <w:pPr>
              <w:spacing w:after="40" w:before="40"/>
            </w:pPr>
            <w:r/>
          </w:p>
          <w:p>
            <w:pPr>
              <w:spacing w:after="40" w:before="0"/>
            </w:pPr>
            <w:r>
              <w:rPr>
                <w:b w:val="0"/>
                <w:i w:val="0"/>
                <w:color w:val="333333"/>
                <w:sz w:val="19"/>
              </w:rPr>
              <w:t>DBeaver</w:t>
            </w:r>
          </w:p>
        </w:tc>
        <w:tc>
          <w:tcPr>
            <w:tcW w:type="dxa" w:w="1296"/>
          </w:tcPr>
          <w:p>
            <w:pPr>
              <w:spacing w:after="40" w:before="40"/>
            </w:pPr>
            <w:r/>
          </w:p>
          <w:p>
            <w:pPr>
              <w:spacing w:after="40" w:before="0"/>
            </w:pPr>
            <w:r>
              <w:rPr>
                <w:b w:val="0"/>
                <w:i w:val="0"/>
                <w:color w:val="333333"/>
                <w:sz w:val="19"/>
              </w:rPr>
              <w:t>25.0.2</w:t>
            </w:r>
          </w:p>
        </w:tc>
        <w:tc>
          <w:tcPr>
            <w:tcW w:type="dxa" w:w="2088"/>
          </w:tcPr>
          <w:p>
            <w:pPr>
              <w:spacing w:after="40" w:before="40"/>
            </w:pPr>
            <w:r/>
          </w:p>
          <w:p>
            <w:pPr>
              <w:spacing w:after="40" w:before="0"/>
            </w:pPr>
            <w:r>
              <w:rPr>
                <w:b w:val="0"/>
                <w:i w:val="0"/>
                <w:color w:val="333333"/>
                <w:sz w:val="19"/>
              </w:rPr>
              <w:t>DBeaver Corporation</w:t>
            </w:r>
          </w:p>
        </w:tc>
        <w:tc>
          <w:tcPr>
            <w:tcW w:type="dxa" w:w="1584"/>
          </w:tcPr>
          <w:p>
            <w:pPr>
              <w:spacing w:after="40" w:before="40"/>
            </w:pPr>
            <w:r/>
          </w:p>
          <w:p>
            <w:pPr>
              <w:spacing w:after="40" w:before="0"/>
            </w:pPr>
            <w:r>
              <w:rPr>
                <w:b w:val="0"/>
                <w:i w:val="0"/>
                <w:color w:val="333333"/>
                <w:sz w:val="19"/>
              </w:rPr>
              <w:t>Application</w:t>
            </w:r>
          </w:p>
        </w:tc>
        <w:tc>
          <w:tcPr>
            <w:tcW w:type="dxa" w:w="2520"/>
          </w:tcPr>
          <w:p>
            <w:pPr>
              <w:spacing w:after="40" w:before="40"/>
            </w:pPr>
            <w:r/>
          </w:p>
          <w:p>
            <w:pPr>
              <w:spacing w:after="40" w:before="0"/>
            </w:pPr>
            <w:r>
              <w:rPr>
                <w:b w:val="0"/>
                <w:i w:val="0"/>
                <w:color w:val="333333"/>
                <w:sz w:val="19"/>
              </w:rPr>
              <w:t>Java; JDBC Drivers</w:t>
            </w:r>
          </w:p>
        </w:tc>
      </w:tr>
      <w:tr>
        <w:tc>
          <w:tcPr>
            <w:tcW w:type="dxa" w:w="2376"/>
            <w:shd w:val="clear" w:fill="EDF1F8"/>
          </w:tcPr>
          <w:p>
            <w:pPr>
              <w:spacing w:after="40" w:before="40"/>
            </w:pPr>
            <w:r/>
          </w:p>
          <w:p>
            <w:pPr>
              <w:spacing w:after="40" w:before="0"/>
            </w:pPr>
            <w:r>
              <w:rPr>
                <w:b w:val="0"/>
                <w:i w:val="0"/>
                <w:color w:val="333333"/>
                <w:sz w:val="19"/>
              </w:rPr>
              <w:t>PuTTY</w:t>
            </w:r>
          </w:p>
        </w:tc>
        <w:tc>
          <w:tcPr>
            <w:tcW w:type="dxa" w:w="1296"/>
            <w:shd w:val="clear" w:fill="EDF1F8"/>
          </w:tcPr>
          <w:p>
            <w:pPr>
              <w:spacing w:after="40" w:before="40"/>
            </w:pPr>
            <w:r/>
          </w:p>
          <w:p>
            <w:pPr>
              <w:spacing w:after="40" w:before="0"/>
            </w:pPr>
            <w:r>
              <w:rPr>
                <w:b w:val="0"/>
                <w:i w:val="0"/>
                <w:color w:val="333333"/>
                <w:sz w:val="19"/>
              </w:rPr>
              <w:t>81.2.32</w:t>
            </w:r>
          </w:p>
        </w:tc>
        <w:tc>
          <w:tcPr>
            <w:tcW w:type="dxa" w:w="2088"/>
            <w:shd w:val="clear" w:fill="EDF1F8"/>
          </w:tcPr>
          <w:p>
            <w:pPr>
              <w:spacing w:after="40" w:before="40"/>
            </w:pPr>
            <w:r/>
          </w:p>
          <w:p>
            <w:pPr>
              <w:spacing w:after="40" w:before="0"/>
            </w:pPr>
            <w:r>
              <w:rPr>
                <w:b w:val="0"/>
                <w:i w:val="0"/>
                <w:color w:val="333333"/>
                <w:sz w:val="19"/>
              </w:rPr>
              <w:t>Simon Tatham</w:t>
            </w:r>
          </w:p>
        </w:tc>
        <w:tc>
          <w:tcPr>
            <w:tcW w:type="dxa" w:w="1584"/>
            <w:shd w:val="clear" w:fill="EDF1F8"/>
          </w:tcPr>
          <w:p>
            <w:pPr>
              <w:spacing w:after="40" w:before="40"/>
            </w:pPr>
            <w:r/>
          </w:p>
          <w:p>
            <w:pPr>
              <w:spacing w:after="40" w:before="0"/>
            </w:pPr>
            <w:r>
              <w:rPr>
                <w:b w:val="0"/>
                <w:i w:val="0"/>
                <w:color w:val="333333"/>
                <w:sz w:val="19"/>
              </w:rPr>
              <w:t>Application</w:t>
            </w:r>
          </w:p>
        </w:tc>
        <w:tc>
          <w:tcPr>
            <w:tcW w:type="dxa" w:w="2520"/>
            <w:shd w:val="clear" w:fill="EDF1F8"/>
          </w:tcPr>
          <w:p>
            <w:pPr>
              <w:spacing w:after="40" w:before="40"/>
            </w:pPr>
            <w:r/>
          </w:p>
          <w:p>
            <w:pPr>
              <w:spacing w:after="40" w:before="0"/>
            </w:pPr>
            <w:r>
              <w:rPr>
                <w:b w:val="0"/>
                <w:i w:val="0"/>
                <w:color w:val="333333"/>
                <w:sz w:val="19"/>
              </w:rPr>
              <w:t>None</w:t>
            </w:r>
          </w:p>
        </w:tc>
      </w:tr>
      <w:tr>
        <w:tc>
          <w:tcPr>
            <w:tcW w:type="dxa" w:w="2376"/>
          </w:tcPr>
          <w:p>
            <w:pPr>
              <w:spacing w:after="40" w:before="40"/>
            </w:pPr>
            <w:r/>
          </w:p>
          <w:p>
            <w:pPr>
              <w:spacing w:after="40" w:before="0"/>
            </w:pPr>
            <w:r>
              <w:rPr>
                <w:b w:val="0"/>
                <w:i w:val="0"/>
                <w:color w:val="333333"/>
                <w:sz w:val="19"/>
              </w:rPr>
              <w:t>Apache Guacamole</w:t>
            </w:r>
          </w:p>
        </w:tc>
        <w:tc>
          <w:tcPr>
            <w:tcW w:type="dxa" w:w="1296"/>
          </w:tcPr>
          <w:p>
            <w:pPr>
              <w:spacing w:after="40" w:before="40"/>
            </w:pPr>
            <w:r/>
          </w:p>
          <w:p>
            <w:pPr>
              <w:spacing w:after="40" w:before="0"/>
            </w:pPr>
            <w:r>
              <w:rPr>
                <w:b w:val="0"/>
                <w:i w:val="0"/>
                <w:color w:val="333333"/>
                <w:sz w:val="19"/>
              </w:rPr>
              <w:t>1.6.0</w:t>
            </w:r>
          </w:p>
        </w:tc>
        <w:tc>
          <w:tcPr>
            <w:tcW w:type="dxa" w:w="2088"/>
          </w:tcPr>
          <w:p>
            <w:pPr>
              <w:spacing w:after="40" w:before="40"/>
            </w:pPr>
            <w:r/>
          </w:p>
          <w:p>
            <w:pPr>
              <w:spacing w:after="40" w:before="0"/>
            </w:pPr>
            <w:r>
              <w:rPr>
                <w:b w:val="0"/>
                <w:i w:val="0"/>
                <w:color w:val="333333"/>
                <w:sz w:val="19"/>
              </w:rPr>
              <w:t>Apache Foundation</w:t>
            </w:r>
          </w:p>
        </w:tc>
        <w:tc>
          <w:tcPr>
            <w:tcW w:type="dxa" w:w="1584"/>
          </w:tcPr>
          <w:p>
            <w:pPr>
              <w:spacing w:after="40" w:before="40"/>
            </w:pPr>
            <w:r/>
          </w:p>
          <w:p>
            <w:pPr>
              <w:spacing w:after="40" w:before="0"/>
            </w:pPr>
            <w:r>
              <w:rPr>
                <w:b w:val="0"/>
                <w:i w:val="0"/>
                <w:color w:val="333333"/>
                <w:sz w:val="19"/>
              </w:rPr>
              <w:t>Web Application</w:t>
            </w:r>
          </w:p>
        </w:tc>
        <w:tc>
          <w:tcPr>
            <w:tcW w:type="dxa" w:w="2520"/>
          </w:tcPr>
          <w:p>
            <w:pPr>
              <w:spacing w:after="40" w:before="40"/>
            </w:pPr>
            <w:r/>
          </w:p>
          <w:p>
            <w:pPr>
              <w:spacing w:after="40" w:before="0"/>
            </w:pPr>
            <w:r>
              <w:rPr>
                <w:b w:val="0"/>
                <w:i w:val="0"/>
                <w:color w:val="333333"/>
                <w:sz w:val="19"/>
              </w:rPr>
              <w:t>Tomcat; MySQL/PostgreSQL; OpenJDK</w:t>
            </w:r>
          </w:p>
        </w:tc>
      </w:tr>
      <w:tr>
        <w:tc>
          <w:tcPr>
            <w:tcW w:type="dxa" w:w="2376"/>
            <w:shd w:val="clear" w:fill="EDF1F8"/>
          </w:tcPr>
          <w:p>
            <w:pPr>
              <w:spacing w:after="40" w:before="40"/>
            </w:pPr>
            <w:r/>
          </w:p>
          <w:p>
            <w:pPr>
              <w:spacing w:after="40" w:before="0"/>
            </w:pPr>
            <w:r>
              <w:rPr>
                <w:b w:val="0"/>
                <w:i w:val="0"/>
                <w:color w:val="333333"/>
                <w:sz w:val="19"/>
              </w:rPr>
              <w:t>OpenSSH</w:t>
            </w:r>
          </w:p>
        </w:tc>
        <w:tc>
          <w:tcPr>
            <w:tcW w:type="dxa" w:w="1296"/>
            <w:shd w:val="clear" w:fill="EDF1F8"/>
          </w:tcPr>
          <w:p>
            <w:pPr>
              <w:spacing w:after="40" w:before="40"/>
            </w:pPr>
            <w:r/>
          </w:p>
          <w:p>
            <w:pPr>
              <w:spacing w:after="40" w:before="0"/>
            </w:pPr>
            <w:r>
              <w:rPr>
                <w:b w:val="0"/>
                <w:i w:val="0"/>
                <w:color w:val="333333"/>
                <w:sz w:val="19"/>
              </w:rPr>
              <w:t>9.8p1</w:t>
            </w:r>
          </w:p>
        </w:tc>
        <w:tc>
          <w:tcPr>
            <w:tcW w:type="dxa" w:w="2088"/>
            <w:shd w:val="clear" w:fill="EDF1F8"/>
          </w:tcPr>
          <w:p>
            <w:pPr>
              <w:spacing w:after="40" w:before="40"/>
            </w:pPr>
            <w:r/>
          </w:p>
          <w:p>
            <w:pPr>
              <w:spacing w:after="40" w:before="0"/>
            </w:pPr>
            <w:r>
              <w:rPr>
                <w:b w:val="0"/>
                <w:i w:val="0"/>
                <w:color w:val="333333"/>
                <w:sz w:val="19"/>
              </w:rPr>
              <w:t>The OpenBSD Project</w:t>
            </w:r>
          </w:p>
        </w:tc>
        <w:tc>
          <w:tcPr>
            <w:tcW w:type="dxa" w:w="1584"/>
            <w:shd w:val="clear" w:fill="EDF1F8"/>
          </w:tcPr>
          <w:p>
            <w:pPr>
              <w:spacing w:after="40" w:before="40"/>
            </w:pPr>
            <w:r/>
          </w:p>
          <w:p>
            <w:pPr>
              <w:spacing w:after="40" w:before="0"/>
            </w:pPr>
            <w:r>
              <w:rPr>
                <w:b w:val="0"/>
                <w:i w:val="0"/>
                <w:color w:val="333333"/>
                <w:sz w:val="19"/>
              </w:rPr>
              <w:t>Library / Application</w:t>
            </w:r>
          </w:p>
        </w:tc>
        <w:tc>
          <w:tcPr>
            <w:tcW w:type="dxa" w:w="2520"/>
            <w:shd w:val="clear" w:fill="EDF1F8"/>
          </w:tcPr>
          <w:p>
            <w:pPr>
              <w:spacing w:after="40" w:before="40"/>
            </w:pPr>
            <w:r/>
          </w:p>
          <w:p>
            <w:pPr>
              <w:spacing w:after="40" w:before="0"/>
            </w:pPr>
            <w:r>
              <w:rPr>
                <w:b w:val="0"/>
                <w:i w:val="0"/>
                <w:color w:val="333333"/>
                <w:sz w:val="19"/>
              </w:rPr>
              <w:t>OpenSSL; zlib</w:t>
            </w:r>
          </w:p>
        </w:tc>
      </w:tr>
      <w:tr>
        <w:tc>
          <w:tcPr>
            <w:tcW w:type="dxa" w:w="2376"/>
          </w:tcPr>
          <w:p>
            <w:pPr>
              <w:spacing w:after="40" w:before="40"/>
            </w:pPr>
            <w:r/>
          </w:p>
          <w:p>
            <w:pPr>
              <w:spacing w:after="40" w:before="0"/>
            </w:pPr>
            <w:r>
              <w:rPr>
                <w:b w:val="0"/>
                <w:i w:val="0"/>
                <w:color w:val="333333"/>
                <w:sz w:val="19"/>
              </w:rPr>
              <w:t>Microsoft SQL Server</w:t>
            </w:r>
          </w:p>
        </w:tc>
        <w:tc>
          <w:tcPr>
            <w:tcW w:type="dxa" w:w="1296"/>
          </w:tcPr>
          <w:p>
            <w:pPr>
              <w:spacing w:after="40" w:before="40"/>
            </w:pPr>
            <w:r/>
          </w:p>
          <w:p>
            <w:pPr>
              <w:spacing w:after="40" w:before="0"/>
            </w:pPr>
            <w:r>
              <w:rPr>
                <w:b w:val="0"/>
                <w:i w:val="0"/>
                <w:color w:val="333333"/>
                <w:sz w:val="19"/>
              </w:rPr>
              <w:t>2019</w:t>
            </w:r>
          </w:p>
        </w:tc>
        <w:tc>
          <w:tcPr>
            <w:tcW w:type="dxa" w:w="2088"/>
          </w:tcPr>
          <w:p>
            <w:pPr>
              <w:spacing w:after="40" w:before="40"/>
            </w:pPr>
            <w:r/>
          </w:p>
          <w:p>
            <w:pPr>
              <w:spacing w:after="40" w:before="0"/>
            </w:pPr>
            <w:r>
              <w:rPr>
                <w:b w:val="0"/>
                <w:i w:val="0"/>
                <w:color w:val="333333"/>
                <w:sz w:val="19"/>
              </w:rPr>
              <w:t>Microsoft Corporation</w:t>
            </w:r>
          </w:p>
        </w:tc>
        <w:tc>
          <w:tcPr>
            <w:tcW w:type="dxa" w:w="1584"/>
          </w:tcPr>
          <w:p>
            <w:pPr>
              <w:spacing w:after="40" w:before="40"/>
            </w:pPr>
            <w:r/>
          </w:p>
          <w:p>
            <w:pPr>
              <w:spacing w:after="40" w:before="0"/>
            </w:pPr>
            <w:r>
              <w:rPr>
                <w:b w:val="0"/>
                <w:i w:val="0"/>
                <w:color w:val="333333"/>
                <w:sz w:val="19"/>
              </w:rPr>
              <w:t>Database Server</w:t>
            </w:r>
          </w:p>
        </w:tc>
        <w:tc>
          <w:tcPr>
            <w:tcW w:type="dxa" w:w="2520"/>
          </w:tcPr>
          <w:p>
            <w:pPr>
              <w:spacing w:after="40" w:before="40"/>
            </w:pPr>
            <w:r/>
          </w:p>
          <w:p>
            <w:pPr>
              <w:spacing w:after="40" w:before="0"/>
            </w:pPr>
            <w:r>
              <w:rPr>
                <w:b w:val="0"/>
                <w:i w:val="0"/>
                <w:color w:val="333333"/>
                <w:sz w:val="19"/>
              </w:rPr>
              <w:t>Windows OS; .NET Framework</w:t>
            </w:r>
          </w:p>
        </w:tc>
      </w:tr>
      <w:tr>
        <w:tc>
          <w:tcPr>
            <w:tcW w:type="dxa" w:w="2376"/>
            <w:shd w:val="clear" w:fill="EDF1F8"/>
          </w:tcPr>
          <w:p>
            <w:pPr>
              <w:spacing w:after="40" w:before="40"/>
            </w:pPr>
            <w:r/>
          </w:p>
          <w:p>
            <w:pPr>
              <w:spacing w:after="40" w:before="0"/>
            </w:pPr>
            <w:r>
              <w:rPr>
                <w:b w:val="0"/>
                <w:i w:val="0"/>
                <w:color w:val="333333"/>
                <w:sz w:val="19"/>
              </w:rPr>
              <w:t>MySQL</w:t>
            </w:r>
          </w:p>
        </w:tc>
        <w:tc>
          <w:tcPr>
            <w:tcW w:type="dxa" w:w="1296"/>
            <w:shd w:val="clear" w:fill="EDF1F8"/>
          </w:tcPr>
          <w:p>
            <w:pPr>
              <w:spacing w:after="40" w:before="40"/>
            </w:pPr>
            <w:r/>
          </w:p>
          <w:p>
            <w:pPr>
              <w:spacing w:after="40" w:before="0"/>
            </w:pPr>
            <w:r>
              <w:rPr>
                <w:b w:val="0"/>
                <w:i w:val="0"/>
                <w:color w:val="333333"/>
                <w:sz w:val="19"/>
              </w:rPr>
              <w:t>8.4.7</w:t>
            </w:r>
          </w:p>
        </w:tc>
        <w:tc>
          <w:tcPr>
            <w:tcW w:type="dxa" w:w="2088"/>
            <w:shd w:val="clear" w:fill="EDF1F8"/>
          </w:tcPr>
          <w:p>
            <w:pPr>
              <w:spacing w:after="40" w:before="40"/>
            </w:pPr>
            <w:r/>
          </w:p>
          <w:p>
            <w:pPr>
              <w:spacing w:after="40" w:before="0"/>
            </w:pPr>
            <w:r>
              <w:rPr>
                <w:b w:val="0"/>
                <w:i w:val="0"/>
                <w:color w:val="333333"/>
                <w:sz w:val="19"/>
              </w:rPr>
              <w:t>Oracle Corporation</w:t>
            </w:r>
          </w:p>
        </w:tc>
        <w:tc>
          <w:tcPr>
            <w:tcW w:type="dxa" w:w="1584"/>
            <w:shd w:val="clear" w:fill="EDF1F8"/>
          </w:tcPr>
          <w:p>
            <w:pPr>
              <w:spacing w:after="40" w:before="40"/>
            </w:pPr>
            <w:r/>
          </w:p>
          <w:p>
            <w:pPr>
              <w:spacing w:after="40" w:before="0"/>
            </w:pPr>
            <w:r>
              <w:rPr>
                <w:b w:val="0"/>
                <w:i w:val="0"/>
                <w:color w:val="333333"/>
                <w:sz w:val="19"/>
              </w:rPr>
              <w:t>Database Server</w:t>
            </w:r>
          </w:p>
        </w:tc>
        <w:tc>
          <w:tcPr>
            <w:tcW w:type="dxa" w:w="2520"/>
            <w:shd w:val="clear" w:fill="EDF1F8"/>
          </w:tcPr>
          <w:p>
            <w:pPr>
              <w:spacing w:after="40" w:before="40"/>
            </w:pPr>
            <w:r/>
          </w:p>
          <w:p>
            <w:pPr>
              <w:spacing w:after="40" w:before="0"/>
            </w:pPr>
            <w:r>
              <w:rPr>
                <w:b w:val="0"/>
                <w:i w:val="0"/>
                <w:color w:val="333333"/>
                <w:sz w:val="19"/>
              </w:rPr>
              <w:t>OpenSSL; zlib</w:t>
            </w:r>
          </w:p>
        </w:tc>
      </w:tr>
      <w:tr>
        <w:tc>
          <w:tcPr>
            <w:tcW w:type="dxa" w:w="2376"/>
          </w:tcPr>
          <w:p>
            <w:pPr>
              <w:spacing w:after="40" w:before="40"/>
            </w:pPr>
            <w:r/>
          </w:p>
          <w:p>
            <w:pPr>
              <w:spacing w:after="40" w:before="0"/>
            </w:pPr>
            <w:r>
              <w:rPr>
                <w:b w:val="0"/>
                <w:i w:val="0"/>
                <w:color w:val="333333"/>
                <w:sz w:val="19"/>
              </w:rPr>
              <w:t>Squid</w:t>
            </w:r>
          </w:p>
        </w:tc>
        <w:tc>
          <w:tcPr>
            <w:tcW w:type="dxa" w:w="1296"/>
          </w:tcPr>
          <w:p>
            <w:pPr>
              <w:spacing w:after="40" w:before="40"/>
            </w:pPr>
            <w:r/>
          </w:p>
          <w:p>
            <w:pPr>
              <w:spacing w:after="40" w:before="0"/>
            </w:pPr>
            <w:r>
              <w:rPr>
                <w:b w:val="0"/>
                <w:i w:val="0"/>
                <w:color w:val="333333"/>
                <w:sz w:val="19"/>
              </w:rPr>
              <w:t>5.x (OS-dependent)</w:t>
            </w:r>
          </w:p>
        </w:tc>
        <w:tc>
          <w:tcPr>
            <w:tcW w:type="dxa" w:w="2088"/>
          </w:tcPr>
          <w:p>
            <w:pPr>
              <w:spacing w:after="40" w:before="40"/>
            </w:pPr>
            <w:r/>
          </w:p>
          <w:p>
            <w:pPr>
              <w:spacing w:after="40" w:before="0"/>
            </w:pPr>
            <w:r>
              <w:rPr>
                <w:b w:val="0"/>
                <w:i w:val="0"/>
                <w:color w:val="333333"/>
                <w:sz w:val="19"/>
              </w:rPr>
              <w:t>Squid Software Foundation</w:t>
            </w:r>
          </w:p>
        </w:tc>
        <w:tc>
          <w:tcPr>
            <w:tcW w:type="dxa" w:w="1584"/>
          </w:tcPr>
          <w:p>
            <w:pPr>
              <w:spacing w:after="40" w:before="40"/>
            </w:pPr>
            <w:r/>
          </w:p>
          <w:p>
            <w:pPr>
              <w:spacing w:after="40" w:before="0"/>
            </w:pPr>
            <w:r>
              <w:rPr>
                <w:b w:val="0"/>
                <w:i w:val="0"/>
                <w:color w:val="333333"/>
                <w:sz w:val="19"/>
              </w:rPr>
              <w:t>Proxy Server</w:t>
            </w:r>
          </w:p>
        </w:tc>
        <w:tc>
          <w:tcPr>
            <w:tcW w:type="dxa" w:w="2520"/>
          </w:tcPr>
          <w:p>
            <w:pPr>
              <w:spacing w:after="40" w:before="40"/>
            </w:pPr>
            <w:r/>
          </w:p>
          <w:p>
            <w:pPr>
              <w:spacing w:after="40" w:before="0"/>
            </w:pPr>
            <w:r>
              <w:rPr>
                <w:b w:val="0"/>
                <w:i w:val="0"/>
                <w:color w:val="333333"/>
                <w:sz w:val="19"/>
              </w:rPr>
              <w:t>OpenSSL; libxml2; libcap; system libraries</w:t>
            </w:r>
          </w:p>
        </w:tc>
      </w:tr>
      <w:tr>
        <w:tc>
          <w:tcPr>
            <w:tcW w:type="dxa" w:w="2376"/>
            <w:shd w:val="clear" w:fill="EDF1F8"/>
          </w:tcPr>
          <w:p>
            <w:pPr>
              <w:spacing w:after="40" w:before="40"/>
            </w:pPr>
            <w:r/>
          </w:p>
          <w:p>
            <w:pPr>
              <w:spacing w:after="40" w:before="0"/>
            </w:pPr>
            <w:r>
              <w:rPr>
                <w:b w:val="0"/>
                <w:i w:val="0"/>
                <w:color w:val="333333"/>
                <w:sz w:val="19"/>
              </w:rPr>
              <w:t>Apache Ignite</w:t>
            </w:r>
          </w:p>
        </w:tc>
        <w:tc>
          <w:tcPr>
            <w:tcW w:type="dxa" w:w="1296"/>
            <w:shd w:val="clear" w:fill="EDF1F8"/>
          </w:tcPr>
          <w:p>
            <w:pPr>
              <w:spacing w:after="40" w:before="40"/>
            </w:pPr>
            <w:r/>
          </w:p>
          <w:p>
            <w:pPr>
              <w:spacing w:after="40" w:before="0"/>
            </w:pPr>
            <w:r>
              <w:rPr>
                <w:b w:val="0"/>
                <w:i w:val="0"/>
                <w:color w:val="333333"/>
                <w:sz w:val="19"/>
              </w:rPr>
              <w:t>2.17.0</w:t>
            </w:r>
          </w:p>
        </w:tc>
        <w:tc>
          <w:tcPr>
            <w:tcW w:type="dxa" w:w="2088"/>
            <w:shd w:val="clear" w:fill="EDF1F8"/>
          </w:tcPr>
          <w:p>
            <w:pPr>
              <w:spacing w:after="40" w:before="40"/>
            </w:pPr>
            <w:r/>
          </w:p>
          <w:p>
            <w:pPr>
              <w:spacing w:after="40" w:before="0"/>
            </w:pPr>
            <w:r>
              <w:rPr>
                <w:b w:val="0"/>
                <w:i w:val="0"/>
                <w:color w:val="333333"/>
                <w:sz w:val="19"/>
              </w:rPr>
              <w:t>Apache Software Foundation</w:t>
            </w:r>
          </w:p>
        </w:tc>
        <w:tc>
          <w:tcPr>
            <w:tcW w:type="dxa" w:w="1584"/>
            <w:shd w:val="clear" w:fill="EDF1F8"/>
          </w:tcPr>
          <w:p>
            <w:pPr>
              <w:spacing w:after="40" w:before="40"/>
            </w:pPr>
            <w:r/>
          </w:p>
          <w:p>
            <w:pPr>
              <w:spacing w:after="40" w:before="0"/>
            </w:pPr>
            <w:r>
              <w:rPr>
                <w:b w:val="0"/>
                <w:i w:val="0"/>
                <w:color w:val="333333"/>
                <w:sz w:val="19"/>
              </w:rPr>
              <w:t>Distributed DB / Compute</w:t>
            </w:r>
          </w:p>
        </w:tc>
        <w:tc>
          <w:tcPr>
            <w:tcW w:type="dxa" w:w="2520"/>
            <w:shd w:val="clear" w:fill="EDF1F8"/>
          </w:tcPr>
          <w:p>
            <w:pPr>
              <w:spacing w:after="40" w:before="40"/>
            </w:pPr>
            <w:r/>
          </w:p>
          <w:p>
            <w:pPr>
              <w:spacing w:after="40" w:before="0"/>
            </w:pPr>
            <w:r>
              <w:rPr>
                <w:b w:val="0"/>
                <w:i w:val="0"/>
                <w:color w:val="333333"/>
                <w:sz w:val="19"/>
              </w:rPr>
              <w:t>Java runtime; Ignite modules</w:t>
            </w:r>
          </w:p>
        </w:tc>
      </w:tr>
      <w:tr>
        <w:tc>
          <w:tcPr>
            <w:tcW w:type="dxa" w:w="2376"/>
          </w:tcPr>
          <w:p>
            <w:pPr>
              <w:spacing w:after="40" w:before="40"/>
            </w:pPr>
            <w:r/>
          </w:p>
          <w:p>
            <w:pPr>
              <w:spacing w:after="40" w:before="0"/>
            </w:pPr>
            <w:r>
              <w:rPr>
                <w:b w:val="0"/>
                <w:i w:val="0"/>
                <w:color w:val="333333"/>
                <w:sz w:val="19"/>
              </w:rPr>
              <w:t>Apache Kafka</w:t>
            </w:r>
          </w:p>
        </w:tc>
        <w:tc>
          <w:tcPr>
            <w:tcW w:type="dxa" w:w="1296"/>
          </w:tcPr>
          <w:p>
            <w:pPr>
              <w:spacing w:after="40" w:before="40"/>
            </w:pPr>
            <w:r/>
          </w:p>
          <w:p>
            <w:pPr>
              <w:spacing w:after="40" w:before="0"/>
            </w:pPr>
            <w:r>
              <w:rPr>
                <w:b w:val="0"/>
                <w:i w:val="0"/>
                <w:color w:val="333333"/>
                <w:sz w:val="19"/>
              </w:rPr>
              <w:t>3.7.0</w:t>
            </w:r>
          </w:p>
        </w:tc>
        <w:tc>
          <w:tcPr>
            <w:tcW w:type="dxa" w:w="2088"/>
          </w:tcPr>
          <w:p>
            <w:pPr>
              <w:spacing w:after="40" w:before="40"/>
            </w:pPr>
            <w:r/>
          </w:p>
          <w:p>
            <w:pPr>
              <w:spacing w:after="40" w:before="0"/>
            </w:pPr>
            <w:r>
              <w:rPr>
                <w:b w:val="0"/>
                <w:i w:val="0"/>
                <w:color w:val="333333"/>
                <w:sz w:val="19"/>
              </w:rPr>
              <w:t>Apache Software Foundation</w:t>
            </w:r>
          </w:p>
        </w:tc>
        <w:tc>
          <w:tcPr>
            <w:tcW w:type="dxa" w:w="1584"/>
          </w:tcPr>
          <w:p>
            <w:pPr>
              <w:spacing w:after="40" w:before="40"/>
            </w:pPr>
            <w:r/>
          </w:p>
          <w:p>
            <w:pPr>
              <w:spacing w:after="40" w:before="0"/>
            </w:pPr>
            <w:r>
              <w:rPr>
                <w:b w:val="0"/>
                <w:i w:val="0"/>
                <w:color w:val="333333"/>
                <w:sz w:val="19"/>
              </w:rPr>
              <w:t>Event Streaming Platform</w:t>
            </w:r>
          </w:p>
        </w:tc>
        <w:tc>
          <w:tcPr>
            <w:tcW w:type="dxa" w:w="2520"/>
          </w:tcPr>
          <w:p>
            <w:pPr>
              <w:spacing w:after="40" w:before="40"/>
            </w:pPr>
            <w:r/>
          </w:p>
          <w:p>
            <w:pPr>
              <w:spacing w:after="40" w:before="0"/>
            </w:pPr>
            <w:r>
              <w:rPr>
                <w:b w:val="0"/>
                <w:i w:val="0"/>
                <w:color w:val="333333"/>
                <w:sz w:val="19"/>
              </w:rPr>
              <w:t>Java Runtime; Zookeeper; log4j 2.x</w:t>
            </w:r>
          </w:p>
        </w:tc>
      </w:tr>
      <w:tr>
        <w:tc>
          <w:tcPr>
            <w:tcW w:type="dxa" w:w="2376"/>
            <w:shd w:val="clear" w:fill="EDF1F8"/>
          </w:tcPr>
          <w:p>
            <w:pPr>
              <w:spacing w:after="40" w:before="40"/>
            </w:pPr>
            <w:r/>
          </w:p>
          <w:p>
            <w:pPr>
              <w:spacing w:after="40" w:before="0"/>
            </w:pPr>
            <w:r>
              <w:rPr>
                <w:b w:val="0"/>
                <w:i w:val="0"/>
                <w:color w:val="333333"/>
                <w:sz w:val="19"/>
              </w:rPr>
              <w:t>Redis</w:t>
            </w:r>
          </w:p>
        </w:tc>
        <w:tc>
          <w:tcPr>
            <w:tcW w:type="dxa" w:w="1296"/>
            <w:shd w:val="clear" w:fill="EDF1F8"/>
          </w:tcPr>
          <w:p>
            <w:pPr>
              <w:spacing w:after="40" w:before="40"/>
            </w:pPr>
            <w:r/>
          </w:p>
          <w:p>
            <w:pPr>
              <w:spacing w:after="40" w:before="0"/>
            </w:pPr>
            <w:r>
              <w:rPr>
                <w:b w:val="0"/>
                <w:i w:val="0"/>
                <w:color w:val="333333"/>
                <w:sz w:val="19"/>
              </w:rPr>
              <w:t>7.4.1</w:t>
            </w:r>
          </w:p>
        </w:tc>
        <w:tc>
          <w:tcPr>
            <w:tcW w:type="dxa" w:w="2088"/>
            <w:shd w:val="clear" w:fill="EDF1F8"/>
          </w:tcPr>
          <w:p>
            <w:pPr>
              <w:spacing w:after="40" w:before="40"/>
            </w:pPr>
            <w:r/>
          </w:p>
          <w:p>
            <w:pPr>
              <w:spacing w:after="40" w:before="0"/>
            </w:pPr>
            <w:r>
              <w:rPr>
                <w:b w:val="0"/>
                <w:i w:val="0"/>
                <w:color w:val="333333"/>
                <w:sz w:val="19"/>
              </w:rPr>
              <w:t>Redis Labs</w:t>
            </w:r>
          </w:p>
        </w:tc>
        <w:tc>
          <w:tcPr>
            <w:tcW w:type="dxa" w:w="1584"/>
            <w:shd w:val="clear" w:fill="EDF1F8"/>
          </w:tcPr>
          <w:p>
            <w:pPr>
              <w:spacing w:after="40" w:before="40"/>
            </w:pPr>
            <w:r/>
          </w:p>
          <w:p>
            <w:pPr>
              <w:spacing w:after="40" w:before="0"/>
            </w:pPr>
            <w:r>
              <w:rPr>
                <w:b w:val="0"/>
                <w:i w:val="0"/>
                <w:color w:val="333333"/>
                <w:sz w:val="19"/>
              </w:rPr>
              <w:t>In-memory DB / Cache</w:t>
            </w:r>
          </w:p>
        </w:tc>
        <w:tc>
          <w:tcPr>
            <w:tcW w:type="dxa" w:w="2520"/>
            <w:shd w:val="clear" w:fill="EDF1F8"/>
          </w:tcPr>
          <w:p>
            <w:pPr>
              <w:spacing w:after="40" w:before="40"/>
            </w:pPr>
            <w:r/>
          </w:p>
          <w:p>
            <w:pPr>
              <w:spacing w:after="40" w:before="0"/>
            </w:pPr>
            <w:r>
              <w:rPr>
                <w:b w:val="0"/>
                <w:i w:val="0"/>
                <w:color w:val="333333"/>
                <w:sz w:val="19"/>
              </w:rPr>
              <w:t>libc; openssl (optional); jemalloc</w:t>
            </w:r>
          </w:p>
        </w:tc>
      </w:tr>
    </w:tbl>
    <w:p>
      <w:pPr>
        <w:spacing w:after="40"/>
      </w:pPr>
    </w:p>
    <w:p>
      <w:pPr>
        <w:pStyle w:val="Heading1"/>
      </w:pPr>
      <w:r>
        <w:t>5.  Supported Versions and End-of-Life Matrix</w:t>
      </w:r>
    </w:p>
    <w:p>
      <w:pPr>
        <w:spacing w:after="80"/>
      </w:pPr>
      <w:r>
        <w:rPr>
          <w:i w:val="0"/>
          <w:color w:val="333333"/>
          <w:sz w:val="21"/>
        </w:rPr>
        <w:t>Versions the platform ships with or is compatible with, alongside end-of-life commitments. EOL dates are as published by each vendor and should be re-verified before every release.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160"/>
            <w:shd w:val="clear" w:fill="1F4E79"/>
          </w:tcPr>
          <w:p>
            <w:pPr>
              <w:spacing w:after="40" w:before="40"/>
            </w:pPr>
            <w:r/>
          </w:p>
          <w:p>
            <w:pPr>
              <w:spacing w:after="40" w:before="0"/>
            </w:pPr>
            <w:r>
              <w:rPr>
                <w:b/>
                <w:i w:val="0"/>
                <w:color w:val="FFFFFF"/>
                <w:sz w:val="19"/>
              </w:rPr>
              <w:t>Component</w:t>
            </w:r>
          </w:p>
        </w:tc>
        <w:tc>
          <w:tcPr>
            <w:tcW w:type="dxa" w:w="4104"/>
            <w:shd w:val="clear" w:fill="1F4E79"/>
          </w:tcPr>
          <w:p>
            <w:pPr>
              <w:spacing w:after="40" w:before="40"/>
            </w:pPr>
            <w:r/>
          </w:p>
          <w:p>
            <w:pPr>
              <w:spacing w:after="40" w:before="0"/>
            </w:pPr>
            <w:r>
              <w:rPr>
                <w:b/>
                <w:i w:val="0"/>
                <w:color w:val="FFFFFF"/>
                <w:sz w:val="19"/>
              </w:rPr>
              <w:t>Currently Supported Versions</w:t>
            </w:r>
          </w:p>
        </w:tc>
        <w:tc>
          <w:tcPr>
            <w:tcW w:type="dxa" w:w="3744"/>
            <w:shd w:val="clear" w:fill="1F4E79"/>
          </w:tcPr>
          <w:p>
            <w:pPr>
              <w:spacing w:after="40" w:before="40"/>
            </w:pPr>
            <w:r/>
          </w:p>
          <w:p>
            <w:pPr>
              <w:spacing w:after="40" w:before="0"/>
            </w:pPr>
            <w:r>
              <w:rPr>
                <w:b/>
                <w:i w:val="0"/>
                <w:color w:val="FFFFFF"/>
                <w:sz w:val="19"/>
              </w:rPr>
              <w:t>End of Life / End of Support</w:t>
            </w:r>
          </w:p>
        </w:tc>
      </w:tr>
      <w:tr>
        <w:tc>
          <w:tcPr>
            <w:tcW w:type="dxa" w:w="2160"/>
            <w:vMerge w:val="restart"/>
          </w:tcPr>
          <w:p>
            <w:pPr>
              <w:spacing w:after="40" w:before="40"/>
            </w:pPr>
            <w:r/>
          </w:p>
          <w:p>
            <w:pPr>
              <w:spacing w:after="40" w:before="0"/>
            </w:pPr>
            <w:r>
              <w:rPr>
                <w:b/>
                <w:i w:val="0"/>
                <w:color w:val="333333"/>
                <w:sz w:val="19"/>
              </w:rPr>
              <w:t>.NET Framework</w:t>
            </w:r>
          </w:p>
          <w:p>
            <w:pPr>
              <w:spacing w:after="40" w:before="40"/>
            </w:pPr>
            <w:r/>
          </w:p>
          <w:p>
            <w:pPr>
              <w:spacing w:after="40" w:before="0"/>
            </w:pPr>
            <w:r>
              <w:rPr>
                <w:b w:val="0"/>
                <w:i w:val="0"/>
                <w:color w:val="333333"/>
                <w:sz w:val="19"/>
              </w:rPr>
            </w:r>
          </w:p>
          <w:p>
            <w:pPr>
              <w:spacing w:after="40" w:before="40"/>
            </w:pPr>
            <w:r/>
          </w:p>
          <w:p>
            <w:pPr>
              <w:spacing w:after="40" w:before="0"/>
            </w:pPr>
            <w:r>
              <w:rPr>
                <w:b w:val="0"/>
                <w:i w:val="0"/>
                <w:color w:val="333333"/>
                <w:sz w:val="19"/>
              </w:rPr>
            </w:r>
          </w:p>
          <w:p>
            <w:pPr>
              <w:spacing w:after="40" w:before="40"/>
            </w:pPr>
            <w:r/>
          </w:p>
          <w:p>
            <w:pPr>
              <w:spacing w:after="40" w:before="0"/>
            </w:pPr>
            <w:r>
              <w:rPr>
                <w:b w:val="0"/>
                <w:i w:val="0"/>
                <w:color w:val="333333"/>
                <w:sz w:val="19"/>
              </w:rPr>
            </w:r>
          </w:p>
          <w:p>
            <w:pPr>
              <w:spacing w:after="40" w:before="40"/>
            </w:pPr>
            <w:r/>
          </w:p>
          <w:p>
            <w:pPr>
              <w:spacing w:after="40" w:before="0"/>
            </w:pPr>
            <w:r>
              <w:rPr>
                <w:b w:val="0"/>
                <w:i w:val="0"/>
                <w:color w:val="333333"/>
                <w:sz w:val="19"/>
              </w:rPr>
            </w:r>
          </w:p>
        </w:tc>
        <w:tc>
          <w:tcPr>
            <w:tcW w:type="dxa" w:w="4104"/>
          </w:tcPr>
          <w:p>
            <w:pPr>
              <w:spacing w:after="40" w:before="40"/>
            </w:pPr>
            <w:r/>
          </w:p>
          <w:p>
            <w:pPr>
              <w:spacing w:after="40" w:before="0"/>
            </w:pPr>
            <w:r>
              <w:rPr>
                <w:b w:val="0"/>
                <w:i w:val="0"/>
                <w:color w:val="333333"/>
                <w:sz w:val="19"/>
              </w:rPr>
              <w:t>4.8.1</w:t>
            </w:r>
          </w:p>
        </w:tc>
        <w:tc>
          <w:tcPr>
            <w:tcW w:type="dxa" w:w="3744"/>
          </w:tcPr>
          <w:p>
            <w:pPr>
              <w:spacing w:after="40" w:before="40"/>
            </w:pPr>
            <w:r/>
          </w:p>
          <w:p>
            <w:pPr>
              <w:spacing w:after="40" w:before="0"/>
            </w:pPr>
            <w:r>
              <w:rPr>
                <w:b w:val="0"/>
                <w:i w:val="0"/>
                <w:color w:val="333333"/>
                <w:sz w:val="19"/>
              </w:rPr>
              <w:t>Indefinite (tied to Windows OS lifecycle)</w:t>
            </w:r>
          </w:p>
        </w:tc>
      </w:tr>
      <w:tr>
        <w:tc>
          <w:tcPr>
            <w:tcW w:type="dxa" w:w="2160"/>
            <w:vMerge/>
            <w:shd w:val="clear" w:fill="EDF1F8"/>
          </w:tcPr>
          <w:p/>
        </w:tc>
        <w:tc>
          <w:tcPr>
            <w:tcW w:type="dxa" w:w="4104"/>
            <w:shd w:val="clear" w:fill="EDF1F8"/>
          </w:tcPr>
          <w:p>
            <w:pPr>
              <w:spacing w:after="40" w:before="40"/>
            </w:pPr>
            <w:r/>
          </w:p>
          <w:p>
            <w:pPr>
              <w:spacing w:after="40" w:before="0"/>
            </w:pPr>
            <w:r>
              <w:rPr>
                <w:b w:val="0"/>
                <w:i w:val="0"/>
                <w:color w:val="333333"/>
                <w:sz w:val="19"/>
              </w:rPr>
              <w:t>4.8</w:t>
            </w:r>
          </w:p>
        </w:tc>
        <w:tc>
          <w:tcPr>
            <w:tcW w:type="dxa" w:w="3744"/>
            <w:shd w:val="clear" w:fill="EDF1F8"/>
          </w:tcPr>
          <w:p>
            <w:pPr>
              <w:spacing w:after="40" w:before="40"/>
            </w:pPr>
            <w:r/>
          </w:p>
          <w:p>
            <w:pPr>
              <w:spacing w:after="40" w:before="0"/>
            </w:pPr>
            <w:r>
              <w:rPr>
                <w:b w:val="0"/>
                <w:i w:val="0"/>
                <w:color w:val="333333"/>
                <w:sz w:val="19"/>
              </w:rPr>
              <w:t>Indefinite (tied to Windows OS lifecycle)</w:t>
            </w:r>
          </w:p>
        </w:tc>
      </w:tr>
      <w:tr>
        <w:tc>
          <w:tcPr>
            <w:tcW w:type="dxa" w:w="2160"/>
            <w:vMerge/>
          </w:tcPr>
          <w:p/>
        </w:tc>
        <w:tc>
          <w:tcPr>
            <w:tcW w:type="dxa" w:w="4104"/>
          </w:tcPr>
          <w:p>
            <w:pPr>
              <w:spacing w:after="40" w:before="40"/>
            </w:pPr>
            <w:r/>
          </w:p>
          <w:p>
            <w:pPr>
              <w:spacing w:after="40" w:before="0"/>
            </w:pPr>
            <w:r>
              <w:rPr>
                <w:b w:val="0"/>
                <w:i w:val="0"/>
                <w:color w:val="333333"/>
                <w:sz w:val="19"/>
              </w:rPr>
              <w:t>4.7.2 / 4.7.1 / 4.7</w:t>
            </w:r>
          </w:p>
        </w:tc>
        <w:tc>
          <w:tcPr>
            <w:tcW w:type="dxa" w:w="3744"/>
          </w:tcPr>
          <w:p>
            <w:pPr>
              <w:spacing w:after="40" w:before="40"/>
            </w:pPr>
            <w:r/>
          </w:p>
          <w:p>
            <w:pPr>
              <w:spacing w:after="40" w:before="0"/>
            </w:pPr>
            <w:r>
              <w:rPr>
                <w:b w:val="0"/>
                <w:i w:val="0"/>
                <w:color w:val="333333"/>
                <w:sz w:val="19"/>
              </w:rPr>
              <w:t>Indefinite (tied to Windows OS lifecycle)</w:t>
            </w:r>
          </w:p>
        </w:tc>
      </w:tr>
      <w:tr>
        <w:tc>
          <w:tcPr>
            <w:tcW w:type="dxa" w:w="2160"/>
            <w:vMerge/>
            <w:shd w:val="clear" w:fill="EDF1F8"/>
          </w:tcPr>
          <w:p/>
        </w:tc>
        <w:tc>
          <w:tcPr>
            <w:tcW w:type="dxa" w:w="4104"/>
            <w:shd w:val="clear" w:fill="EDF1F8"/>
          </w:tcPr>
          <w:p>
            <w:pPr>
              <w:spacing w:after="40" w:before="40"/>
            </w:pPr>
            <w:r/>
          </w:p>
          <w:p>
            <w:pPr>
              <w:spacing w:after="40" w:before="0"/>
            </w:pPr>
            <w:r>
              <w:rPr>
                <w:b w:val="0"/>
                <w:i w:val="0"/>
                <w:color w:val="333333"/>
                <w:sz w:val="19"/>
              </w:rPr>
              <w:t>4.6.2</w:t>
            </w:r>
          </w:p>
        </w:tc>
        <w:tc>
          <w:tcPr>
            <w:tcW w:type="dxa" w:w="3744"/>
            <w:shd w:val="clear" w:fill="EDF1F8"/>
          </w:tcPr>
          <w:p>
            <w:pPr>
              <w:spacing w:after="40" w:before="40"/>
            </w:pPr>
            <w:r/>
          </w:p>
          <w:p>
            <w:pPr>
              <w:spacing w:after="40" w:before="0"/>
            </w:pPr>
            <w:r>
              <w:rPr>
                <w:b w:val="0"/>
                <w:i w:val="0"/>
                <w:color w:val="333333"/>
                <w:sz w:val="19"/>
              </w:rPr>
              <w:t>End of support: January 12, 2027</w:t>
            </w:r>
          </w:p>
        </w:tc>
      </w:tr>
      <w:tr>
        <w:tc>
          <w:tcPr>
            <w:tcW w:type="dxa" w:w="2160"/>
            <w:vMerge/>
          </w:tcPr>
          <w:p/>
        </w:tc>
        <w:tc>
          <w:tcPr>
            <w:tcW w:type="dxa" w:w="4104"/>
          </w:tcPr>
          <w:p>
            <w:pPr>
              <w:spacing w:after="40" w:before="40"/>
            </w:pPr>
            <w:r/>
          </w:p>
          <w:p>
            <w:pPr>
              <w:spacing w:after="40" w:before="0"/>
            </w:pPr>
            <w:r>
              <w:rPr>
                <w:b w:val="0"/>
                <w:i w:val="0"/>
                <w:color w:val="333333"/>
                <w:sz w:val="19"/>
              </w:rPr>
              <w:t>3.5 SP1</w:t>
            </w:r>
          </w:p>
        </w:tc>
        <w:tc>
          <w:tcPr>
            <w:tcW w:type="dxa" w:w="3744"/>
          </w:tcPr>
          <w:p>
            <w:pPr>
              <w:spacing w:after="40" w:before="40"/>
            </w:pPr>
            <w:r/>
          </w:p>
          <w:p>
            <w:pPr>
              <w:spacing w:after="40" w:before="0"/>
            </w:pPr>
            <w:r>
              <w:rPr>
                <w:b w:val="0"/>
                <w:i w:val="0"/>
                <w:color w:val="333333"/>
                <w:sz w:val="19"/>
              </w:rPr>
              <w:t>End of support: January 9, 2029</w:t>
            </w:r>
          </w:p>
        </w:tc>
      </w:tr>
      <w:tr>
        <w:tc>
          <w:tcPr>
            <w:tcW w:type="dxa" w:w="2160"/>
            <w:vMerge w:val="restart"/>
            <w:shd w:val="clear" w:fill="EDF1F8"/>
          </w:tcPr>
          <w:p>
            <w:pPr>
              <w:spacing w:after="40" w:before="40"/>
            </w:pPr>
            <w:r/>
          </w:p>
          <w:p>
            <w:pPr>
              <w:spacing w:after="40" w:before="0"/>
            </w:pPr>
            <w:r>
              <w:rPr>
                <w:b/>
                <w:i w:val="0"/>
                <w:color w:val="333333"/>
                <w:sz w:val="19"/>
              </w:rPr>
              <w:t>.NET (Cross-platform SDK)</w:t>
            </w:r>
          </w:p>
          <w:p>
            <w:pPr>
              <w:spacing w:after="40" w:before="40"/>
            </w:pPr>
            <w:r/>
          </w:p>
          <w:p>
            <w:pPr>
              <w:spacing w:after="40" w:before="0"/>
            </w:pPr>
            <w:r>
              <w:rPr>
                <w:b w:val="0"/>
                <w:i w:val="0"/>
                <w:color w:val="333333"/>
                <w:sz w:val="19"/>
              </w:rPr>
            </w:r>
          </w:p>
          <w:p>
            <w:pPr>
              <w:spacing w:after="40" w:before="40"/>
            </w:pPr>
            <w:r/>
          </w:p>
          <w:p>
            <w:pPr>
              <w:spacing w:after="40" w:before="0"/>
            </w:pPr>
            <w:r>
              <w:rPr>
                <w:b w:val="0"/>
                <w:i w:val="0"/>
                <w:color w:val="333333"/>
                <w:sz w:val="19"/>
              </w:rPr>
            </w:r>
          </w:p>
        </w:tc>
        <w:tc>
          <w:tcPr>
            <w:tcW w:type="dxa" w:w="4104"/>
            <w:shd w:val="clear" w:fill="EDF1F8"/>
          </w:tcPr>
          <w:p>
            <w:pPr>
              <w:spacing w:after="40" w:before="40"/>
            </w:pPr>
            <w:r/>
          </w:p>
          <w:p>
            <w:pPr>
              <w:spacing w:after="40" w:before="0"/>
            </w:pPr>
            <w:r>
              <w:rPr>
                <w:b w:val="0"/>
                <w:i w:val="0"/>
                <w:color w:val="333333"/>
                <w:sz w:val="19"/>
              </w:rPr>
              <w:t>.NET 10 (LTS)</w:t>
            </w:r>
          </w:p>
        </w:tc>
        <w:tc>
          <w:tcPr>
            <w:tcW w:type="dxa" w:w="3744"/>
            <w:shd w:val="clear" w:fill="EDF1F8"/>
          </w:tcPr>
          <w:p>
            <w:pPr>
              <w:spacing w:after="40" w:before="40"/>
            </w:pPr>
            <w:r/>
          </w:p>
          <w:p>
            <w:pPr>
              <w:spacing w:after="40" w:before="0"/>
            </w:pPr>
            <w:r>
              <w:rPr>
                <w:b w:val="0"/>
                <w:i w:val="0"/>
                <w:color w:val="333333"/>
                <w:sz w:val="19"/>
              </w:rPr>
              <w:t>End of support: November 14, 2028</w:t>
            </w:r>
          </w:p>
        </w:tc>
      </w:tr>
      <w:tr>
        <w:tc>
          <w:tcPr>
            <w:tcW w:type="dxa" w:w="2160"/>
            <w:vMerge/>
          </w:tcPr>
          <w:p/>
        </w:tc>
        <w:tc>
          <w:tcPr>
            <w:tcW w:type="dxa" w:w="4104"/>
          </w:tcPr>
          <w:p>
            <w:pPr>
              <w:spacing w:after="40" w:before="40"/>
            </w:pPr>
            <w:r/>
          </w:p>
          <w:p>
            <w:pPr>
              <w:spacing w:after="40" w:before="0"/>
            </w:pPr>
            <w:r>
              <w:rPr>
                <w:b w:val="0"/>
                <w:i w:val="0"/>
                <w:color w:val="333333"/>
                <w:sz w:val="19"/>
              </w:rPr>
              <w:t>.NET 9 (STS)</w:t>
            </w:r>
          </w:p>
        </w:tc>
        <w:tc>
          <w:tcPr>
            <w:tcW w:type="dxa" w:w="3744"/>
          </w:tcPr>
          <w:p>
            <w:pPr>
              <w:spacing w:after="40" w:before="40"/>
            </w:pPr>
            <w:r/>
          </w:p>
          <w:p>
            <w:pPr>
              <w:spacing w:after="40" w:before="0"/>
            </w:pPr>
            <w:r>
              <w:rPr>
                <w:b w:val="0"/>
                <w:i w:val="0"/>
                <w:color w:val="333333"/>
                <w:sz w:val="19"/>
              </w:rPr>
              <w:t>End of support: November 10, 2026</w:t>
            </w:r>
          </w:p>
        </w:tc>
      </w:tr>
      <w:tr>
        <w:tc>
          <w:tcPr>
            <w:tcW w:type="dxa" w:w="2160"/>
            <w:vMerge/>
            <w:shd w:val="clear" w:fill="EDF1F8"/>
          </w:tcPr>
          <w:p/>
        </w:tc>
        <w:tc>
          <w:tcPr>
            <w:tcW w:type="dxa" w:w="4104"/>
            <w:shd w:val="clear" w:fill="EDF1F8"/>
          </w:tcPr>
          <w:p>
            <w:pPr>
              <w:spacing w:after="40" w:before="40"/>
            </w:pPr>
            <w:r/>
          </w:p>
          <w:p>
            <w:pPr>
              <w:spacing w:after="40" w:before="0"/>
            </w:pPr>
            <w:r>
              <w:rPr>
                <w:b w:val="0"/>
                <w:i w:val="0"/>
                <w:color w:val="333333"/>
                <w:sz w:val="19"/>
              </w:rPr>
              <w:t>.NET 8 (LTS)</w:t>
            </w:r>
          </w:p>
        </w:tc>
        <w:tc>
          <w:tcPr>
            <w:tcW w:type="dxa" w:w="3744"/>
            <w:shd w:val="clear" w:fill="EDF1F8"/>
          </w:tcPr>
          <w:p>
            <w:pPr>
              <w:spacing w:after="40" w:before="40"/>
            </w:pPr>
            <w:r/>
          </w:p>
          <w:p>
            <w:pPr>
              <w:spacing w:after="40" w:before="0"/>
            </w:pPr>
            <w:r>
              <w:rPr>
                <w:b w:val="0"/>
                <w:i w:val="0"/>
                <w:color w:val="333333"/>
                <w:sz w:val="19"/>
              </w:rPr>
              <w:t>End of support: November 10, 2026</w:t>
            </w:r>
          </w:p>
        </w:tc>
      </w:tr>
      <w:tr>
        <w:tc>
          <w:tcPr>
            <w:tcW w:type="dxa" w:w="2160"/>
            <w:vMerge w:val="restart"/>
          </w:tcPr>
          <w:p>
            <w:pPr>
              <w:spacing w:after="40" w:before="40"/>
            </w:pPr>
            <w:r/>
          </w:p>
          <w:p>
            <w:pPr>
              <w:spacing w:after="40" w:before="0"/>
            </w:pPr>
            <w:r>
              <w:rPr>
                <w:b/>
                <w:i w:val="0"/>
                <w:color w:val="333333"/>
                <w:sz w:val="19"/>
              </w:rPr>
              <w:t>Angular</w:t>
            </w:r>
          </w:p>
          <w:p>
            <w:pPr>
              <w:spacing w:after="40" w:before="40"/>
            </w:pPr>
            <w:r/>
          </w:p>
          <w:p>
            <w:pPr>
              <w:spacing w:after="40" w:before="0"/>
            </w:pPr>
            <w:r>
              <w:rPr>
                <w:b w:val="0"/>
                <w:i w:val="0"/>
                <w:color w:val="333333"/>
                <w:sz w:val="19"/>
              </w:rPr>
            </w:r>
          </w:p>
          <w:p>
            <w:pPr>
              <w:spacing w:after="40" w:before="40"/>
            </w:pPr>
            <w:r/>
          </w:p>
          <w:p>
            <w:pPr>
              <w:spacing w:after="40" w:before="0"/>
            </w:pPr>
            <w:r>
              <w:rPr>
                <w:b w:val="0"/>
                <w:i w:val="0"/>
                <w:color w:val="333333"/>
                <w:sz w:val="19"/>
              </w:rPr>
            </w:r>
          </w:p>
        </w:tc>
        <w:tc>
          <w:tcPr>
            <w:tcW w:type="dxa" w:w="4104"/>
          </w:tcPr>
          <w:p>
            <w:pPr>
              <w:spacing w:after="40" w:before="40"/>
            </w:pPr>
            <w:r/>
          </w:p>
          <w:p>
            <w:pPr>
              <w:spacing w:after="40" w:before="0"/>
            </w:pPr>
            <w:r>
              <w:rPr>
                <w:b w:val="0"/>
                <w:i w:val="0"/>
                <w:color w:val="333333"/>
                <w:sz w:val="19"/>
              </w:rPr>
              <w:t>Angular 22</w:t>
            </w:r>
          </w:p>
        </w:tc>
        <w:tc>
          <w:tcPr>
            <w:tcW w:type="dxa" w:w="3744"/>
          </w:tcPr>
          <w:p>
            <w:pPr>
              <w:spacing w:after="40" w:before="40"/>
            </w:pPr>
            <w:r/>
          </w:p>
          <w:p>
            <w:pPr>
              <w:spacing w:after="40" w:before="0"/>
            </w:pPr>
            <w:r>
              <w:rPr>
                <w:b w:val="0"/>
                <w:i w:val="0"/>
                <w:color w:val="333333"/>
                <w:sz w:val="19"/>
              </w:rPr>
              <w:t>End of support: June 30, 2028</w:t>
            </w:r>
          </w:p>
        </w:tc>
      </w:tr>
      <w:tr>
        <w:tc>
          <w:tcPr>
            <w:tcW w:type="dxa" w:w="2160"/>
            <w:vMerge/>
            <w:shd w:val="clear" w:fill="EDF1F8"/>
          </w:tcPr>
          <w:p/>
        </w:tc>
        <w:tc>
          <w:tcPr>
            <w:tcW w:type="dxa" w:w="4104"/>
            <w:shd w:val="clear" w:fill="EDF1F8"/>
          </w:tcPr>
          <w:p>
            <w:pPr>
              <w:spacing w:after="40" w:before="40"/>
            </w:pPr>
            <w:r/>
          </w:p>
          <w:p>
            <w:pPr>
              <w:spacing w:after="40" w:before="0"/>
            </w:pPr>
            <w:r>
              <w:rPr>
                <w:b w:val="0"/>
                <w:i w:val="0"/>
                <w:color w:val="333333"/>
                <w:sz w:val="19"/>
              </w:rPr>
              <w:t>Angular 21</w:t>
            </w:r>
          </w:p>
        </w:tc>
        <w:tc>
          <w:tcPr>
            <w:tcW w:type="dxa" w:w="3744"/>
            <w:shd w:val="clear" w:fill="EDF1F8"/>
          </w:tcPr>
          <w:p>
            <w:pPr>
              <w:spacing w:after="40" w:before="40"/>
            </w:pPr>
            <w:r/>
          </w:p>
          <w:p>
            <w:pPr>
              <w:spacing w:after="40" w:before="0"/>
            </w:pPr>
            <w:r>
              <w:rPr>
                <w:b w:val="0"/>
                <w:i w:val="0"/>
                <w:color w:val="333333"/>
                <w:sz w:val="19"/>
              </w:rPr>
              <w:t>End of support: June 30, 2027</w:t>
            </w:r>
          </w:p>
        </w:tc>
      </w:tr>
      <w:tr>
        <w:tc>
          <w:tcPr>
            <w:tcW w:type="dxa" w:w="2160"/>
            <w:vMerge/>
          </w:tcPr>
          <w:p/>
        </w:tc>
        <w:tc>
          <w:tcPr>
            <w:tcW w:type="dxa" w:w="4104"/>
          </w:tcPr>
          <w:p>
            <w:pPr>
              <w:spacing w:after="40" w:before="40"/>
            </w:pPr>
            <w:r/>
          </w:p>
          <w:p>
            <w:pPr>
              <w:spacing w:after="40" w:before="0"/>
            </w:pPr>
            <w:r>
              <w:rPr>
                <w:b w:val="0"/>
                <w:i w:val="0"/>
                <w:color w:val="333333"/>
                <w:sz w:val="19"/>
              </w:rPr>
              <w:t>Angular 20</w:t>
            </w:r>
          </w:p>
        </w:tc>
        <w:tc>
          <w:tcPr>
            <w:tcW w:type="dxa" w:w="3744"/>
          </w:tcPr>
          <w:p>
            <w:pPr>
              <w:spacing w:after="40" w:before="40"/>
            </w:pPr>
            <w:r/>
          </w:p>
          <w:p>
            <w:pPr>
              <w:spacing w:after="40" w:before="0"/>
            </w:pPr>
            <w:r>
              <w:rPr>
                <w:b w:val="0"/>
                <w:i w:val="0"/>
                <w:color w:val="333333"/>
                <w:sz w:val="19"/>
              </w:rPr>
              <w:t>End of support: November 28, 2026</w:t>
            </w:r>
          </w:p>
        </w:tc>
      </w:tr>
      <w:tr>
        <w:tc>
          <w:tcPr>
            <w:tcW w:type="dxa" w:w="2160"/>
            <w:shd w:val="clear" w:fill="EDF1F8"/>
          </w:tcPr>
          <w:p>
            <w:pPr>
              <w:spacing w:after="40" w:before="40"/>
            </w:pPr>
            <w:r/>
          </w:p>
          <w:p>
            <w:pPr>
              <w:spacing w:after="40" w:before="0"/>
            </w:pPr>
            <w:r>
              <w:rPr>
                <w:b/>
                <w:i w:val="0"/>
                <w:color w:val="333333"/>
                <w:sz w:val="19"/>
              </w:rPr>
              <w:t>DBeaver</w:t>
            </w:r>
          </w:p>
        </w:tc>
        <w:tc>
          <w:tcPr>
            <w:tcW w:type="dxa" w:w="4104"/>
            <w:shd w:val="clear" w:fill="EDF1F8"/>
          </w:tcPr>
          <w:p>
            <w:pPr>
              <w:spacing w:after="40" w:before="40"/>
            </w:pPr>
            <w:r/>
          </w:p>
          <w:p>
            <w:pPr>
              <w:spacing w:after="40" w:before="0"/>
            </w:pPr>
            <w:r>
              <w:rPr>
                <w:b w:val="0"/>
                <w:i w:val="0"/>
                <w:color w:val="333333"/>
                <w:sz w:val="19"/>
              </w:rPr>
              <w:t>26.x (latest stable: 26.2.0)</w:t>
            </w:r>
          </w:p>
        </w:tc>
        <w:tc>
          <w:tcPr>
            <w:tcW w:type="dxa" w:w="3744"/>
            <w:shd w:val="clear" w:fill="EDF1F8"/>
          </w:tcPr>
          <w:p>
            <w:pPr>
              <w:spacing w:after="40" w:before="40"/>
            </w:pPr>
            <w:r/>
          </w:p>
          <w:p>
            <w:pPr>
              <w:spacing w:after="40" w:before="0"/>
            </w:pPr>
            <w:r>
              <w:rPr>
                <w:b w:val="0"/>
                <w:i w:val="0"/>
                <w:color w:val="333333"/>
                <w:sz w:val="19"/>
              </w:rPr>
              <w:t>Rolling release — only the latest minor version receives active security patches.</w:t>
            </w:r>
          </w:p>
        </w:tc>
      </w:tr>
      <w:tr>
        <w:tc>
          <w:tcPr>
            <w:tcW w:type="dxa" w:w="2160"/>
          </w:tcPr>
          <w:p>
            <w:pPr>
              <w:spacing w:after="40" w:before="40"/>
            </w:pPr>
            <w:r/>
          </w:p>
          <w:p>
            <w:pPr>
              <w:spacing w:after="40" w:before="0"/>
            </w:pPr>
            <w:r>
              <w:rPr>
                <w:b/>
                <w:i w:val="0"/>
                <w:color w:val="333333"/>
                <w:sz w:val="19"/>
              </w:rPr>
              <w:t>PuTTY</w:t>
            </w:r>
          </w:p>
        </w:tc>
        <w:tc>
          <w:tcPr>
            <w:tcW w:type="dxa" w:w="4104"/>
          </w:tcPr>
          <w:p>
            <w:pPr>
              <w:spacing w:after="40" w:before="40"/>
            </w:pPr>
            <w:r/>
          </w:p>
          <w:p>
            <w:pPr>
              <w:spacing w:after="40" w:before="0"/>
            </w:pPr>
            <w:r>
              <w:rPr>
                <w:b w:val="0"/>
                <w:i w:val="0"/>
                <w:color w:val="333333"/>
                <w:sz w:val="19"/>
              </w:rPr>
              <w:t>0.85 (latest stable)</w:t>
            </w:r>
          </w:p>
        </w:tc>
        <w:tc>
          <w:tcPr>
            <w:tcW w:type="dxa" w:w="3744"/>
          </w:tcPr>
          <w:p>
            <w:pPr>
              <w:spacing w:after="40" w:before="40"/>
            </w:pPr>
            <w:r/>
          </w:p>
          <w:p>
            <w:pPr>
              <w:spacing w:after="40" w:before="0"/>
            </w:pPr>
            <w:r>
              <w:rPr>
                <w:b w:val="0"/>
                <w:i w:val="0"/>
                <w:color w:val="333333"/>
                <w:sz w:val="19"/>
              </w:rPr>
              <w:t>Legacy versions are superseded immediately upon a new security release.</w:t>
            </w:r>
          </w:p>
        </w:tc>
      </w:tr>
      <w:tr>
        <w:tc>
          <w:tcPr>
            <w:tcW w:type="dxa" w:w="2160"/>
            <w:shd w:val="clear" w:fill="EDF1F8"/>
          </w:tcPr>
          <w:p>
            <w:pPr>
              <w:spacing w:after="40" w:before="40"/>
            </w:pPr>
            <w:r/>
          </w:p>
          <w:p>
            <w:pPr>
              <w:spacing w:after="40" w:before="0"/>
            </w:pPr>
            <w:r>
              <w:rPr>
                <w:b/>
                <w:i w:val="0"/>
                <w:color w:val="333333"/>
                <w:sz w:val="19"/>
              </w:rPr>
              <w:t>Apache Guacamole</w:t>
            </w:r>
          </w:p>
        </w:tc>
        <w:tc>
          <w:tcPr>
            <w:tcW w:type="dxa" w:w="4104"/>
            <w:shd w:val="clear" w:fill="EDF1F8"/>
          </w:tcPr>
          <w:p>
            <w:pPr>
              <w:spacing w:after="40" w:before="40"/>
            </w:pPr>
            <w:r/>
          </w:p>
          <w:p>
            <w:pPr>
              <w:spacing w:after="40" w:before="0"/>
            </w:pPr>
            <w:r>
              <w:rPr>
                <w:b w:val="0"/>
                <w:i w:val="0"/>
                <w:color w:val="333333"/>
                <w:sz w:val="19"/>
              </w:rPr>
              <w:t>1.6.x (latest stable: 1.6.0)</w:t>
            </w:r>
          </w:p>
        </w:tc>
        <w:tc>
          <w:tcPr>
            <w:tcW w:type="dxa" w:w="3744"/>
            <w:shd w:val="clear" w:fill="EDF1F8"/>
          </w:tcPr>
          <w:p>
            <w:pPr>
              <w:spacing w:after="40" w:before="40"/>
            </w:pPr>
            <w:r/>
          </w:p>
          <w:p>
            <w:pPr>
              <w:spacing w:after="40" w:before="0"/>
            </w:pPr>
            <w:r>
              <w:rPr>
                <w:b w:val="0"/>
                <w:i w:val="0"/>
                <w:color w:val="333333"/>
                <w:sz w:val="19"/>
              </w:rPr>
              <w:t>Fully backward compatible across 1.x releases; updates apply forward to the newest stream.</w:t>
            </w:r>
          </w:p>
        </w:tc>
      </w:tr>
      <w:tr>
        <w:tc>
          <w:tcPr>
            <w:tcW w:type="dxa" w:w="2160"/>
            <w:vMerge w:val="restart"/>
          </w:tcPr>
          <w:p>
            <w:pPr>
              <w:spacing w:after="40" w:before="40"/>
            </w:pPr>
            <w:r/>
          </w:p>
          <w:p>
            <w:pPr>
              <w:spacing w:after="40" w:before="0"/>
            </w:pPr>
            <w:r>
              <w:rPr>
                <w:b/>
                <w:i w:val="0"/>
                <w:color w:val="333333"/>
                <w:sz w:val="19"/>
              </w:rPr>
              <w:t>OpenSSH</w:t>
            </w:r>
          </w:p>
          <w:p>
            <w:pPr>
              <w:spacing w:after="40" w:before="40"/>
            </w:pPr>
            <w:r/>
          </w:p>
          <w:p>
            <w:pPr>
              <w:spacing w:after="40" w:before="0"/>
            </w:pPr>
            <w:r>
              <w:rPr>
                <w:b w:val="0"/>
                <w:i w:val="0"/>
                <w:color w:val="333333"/>
                <w:sz w:val="19"/>
              </w:rPr>
            </w:r>
          </w:p>
        </w:tc>
        <w:tc>
          <w:tcPr>
            <w:tcW w:type="dxa" w:w="4104"/>
          </w:tcPr>
          <w:p>
            <w:pPr>
              <w:spacing w:after="40" w:before="40"/>
            </w:pPr>
            <w:r/>
          </w:p>
          <w:p>
            <w:pPr>
              <w:spacing w:after="40" w:before="0"/>
            </w:pPr>
            <w:r>
              <w:rPr>
                <w:b w:val="0"/>
                <w:i w:val="0"/>
                <w:color w:val="333333"/>
                <w:sz w:val="19"/>
              </w:rPr>
              <w:t>10.x (latest stable: 10.5)</w:t>
            </w:r>
          </w:p>
        </w:tc>
        <w:tc>
          <w:tcPr>
            <w:tcW w:type="dxa" w:w="3744"/>
          </w:tcPr>
          <w:p>
            <w:pPr>
              <w:spacing w:after="40" w:before="40"/>
            </w:pPr>
            <w:r/>
          </w:p>
          <w:p>
            <w:pPr>
              <w:spacing w:after="40" w:before="0"/>
            </w:pPr>
            <w:r>
              <w:rPr>
                <w:b w:val="0"/>
                <w:i w:val="0"/>
                <w:color w:val="333333"/>
                <w:sz w:val="19"/>
              </w:rPr>
              <w:t>Upstream rolling support; long-term support inherited from the OS lifecycle (e.g. Ubuntu, RHEL).</w:t>
            </w:r>
          </w:p>
        </w:tc>
      </w:tr>
      <w:tr>
        <w:tc>
          <w:tcPr>
            <w:tcW w:type="dxa" w:w="2160"/>
            <w:vMerge/>
            <w:shd w:val="clear" w:fill="EDF1F8"/>
          </w:tcPr>
          <w:p/>
        </w:tc>
        <w:tc>
          <w:tcPr>
            <w:tcW w:type="dxa" w:w="4104"/>
            <w:shd w:val="clear" w:fill="EDF1F8"/>
          </w:tcPr>
          <w:p>
            <w:pPr>
              <w:spacing w:after="40" w:before="40"/>
            </w:pPr>
            <w:r/>
          </w:p>
          <w:p>
            <w:pPr>
              <w:spacing w:after="40" w:before="0"/>
            </w:pPr>
            <w:r>
              <w:rPr>
                <w:b w:val="0"/>
                <w:i w:val="0"/>
                <w:color w:val="333333"/>
                <w:sz w:val="19"/>
              </w:rPr>
              <w:t>Older versions packaged via Linux distros</w:t>
            </w:r>
          </w:p>
        </w:tc>
        <w:tc>
          <w:tcPr>
            <w:tcW w:type="dxa" w:w="3744"/>
            <w:shd w:val="clear" w:fill="EDF1F8"/>
          </w:tcPr>
          <w:p>
            <w:pPr>
              <w:spacing w:after="40" w:before="40"/>
            </w:pPr>
            <w:r/>
          </w:p>
          <w:p>
            <w:pPr>
              <w:spacing w:after="40" w:before="0"/>
            </w:pPr>
            <w:r>
              <w:rPr>
                <w:b w:val="0"/>
                <w:i w:val="0"/>
                <w:color w:val="333333"/>
                <w:sz w:val="19"/>
              </w:rPr>
              <w:t>Upstream rolling support; long-term support inherited from the OS lifecycle.</w:t>
            </w:r>
          </w:p>
        </w:tc>
      </w:tr>
      <w:tr>
        <w:tc>
          <w:tcPr>
            <w:tcW w:type="dxa" w:w="2160"/>
            <w:vMerge w:val="restart"/>
          </w:tcPr>
          <w:p>
            <w:pPr>
              <w:spacing w:after="40" w:before="40"/>
            </w:pPr>
            <w:r/>
          </w:p>
          <w:p>
            <w:pPr>
              <w:spacing w:after="40" w:before="0"/>
            </w:pPr>
            <w:r>
              <w:rPr>
                <w:b/>
                <w:i w:val="0"/>
                <w:color w:val="333333"/>
                <w:sz w:val="19"/>
              </w:rPr>
              <w:t>Microsoft SQL Server</w:t>
            </w:r>
          </w:p>
          <w:p>
            <w:pPr>
              <w:spacing w:after="40" w:before="40"/>
            </w:pPr>
            <w:r/>
          </w:p>
          <w:p>
            <w:pPr>
              <w:spacing w:after="40" w:before="0"/>
            </w:pPr>
            <w:r>
              <w:rPr>
                <w:b w:val="0"/>
                <w:i w:val="0"/>
                <w:color w:val="333333"/>
                <w:sz w:val="19"/>
              </w:rPr>
            </w:r>
          </w:p>
          <w:p>
            <w:pPr>
              <w:spacing w:after="40" w:before="40"/>
            </w:pPr>
            <w:r/>
          </w:p>
          <w:p>
            <w:pPr>
              <w:spacing w:after="40" w:before="0"/>
            </w:pPr>
            <w:r>
              <w:rPr>
                <w:b w:val="0"/>
                <w:i w:val="0"/>
                <w:color w:val="333333"/>
                <w:sz w:val="19"/>
              </w:rPr>
            </w:r>
          </w:p>
        </w:tc>
        <w:tc>
          <w:tcPr>
            <w:tcW w:type="dxa" w:w="4104"/>
          </w:tcPr>
          <w:p>
            <w:pPr>
              <w:spacing w:after="40" w:before="40"/>
            </w:pPr>
            <w:r/>
          </w:p>
          <w:p>
            <w:pPr>
              <w:spacing w:after="40" w:before="0"/>
            </w:pPr>
            <w:r>
              <w:rPr>
                <w:b w:val="0"/>
                <w:i w:val="0"/>
                <w:color w:val="333333"/>
                <w:sz w:val="19"/>
              </w:rPr>
              <w:t>SQL Server 2022</w:t>
            </w:r>
          </w:p>
        </w:tc>
        <w:tc>
          <w:tcPr>
            <w:tcW w:type="dxa" w:w="3744"/>
          </w:tcPr>
          <w:p>
            <w:pPr>
              <w:spacing w:after="40" w:before="40"/>
            </w:pPr>
            <w:r/>
          </w:p>
          <w:p>
            <w:pPr>
              <w:spacing w:after="40" w:before="0"/>
            </w:pPr>
            <w:r>
              <w:rPr>
                <w:b w:val="0"/>
                <w:i w:val="0"/>
                <w:color w:val="333333"/>
                <w:sz w:val="19"/>
              </w:rPr>
              <w:t>Extended Support until January 11, 2033</w:t>
            </w:r>
          </w:p>
        </w:tc>
      </w:tr>
      <w:tr>
        <w:tc>
          <w:tcPr>
            <w:tcW w:type="dxa" w:w="2160"/>
            <w:vMerge/>
            <w:shd w:val="clear" w:fill="EDF1F8"/>
          </w:tcPr>
          <w:p/>
        </w:tc>
        <w:tc>
          <w:tcPr>
            <w:tcW w:type="dxa" w:w="4104"/>
            <w:shd w:val="clear" w:fill="EDF1F8"/>
          </w:tcPr>
          <w:p>
            <w:pPr>
              <w:spacing w:after="40" w:before="40"/>
            </w:pPr>
            <w:r/>
          </w:p>
          <w:p>
            <w:pPr>
              <w:spacing w:after="40" w:before="0"/>
            </w:pPr>
            <w:r>
              <w:rPr>
                <w:b w:val="0"/>
                <w:i w:val="0"/>
                <w:color w:val="333333"/>
                <w:sz w:val="19"/>
              </w:rPr>
              <w:t>SQL Server 2019</w:t>
            </w:r>
          </w:p>
        </w:tc>
        <w:tc>
          <w:tcPr>
            <w:tcW w:type="dxa" w:w="3744"/>
            <w:shd w:val="clear" w:fill="EDF1F8"/>
          </w:tcPr>
          <w:p>
            <w:pPr>
              <w:spacing w:after="40" w:before="40"/>
            </w:pPr>
            <w:r/>
          </w:p>
          <w:p>
            <w:pPr>
              <w:spacing w:after="40" w:before="0"/>
            </w:pPr>
            <w:r>
              <w:rPr>
                <w:b w:val="0"/>
                <w:i w:val="0"/>
                <w:color w:val="333333"/>
                <w:sz w:val="19"/>
              </w:rPr>
              <w:t>Extended Support until January 8, 2030</w:t>
            </w:r>
          </w:p>
        </w:tc>
      </w:tr>
      <w:tr>
        <w:tc>
          <w:tcPr>
            <w:tcW w:type="dxa" w:w="2160"/>
            <w:vMerge/>
          </w:tcPr>
          <w:p/>
        </w:tc>
        <w:tc>
          <w:tcPr>
            <w:tcW w:type="dxa" w:w="4104"/>
          </w:tcPr>
          <w:p>
            <w:pPr>
              <w:spacing w:after="40" w:before="40"/>
            </w:pPr>
            <w:r/>
          </w:p>
          <w:p>
            <w:pPr>
              <w:spacing w:after="40" w:before="0"/>
            </w:pPr>
            <w:r>
              <w:rPr>
                <w:b w:val="0"/>
                <w:i w:val="0"/>
                <w:color w:val="333333"/>
                <w:sz w:val="19"/>
              </w:rPr>
              <w:t>SQL Server 2017</w:t>
            </w:r>
          </w:p>
        </w:tc>
        <w:tc>
          <w:tcPr>
            <w:tcW w:type="dxa" w:w="3744"/>
          </w:tcPr>
          <w:p>
            <w:pPr>
              <w:spacing w:after="40" w:before="40"/>
            </w:pPr>
            <w:r/>
          </w:p>
          <w:p>
            <w:pPr>
              <w:spacing w:after="40" w:before="0"/>
            </w:pPr>
            <w:r>
              <w:rPr>
                <w:b w:val="0"/>
                <w:i w:val="0"/>
                <w:color w:val="333333"/>
                <w:sz w:val="19"/>
              </w:rPr>
              <w:t>Extended Support until October 12, 2027</w:t>
            </w:r>
          </w:p>
        </w:tc>
      </w:tr>
      <w:tr>
        <w:tc>
          <w:tcPr>
            <w:tcW w:type="dxa" w:w="8640"/>
            <w:gridSpan w:val="3"/>
            <w:shd w:val="clear" w:fill="F2F2F2"/>
          </w:tcPr>
          <w:p>
            <w:pPr>
              <w:spacing w:after="40" w:before="40"/>
            </w:pPr>
            <w:r>
              <w:rPr>
                <w:b/>
                <w:i/>
                <w:color w:val="595959"/>
                <w:sz w:val="17"/>
              </w:rPr>
              <w:t xml:space="preserve">Note: </w:t>
            </w:r>
            <w:r>
              <w:rPr>
                <w:i/>
                <w:color w:val="595959"/>
                <w:sz w:val="17"/>
              </w:rPr>
              <w:t>SQL Server 2016 reached final EOL on July 14, 2026.</w:t>
            </w:r>
          </w:p>
        </w:tc>
      </w:tr>
      <w:tr>
        <w:tc>
          <w:tcPr>
            <w:tcW w:type="dxa" w:w="2160"/>
            <w:vMerge w:val="restart"/>
          </w:tcPr>
          <w:p>
            <w:pPr>
              <w:spacing w:after="40" w:before="40"/>
            </w:pPr>
            <w:r/>
          </w:p>
          <w:p>
            <w:pPr>
              <w:spacing w:after="40" w:before="0"/>
            </w:pPr>
            <w:r>
              <w:rPr>
                <w:b/>
                <w:i w:val="0"/>
                <w:color w:val="333333"/>
                <w:sz w:val="19"/>
              </w:rPr>
              <w:t>MySQL</w:t>
            </w:r>
          </w:p>
          <w:p>
            <w:pPr>
              <w:spacing w:after="40" w:before="40"/>
            </w:pPr>
            <w:r/>
          </w:p>
          <w:p>
            <w:pPr>
              <w:spacing w:after="40" w:before="0"/>
            </w:pPr>
            <w:r>
              <w:rPr>
                <w:b w:val="0"/>
                <w:i w:val="0"/>
                <w:color w:val="333333"/>
                <w:sz w:val="19"/>
              </w:rPr>
            </w:r>
          </w:p>
        </w:tc>
        <w:tc>
          <w:tcPr>
            <w:tcW w:type="dxa" w:w="4104"/>
          </w:tcPr>
          <w:p>
            <w:pPr>
              <w:spacing w:after="40" w:before="40"/>
            </w:pPr>
            <w:r/>
          </w:p>
          <w:p>
            <w:pPr>
              <w:spacing w:after="40" w:before="0"/>
            </w:pPr>
            <w:r>
              <w:rPr>
                <w:b w:val="0"/>
                <w:i w:val="0"/>
                <w:color w:val="333333"/>
                <w:sz w:val="19"/>
              </w:rPr>
              <w:t>9.x (Innovation)</w:t>
            </w:r>
          </w:p>
        </w:tc>
        <w:tc>
          <w:tcPr>
            <w:tcW w:type="dxa" w:w="3744"/>
          </w:tcPr>
          <w:p>
            <w:pPr>
              <w:spacing w:after="40" w:before="40"/>
            </w:pPr>
            <w:r/>
          </w:p>
          <w:p>
            <w:pPr>
              <w:spacing w:after="40" w:before="0"/>
            </w:pPr>
            <w:r>
              <w:rPr>
                <w:b w:val="0"/>
                <w:i w:val="0"/>
                <w:color w:val="333333"/>
                <w:sz w:val="19"/>
              </w:rPr>
              <w:t>Rolling — superseded quarterly</w:t>
            </w:r>
          </w:p>
        </w:tc>
      </w:tr>
      <w:tr>
        <w:tc>
          <w:tcPr>
            <w:tcW w:type="dxa" w:w="2160"/>
            <w:vMerge/>
            <w:shd w:val="clear" w:fill="EDF1F8"/>
          </w:tcPr>
          <w:p/>
        </w:tc>
        <w:tc>
          <w:tcPr>
            <w:tcW w:type="dxa" w:w="4104"/>
            <w:shd w:val="clear" w:fill="EDF1F8"/>
          </w:tcPr>
          <w:p>
            <w:pPr>
              <w:spacing w:after="40" w:before="40"/>
            </w:pPr>
            <w:r/>
          </w:p>
          <w:p>
            <w:pPr>
              <w:spacing w:after="40" w:before="0"/>
            </w:pPr>
            <w:r>
              <w:rPr>
                <w:b w:val="0"/>
                <w:i w:val="0"/>
                <w:color w:val="333333"/>
                <w:sz w:val="19"/>
              </w:rPr>
              <w:t>8.4 LTS</w:t>
            </w:r>
          </w:p>
        </w:tc>
        <w:tc>
          <w:tcPr>
            <w:tcW w:type="dxa" w:w="3744"/>
            <w:shd w:val="clear" w:fill="EDF1F8"/>
          </w:tcPr>
          <w:p>
            <w:pPr>
              <w:spacing w:after="40" w:before="40"/>
            </w:pPr>
            <w:r/>
          </w:p>
          <w:p>
            <w:pPr>
              <w:spacing w:after="40" w:before="0"/>
            </w:pPr>
            <w:r>
              <w:rPr>
                <w:b w:val="0"/>
                <w:i w:val="0"/>
                <w:color w:val="333333"/>
                <w:sz w:val="19"/>
              </w:rPr>
              <w:t>Premier Support until April 2029</w:t>
            </w:r>
          </w:p>
        </w:tc>
      </w:tr>
      <w:tr>
        <w:tc>
          <w:tcPr>
            <w:tcW w:type="dxa" w:w="8640"/>
            <w:gridSpan w:val="3"/>
            <w:shd w:val="clear" w:fill="F2F2F2"/>
          </w:tcPr>
          <w:p>
            <w:pPr>
              <w:spacing w:after="40" w:before="40"/>
            </w:pPr>
            <w:r>
              <w:rPr>
                <w:b/>
                <w:i/>
                <w:color w:val="595959"/>
                <w:sz w:val="17"/>
              </w:rPr>
              <w:t xml:space="preserve">Note: </w:t>
            </w:r>
            <w:r>
              <w:rPr>
                <w:i/>
                <w:color w:val="595959"/>
                <w:sz w:val="17"/>
              </w:rPr>
              <w:t>MySQL 8.0 reached official EOL in April 2026.</w:t>
            </w:r>
          </w:p>
        </w:tc>
      </w:tr>
      <w:tr>
        <w:tc>
          <w:tcPr>
            <w:tcW w:type="dxa" w:w="2160"/>
            <w:shd w:val="clear" w:fill="EDF1F8"/>
          </w:tcPr>
          <w:p>
            <w:pPr>
              <w:spacing w:after="40" w:before="40"/>
            </w:pPr>
            <w:r/>
          </w:p>
          <w:p>
            <w:pPr>
              <w:spacing w:after="40" w:before="0"/>
            </w:pPr>
            <w:r>
              <w:rPr>
                <w:b/>
                <w:i w:val="0"/>
                <w:color w:val="333333"/>
                <w:sz w:val="19"/>
              </w:rPr>
              <w:t>Squid</w:t>
            </w:r>
          </w:p>
        </w:tc>
        <w:tc>
          <w:tcPr>
            <w:tcW w:type="dxa" w:w="4104"/>
            <w:shd w:val="clear" w:fill="EDF1F8"/>
          </w:tcPr>
          <w:p>
            <w:pPr>
              <w:spacing w:after="40" w:before="40"/>
            </w:pPr>
            <w:r/>
          </w:p>
          <w:p>
            <w:pPr>
              <w:spacing w:after="40" w:before="0"/>
            </w:pPr>
            <w:r>
              <w:rPr>
                <w:b w:val="0"/>
                <w:i w:val="0"/>
                <w:color w:val="333333"/>
                <w:sz w:val="19"/>
              </w:rPr>
              <w:t>6.x / 5.x branches</w:t>
            </w:r>
          </w:p>
        </w:tc>
        <w:tc>
          <w:tcPr>
            <w:tcW w:type="dxa" w:w="3744"/>
            <w:shd w:val="clear" w:fill="EDF1F8"/>
          </w:tcPr>
          <w:p>
            <w:pPr>
              <w:spacing w:after="40" w:before="40"/>
            </w:pPr>
            <w:r/>
          </w:p>
          <w:p>
            <w:pPr>
              <w:spacing w:after="40" w:before="0"/>
            </w:pPr>
            <w:r>
              <w:rPr>
                <w:b w:val="0"/>
                <w:i w:val="0"/>
                <w:color w:val="333333"/>
                <w:sz w:val="19"/>
              </w:rPr>
              <w:t>Rolling support via operating-system backports or the latest major branch.</w:t>
            </w:r>
          </w:p>
        </w:tc>
      </w:tr>
      <w:tr>
        <w:tc>
          <w:tcPr>
            <w:tcW w:type="dxa" w:w="2160"/>
          </w:tcPr>
          <w:p>
            <w:pPr>
              <w:spacing w:after="40" w:before="40"/>
            </w:pPr>
            <w:r/>
          </w:p>
          <w:p>
            <w:pPr>
              <w:spacing w:after="40" w:before="0"/>
            </w:pPr>
            <w:r>
              <w:rPr>
                <w:b/>
                <w:i w:val="0"/>
                <w:color w:val="333333"/>
                <w:sz w:val="19"/>
              </w:rPr>
              <w:t>Apache Reverse Proxy (Apache HTTP Server)</w:t>
            </w:r>
          </w:p>
        </w:tc>
        <w:tc>
          <w:tcPr>
            <w:tcW w:type="dxa" w:w="4104"/>
          </w:tcPr>
          <w:p>
            <w:pPr>
              <w:spacing w:after="40" w:before="40"/>
            </w:pPr>
            <w:r/>
          </w:p>
          <w:p>
            <w:pPr>
              <w:spacing w:after="40" w:before="0"/>
            </w:pPr>
            <w:r>
              <w:rPr>
                <w:b w:val="0"/>
                <w:i w:val="0"/>
                <w:color w:val="333333"/>
                <w:sz w:val="19"/>
              </w:rPr>
              <w:t>Apache 2.4.x</w:t>
            </w:r>
          </w:p>
        </w:tc>
        <w:tc>
          <w:tcPr>
            <w:tcW w:type="dxa" w:w="3744"/>
          </w:tcPr>
          <w:p>
            <w:pPr>
              <w:spacing w:after="40" w:before="40"/>
            </w:pPr>
            <w:r/>
          </w:p>
          <w:p>
            <w:pPr>
              <w:spacing w:after="40" w:before="0"/>
            </w:pPr>
            <w:r>
              <w:rPr>
                <w:b w:val="0"/>
                <w:i w:val="0"/>
                <w:color w:val="333333"/>
                <w:sz w:val="19"/>
              </w:rPr>
              <w:t>Active — no EOL date announced yet.</w:t>
            </w:r>
          </w:p>
        </w:tc>
      </w:tr>
      <w:tr>
        <w:tc>
          <w:tcPr>
            <w:tcW w:type="dxa" w:w="8640"/>
            <w:gridSpan w:val="3"/>
            <w:shd w:val="clear" w:fill="F2F2F2"/>
          </w:tcPr>
          <w:p>
            <w:pPr>
              <w:spacing w:after="40" w:before="40"/>
            </w:pPr>
            <w:r>
              <w:rPr>
                <w:b/>
                <w:i/>
                <w:color w:val="595959"/>
                <w:sz w:val="17"/>
              </w:rPr>
              <w:t xml:space="preserve">Note: </w:t>
            </w:r>
            <w:r>
              <w:rPr>
                <w:i/>
                <w:color w:val="595959"/>
                <w:sz w:val="17"/>
              </w:rPr>
              <w:t>Version 2.2.x reached EOL on July 11, 2017.</w:t>
            </w:r>
          </w:p>
        </w:tc>
      </w:tr>
      <w:tr>
        <w:tc>
          <w:tcPr>
            <w:tcW w:type="dxa" w:w="2160"/>
            <w:vMerge w:val="restart"/>
          </w:tcPr>
          <w:p>
            <w:pPr>
              <w:spacing w:after="40" w:before="40"/>
            </w:pPr>
            <w:r/>
          </w:p>
          <w:p>
            <w:pPr>
              <w:spacing w:after="40" w:before="0"/>
            </w:pPr>
            <w:r>
              <w:rPr>
                <w:b/>
                <w:i w:val="0"/>
                <w:color w:val="333333"/>
                <w:sz w:val="19"/>
              </w:rPr>
              <w:t>NGINX Reverse Proxy (Open Source)</w:t>
            </w:r>
          </w:p>
          <w:p>
            <w:pPr>
              <w:spacing w:after="40" w:before="40"/>
            </w:pPr>
            <w:r/>
          </w:p>
          <w:p>
            <w:pPr>
              <w:spacing w:after="40" w:before="0"/>
            </w:pPr>
            <w:r>
              <w:rPr>
                <w:b w:val="0"/>
                <w:i w:val="0"/>
                <w:color w:val="333333"/>
                <w:sz w:val="19"/>
              </w:rPr>
            </w:r>
          </w:p>
        </w:tc>
        <w:tc>
          <w:tcPr>
            <w:tcW w:type="dxa" w:w="4104"/>
          </w:tcPr>
          <w:p>
            <w:pPr>
              <w:spacing w:after="40" w:before="40"/>
            </w:pPr>
            <w:r/>
          </w:p>
          <w:p>
            <w:pPr>
              <w:spacing w:after="40" w:before="0"/>
            </w:pPr>
            <w:r>
              <w:rPr>
                <w:b w:val="0"/>
                <w:i w:val="0"/>
                <w:color w:val="333333"/>
                <w:sz w:val="19"/>
              </w:rPr>
              <w:t>1.31.x (Mainline)</w:t>
            </w:r>
          </w:p>
        </w:tc>
        <w:tc>
          <w:tcPr>
            <w:tcW w:type="dxa" w:w="3744"/>
          </w:tcPr>
          <w:p>
            <w:pPr>
              <w:spacing w:after="40" w:before="40"/>
            </w:pPr>
            <w:r/>
          </w:p>
          <w:p>
            <w:pPr>
              <w:spacing w:after="40" w:before="0"/>
            </w:pPr>
            <w:r>
              <w:rPr>
                <w:b w:val="0"/>
                <w:i w:val="0"/>
                <w:color w:val="333333"/>
                <w:sz w:val="19"/>
              </w:rPr>
              <w:t>Active</w:t>
            </w:r>
          </w:p>
        </w:tc>
      </w:tr>
      <w:tr>
        <w:tc>
          <w:tcPr>
            <w:tcW w:type="dxa" w:w="2160"/>
            <w:vMerge/>
            <w:shd w:val="clear" w:fill="EDF1F8"/>
          </w:tcPr>
          <w:p/>
        </w:tc>
        <w:tc>
          <w:tcPr>
            <w:tcW w:type="dxa" w:w="4104"/>
            <w:shd w:val="clear" w:fill="EDF1F8"/>
          </w:tcPr>
          <w:p>
            <w:pPr>
              <w:spacing w:after="40" w:before="40"/>
            </w:pPr>
            <w:r/>
          </w:p>
          <w:p>
            <w:pPr>
              <w:spacing w:after="40" w:before="0"/>
            </w:pPr>
            <w:r>
              <w:rPr>
                <w:b w:val="0"/>
                <w:i w:val="0"/>
                <w:color w:val="333333"/>
                <w:sz w:val="19"/>
              </w:rPr>
              <w:t>1.28.x / 1.29.x (Stable)</w:t>
            </w:r>
          </w:p>
        </w:tc>
        <w:tc>
          <w:tcPr>
            <w:tcW w:type="dxa" w:w="3744"/>
            <w:shd w:val="clear" w:fill="EDF1F8"/>
          </w:tcPr>
          <w:p>
            <w:pPr>
              <w:spacing w:after="40" w:before="40"/>
            </w:pPr>
            <w:r/>
          </w:p>
          <w:p>
            <w:pPr>
              <w:spacing w:after="40" w:before="0"/>
            </w:pPr>
            <w:r>
              <w:rPr>
                <w:b w:val="0"/>
                <w:i w:val="0"/>
                <w:color w:val="333333"/>
                <w:sz w:val="19"/>
              </w:rPr>
              <w:t>Active</w:t>
            </w:r>
          </w:p>
        </w:tc>
      </w:tr>
      <w:tr>
        <w:tc>
          <w:tcPr>
            <w:tcW w:type="dxa" w:w="8640"/>
            <w:gridSpan w:val="3"/>
            <w:shd w:val="clear" w:fill="F2F2F2"/>
          </w:tcPr>
          <w:p>
            <w:pPr>
              <w:spacing w:after="40" w:before="40"/>
            </w:pPr>
            <w:r>
              <w:rPr>
                <w:b/>
                <w:i/>
                <w:color w:val="595959"/>
                <w:sz w:val="17"/>
              </w:rPr>
              <w:t xml:space="preserve">Note: </w:t>
            </w:r>
            <w:r>
              <w:rPr>
                <w:i/>
                <w:color w:val="595959"/>
                <w:sz w:val="17"/>
              </w:rPr>
              <w:t>Legacy branches 1.27 and earlier are EOL.</w:t>
            </w:r>
          </w:p>
        </w:tc>
      </w:tr>
      <w:tr>
        <w:tc>
          <w:tcPr>
            <w:tcW w:type="dxa" w:w="2160"/>
            <w:shd w:val="clear" w:fill="EDF1F8"/>
          </w:tcPr>
          <w:p>
            <w:pPr>
              <w:spacing w:after="40" w:before="40"/>
            </w:pPr>
            <w:r/>
          </w:p>
          <w:p>
            <w:pPr>
              <w:spacing w:after="40" w:before="0"/>
            </w:pPr>
            <w:r>
              <w:rPr>
                <w:b/>
                <w:i w:val="0"/>
                <w:color w:val="333333"/>
                <w:sz w:val="19"/>
              </w:rPr>
              <w:t>FreeRDP</w:t>
            </w:r>
          </w:p>
        </w:tc>
        <w:tc>
          <w:tcPr>
            <w:tcW w:type="dxa" w:w="4104"/>
            <w:shd w:val="clear" w:fill="EDF1F8"/>
          </w:tcPr>
          <w:p>
            <w:pPr>
              <w:spacing w:after="40" w:before="40"/>
            </w:pPr>
            <w:r/>
          </w:p>
          <w:p>
            <w:pPr>
              <w:spacing w:after="40" w:before="0"/>
            </w:pPr>
            <w:r>
              <w:rPr>
                <w:b w:val="0"/>
                <w:i w:val="0"/>
                <w:color w:val="333333"/>
                <w:sz w:val="19"/>
              </w:rPr>
              <w:t>FreeRDP 3.x (latest: 3.31.x)</w:t>
            </w:r>
          </w:p>
        </w:tc>
        <w:tc>
          <w:tcPr>
            <w:tcW w:type="dxa" w:w="3744"/>
            <w:shd w:val="clear" w:fill="EDF1F8"/>
          </w:tcPr>
          <w:p>
            <w:pPr>
              <w:spacing w:after="40" w:before="40"/>
            </w:pPr>
            <w:r/>
          </w:p>
          <w:p>
            <w:pPr>
              <w:spacing w:after="40" w:before="0"/>
            </w:pPr>
            <w:r>
              <w:rPr>
                <w:b w:val="0"/>
                <w:i w:val="0"/>
                <w:color w:val="333333"/>
                <w:sz w:val="19"/>
              </w:rPr>
              <w:t>Active — rolling community support.</w:t>
            </w:r>
          </w:p>
        </w:tc>
      </w:tr>
      <w:tr>
        <w:tc>
          <w:tcPr>
            <w:tcW w:type="dxa" w:w="8640"/>
            <w:gridSpan w:val="3"/>
            <w:shd w:val="clear" w:fill="F2F2F2"/>
          </w:tcPr>
          <w:p>
            <w:pPr>
              <w:spacing w:after="40" w:before="40"/>
            </w:pPr>
            <w:r>
              <w:rPr>
                <w:b/>
                <w:i/>
                <w:color w:val="595959"/>
                <w:sz w:val="17"/>
              </w:rPr>
              <w:t xml:space="preserve">Note: </w:t>
            </w:r>
            <w:r>
              <w:rPr>
                <w:i/>
                <w:color w:val="595959"/>
                <w:sz w:val="17"/>
              </w:rPr>
              <w:t>FreeRDP 2.x and below are no longer actively maintained.</w:t>
            </w:r>
          </w:p>
        </w:tc>
      </w:tr>
    </w:tbl>
    <w:p>
      <w:pPr>
        <w:spacing w:after="40"/>
      </w:pPr>
    </w:p>
    <w:p>
      <w:pPr>
        <w:pStyle w:val="Heading1"/>
      </w:pPr>
      <w:r>
        <w:t>6.  Platform Lifecycle and Compatibility</w:t>
      </w:r>
    </w:p>
    <w:p>
      <w:pPr>
        <w:pStyle w:val="Heading2"/>
      </w:pPr>
      <w:r>
        <w:t>6.1  Operating systems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728"/>
            <w:shd w:val="clear" w:fill="1F4E79"/>
          </w:tcPr>
          <w:p>
            <w:pPr>
              <w:spacing w:after="40" w:before="40"/>
            </w:pPr>
            <w:r/>
          </w:p>
          <w:p>
            <w:pPr>
              <w:spacing w:after="40" w:before="0"/>
            </w:pPr>
            <w:r>
              <w:rPr>
                <w:b/>
                <w:i w:val="0"/>
                <w:color w:val="FFFFFF"/>
                <w:sz w:val="19"/>
              </w:rPr>
              <w:t>OS</w:t>
            </w:r>
          </w:p>
        </w:tc>
        <w:tc>
          <w:tcPr>
            <w:tcW w:type="dxa" w:w="1512"/>
            <w:shd w:val="clear" w:fill="1F4E79"/>
          </w:tcPr>
          <w:p>
            <w:pPr>
              <w:spacing w:after="40" w:before="40"/>
            </w:pPr>
            <w:r/>
          </w:p>
          <w:p>
            <w:pPr>
              <w:spacing w:after="40" w:before="0"/>
            </w:pPr>
            <w:r>
              <w:rPr>
                <w:b/>
                <w:i w:val="0"/>
                <w:color w:val="FFFFFF"/>
                <w:sz w:val="19"/>
              </w:rPr>
              <w:t>Version</w:t>
            </w:r>
          </w:p>
        </w:tc>
        <w:tc>
          <w:tcPr>
            <w:tcW w:type="dxa" w:w="2160"/>
            <w:shd w:val="clear" w:fill="1F4E79"/>
          </w:tcPr>
          <w:p>
            <w:pPr>
              <w:spacing w:after="40" w:before="40"/>
            </w:pPr>
            <w:r/>
          </w:p>
          <w:p>
            <w:pPr>
              <w:spacing w:after="40" w:before="0"/>
            </w:pPr>
            <w:r>
              <w:rPr>
                <w:b/>
                <w:i w:val="0"/>
                <w:color w:val="FFFFFF"/>
                <w:sz w:val="19"/>
              </w:rPr>
              <w:t>Support status</w:t>
            </w:r>
          </w:p>
        </w:tc>
        <w:tc>
          <w:tcPr>
            <w:tcW w:type="dxa" w:w="4464"/>
            <w:shd w:val="clear" w:fill="1F4E79"/>
          </w:tcPr>
          <w:p>
            <w:pPr>
              <w:spacing w:after="40" w:before="40"/>
            </w:pPr>
            <w:r/>
          </w:p>
          <w:p>
            <w:pPr>
              <w:spacing w:after="40" w:before="0"/>
            </w:pPr>
            <w:r>
              <w:rPr>
                <w:b/>
                <w:i w:val="0"/>
                <w:color w:val="FFFFFF"/>
                <w:sz w:val="19"/>
              </w:rPr>
              <w:t>Key lifecycle milestones</w:t>
            </w:r>
          </w:p>
        </w:tc>
      </w:tr>
      <w:tr>
        <w:tc>
          <w:tcPr>
            <w:tcW w:type="dxa" w:w="1728"/>
          </w:tcPr>
          <w:p>
            <w:pPr>
              <w:spacing w:after="40" w:before="40"/>
            </w:pPr>
            <w:r/>
          </w:p>
          <w:p>
            <w:pPr>
              <w:spacing w:after="40" w:before="0"/>
            </w:pPr>
            <w:r>
              <w:rPr>
                <w:b w:val="0"/>
                <w:i w:val="0"/>
                <w:color w:val="333333"/>
                <w:sz w:val="19"/>
              </w:rPr>
              <w:t>Windows Server</w:t>
            </w:r>
          </w:p>
        </w:tc>
        <w:tc>
          <w:tcPr>
            <w:tcW w:type="dxa" w:w="1512"/>
          </w:tcPr>
          <w:p>
            <w:pPr>
              <w:spacing w:after="40" w:before="40"/>
            </w:pPr>
            <w:r/>
          </w:p>
          <w:p>
            <w:pPr>
              <w:spacing w:after="40" w:before="0"/>
            </w:pPr>
            <w:r>
              <w:rPr>
                <w:b w:val="0"/>
                <w:i w:val="0"/>
                <w:color w:val="333333"/>
                <w:sz w:val="19"/>
              </w:rPr>
              <w:t>2019</w:t>
            </w:r>
          </w:p>
        </w:tc>
        <w:tc>
          <w:tcPr>
            <w:tcW w:type="dxa" w:w="2160"/>
          </w:tcPr>
          <w:p>
            <w:pPr>
              <w:spacing w:after="40" w:before="40"/>
            </w:pPr>
            <w:r/>
          </w:p>
          <w:p>
            <w:pPr>
              <w:spacing w:after="40" w:before="0"/>
            </w:pPr>
            <w:r>
              <w:rPr>
                <w:b w:val="0"/>
                <w:i w:val="0"/>
                <w:color w:val="333333"/>
                <w:sz w:val="19"/>
              </w:rPr>
              <w:t>Supported (Extended)</w:t>
            </w:r>
          </w:p>
        </w:tc>
        <w:tc>
          <w:tcPr>
            <w:tcW w:type="dxa" w:w="4464"/>
          </w:tcPr>
          <w:p>
            <w:pPr>
              <w:spacing w:after="40" w:before="40"/>
            </w:pPr>
            <w:r/>
          </w:p>
          <w:p>
            <w:pPr>
              <w:spacing w:after="40" w:before="0"/>
            </w:pPr>
            <w:r>
              <w:rPr>
                <w:b w:val="0"/>
                <w:i w:val="0"/>
                <w:color w:val="333333"/>
                <w:sz w:val="19"/>
              </w:rPr>
              <w:t>Mainstream support ended January 2024; security-only patches until January 9, 2029.</w:t>
            </w:r>
          </w:p>
        </w:tc>
      </w:tr>
      <w:tr>
        <w:tc>
          <w:tcPr>
            <w:tcW w:type="dxa" w:w="1728"/>
            <w:shd w:val="clear" w:fill="EDF1F8"/>
          </w:tcPr>
          <w:p>
            <w:pPr>
              <w:spacing w:after="40" w:before="40"/>
            </w:pPr>
            <w:r/>
          </w:p>
          <w:p>
            <w:pPr>
              <w:spacing w:after="40" w:before="0"/>
            </w:pPr>
            <w:r>
              <w:rPr>
                <w:b w:val="0"/>
                <w:i w:val="0"/>
                <w:color w:val="333333"/>
                <w:sz w:val="19"/>
              </w:rPr>
              <w:t>Windows Server</w:t>
            </w:r>
          </w:p>
        </w:tc>
        <w:tc>
          <w:tcPr>
            <w:tcW w:type="dxa" w:w="1512"/>
            <w:shd w:val="clear" w:fill="EDF1F8"/>
          </w:tcPr>
          <w:p>
            <w:pPr>
              <w:spacing w:after="40" w:before="40"/>
            </w:pPr>
            <w:r/>
          </w:p>
          <w:p>
            <w:pPr>
              <w:spacing w:after="40" w:before="0"/>
            </w:pPr>
            <w:r>
              <w:rPr>
                <w:b w:val="0"/>
                <w:i w:val="0"/>
                <w:color w:val="333333"/>
                <w:sz w:val="19"/>
              </w:rPr>
              <w:t>2022</w:t>
            </w:r>
          </w:p>
        </w:tc>
        <w:tc>
          <w:tcPr>
            <w:tcW w:type="dxa" w:w="2160"/>
            <w:shd w:val="clear" w:fill="EDF1F8"/>
          </w:tcPr>
          <w:p>
            <w:pPr>
              <w:spacing w:after="40" w:before="40"/>
            </w:pPr>
            <w:r/>
          </w:p>
          <w:p>
            <w:pPr>
              <w:spacing w:after="40" w:before="0"/>
            </w:pPr>
            <w:r>
              <w:rPr>
                <w:b w:val="0"/>
                <w:i w:val="0"/>
                <w:color w:val="333333"/>
                <w:sz w:val="19"/>
              </w:rPr>
              <w:t>Supported</w:t>
            </w:r>
          </w:p>
        </w:tc>
        <w:tc>
          <w:tcPr>
            <w:tcW w:type="dxa" w:w="4464"/>
            <w:shd w:val="clear" w:fill="EDF1F8"/>
          </w:tcPr>
          <w:p>
            <w:pPr>
              <w:spacing w:after="40" w:before="40"/>
            </w:pPr>
            <w:r/>
          </w:p>
          <w:p>
            <w:pPr>
              <w:spacing w:after="40" w:before="0"/>
            </w:pPr>
            <w:r>
              <w:rPr>
                <w:b w:val="0"/>
                <w:i w:val="0"/>
                <w:color w:val="333333"/>
                <w:sz w:val="19"/>
              </w:rPr>
              <w:t>Mainstream support ends October 13, 2026, then security-only updates until October 14, 2031.</w:t>
            </w:r>
          </w:p>
        </w:tc>
      </w:tr>
      <w:tr>
        <w:tc>
          <w:tcPr>
            <w:tcW w:type="dxa" w:w="1728"/>
          </w:tcPr>
          <w:p>
            <w:pPr>
              <w:spacing w:after="40" w:before="40"/>
            </w:pPr>
            <w:r/>
          </w:p>
          <w:p>
            <w:pPr>
              <w:spacing w:after="40" w:before="0"/>
            </w:pPr>
            <w:r>
              <w:rPr>
                <w:b w:val="0"/>
                <w:i w:val="0"/>
                <w:color w:val="333333"/>
                <w:sz w:val="19"/>
              </w:rPr>
              <w:t>RHEL</w:t>
            </w:r>
          </w:p>
        </w:tc>
        <w:tc>
          <w:tcPr>
            <w:tcW w:type="dxa" w:w="1512"/>
          </w:tcPr>
          <w:p>
            <w:pPr>
              <w:spacing w:after="40" w:before="40"/>
            </w:pPr>
            <w:r/>
          </w:p>
          <w:p>
            <w:pPr>
              <w:spacing w:after="40" w:before="0"/>
            </w:pPr>
            <w:r>
              <w:rPr>
                <w:b w:val="0"/>
                <w:i w:val="0"/>
                <w:color w:val="333333"/>
                <w:sz w:val="19"/>
              </w:rPr>
              <w:t>8.x</w:t>
            </w:r>
          </w:p>
        </w:tc>
        <w:tc>
          <w:tcPr>
            <w:tcW w:type="dxa" w:w="2160"/>
          </w:tcPr>
          <w:p>
            <w:pPr>
              <w:spacing w:after="40" w:before="40"/>
            </w:pPr>
            <w:r/>
          </w:p>
          <w:p>
            <w:pPr>
              <w:spacing w:after="40" w:before="0"/>
            </w:pPr>
            <w:r>
              <w:rPr>
                <w:b w:val="0"/>
                <w:i w:val="0"/>
                <w:color w:val="333333"/>
                <w:sz w:val="19"/>
              </w:rPr>
              <w:t>Supported (Maintenance)</w:t>
            </w:r>
          </w:p>
        </w:tc>
        <w:tc>
          <w:tcPr>
            <w:tcW w:type="dxa" w:w="4464"/>
          </w:tcPr>
          <w:p>
            <w:pPr>
              <w:spacing w:after="40" w:before="40"/>
            </w:pPr>
            <w:r/>
          </w:p>
          <w:p>
            <w:pPr>
              <w:spacing w:after="40" w:before="0"/>
            </w:pPr>
            <w:r>
              <w:rPr>
                <w:b w:val="0"/>
                <w:i w:val="0"/>
                <w:color w:val="333333"/>
                <w:sz w:val="19"/>
              </w:rPr>
              <w:t>Full support ended May 2024; final minor release (8.10) receives security/bug maintenance until May 31, 2029.</w:t>
            </w:r>
          </w:p>
        </w:tc>
      </w:tr>
      <w:tr>
        <w:tc>
          <w:tcPr>
            <w:tcW w:type="dxa" w:w="1728"/>
            <w:shd w:val="clear" w:fill="EDF1F8"/>
          </w:tcPr>
          <w:p>
            <w:pPr>
              <w:spacing w:after="40" w:before="40"/>
            </w:pPr>
            <w:r/>
          </w:p>
          <w:p>
            <w:pPr>
              <w:spacing w:after="40" w:before="0"/>
            </w:pPr>
            <w:r>
              <w:rPr>
                <w:b w:val="0"/>
                <w:i w:val="0"/>
                <w:color w:val="333333"/>
                <w:sz w:val="19"/>
              </w:rPr>
              <w:t>RHEL</w:t>
            </w:r>
          </w:p>
        </w:tc>
        <w:tc>
          <w:tcPr>
            <w:tcW w:type="dxa" w:w="1512"/>
            <w:shd w:val="clear" w:fill="EDF1F8"/>
          </w:tcPr>
          <w:p>
            <w:pPr>
              <w:spacing w:after="40" w:before="40"/>
            </w:pPr>
            <w:r/>
          </w:p>
          <w:p>
            <w:pPr>
              <w:spacing w:after="40" w:before="0"/>
            </w:pPr>
            <w:r>
              <w:rPr>
                <w:b w:val="0"/>
                <w:i w:val="0"/>
                <w:color w:val="333333"/>
                <w:sz w:val="19"/>
              </w:rPr>
              <w:t>9.x</w:t>
            </w:r>
          </w:p>
        </w:tc>
        <w:tc>
          <w:tcPr>
            <w:tcW w:type="dxa" w:w="2160"/>
            <w:shd w:val="clear" w:fill="EDF1F8"/>
          </w:tcPr>
          <w:p>
            <w:pPr>
              <w:spacing w:after="40" w:before="40"/>
            </w:pPr>
            <w:r/>
          </w:p>
          <w:p>
            <w:pPr>
              <w:spacing w:after="40" w:before="0"/>
            </w:pPr>
            <w:r>
              <w:rPr>
                <w:b w:val="0"/>
                <w:i w:val="0"/>
                <w:color w:val="333333"/>
                <w:sz w:val="19"/>
              </w:rPr>
              <w:t>Supported</w:t>
            </w:r>
          </w:p>
        </w:tc>
        <w:tc>
          <w:tcPr>
            <w:tcW w:type="dxa" w:w="4464"/>
            <w:shd w:val="clear" w:fill="EDF1F8"/>
          </w:tcPr>
          <w:p>
            <w:pPr>
              <w:spacing w:after="40" w:before="40"/>
            </w:pPr>
            <w:r/>
          </w:p>
          <w:p>
            <w:pPr>
              <w:spacing w:after="40" w:before="0"/>
            </w:pPr>
            <w:r>
              <w:rPr>
                <w:b w:val="0"/>
                <w:i w:val="0"/>
                <w:color w:val="333333"/>
                <w:sz w:val="19"/>
              </w:rPr>
              <w:t>Active Full Support until May 31, 2027, then Maintenance Support until May 31, 2032.</w:t>
            </w:r>
          </w:p>
        </w:tc>
      </w:tr>
      <w:tr>
        <w:tc>
          <w:tcPr>
            <w:tcW w:type="dxa" w:w="1728"/>
          </w:tcPr>
          <w:p>
            <w:pPr>
              <w:spacing w:after="40" w:before="40"/>
            </w:pPr>
            <w:r/>
          </w:p>
          <w:p>
            <w:pPr>
              <w:spacing w:after="40" w:before="0"/>
            </w:pPr>
            <w:r>
              <w:rPr>
                <w:b w:val="0"/>
                <w:i w:val="0"/>
                <w:color w:val="333333"/>
                <w:sz w:val="19"/>
              </w:rPr>
              <w:t>Ubuntu Server</w:t>
            </w:r>
          </w:p>
        </w:tc>
        <w:tc>
          <w:tcPr>
            <w:tcW w:type="dxa" w:w="1512"/>
          </w:tcPr>
          <w:p>
            <w:pPr>
              <w:spacing w:after="40" w:before="40"/>
            </w:pPr>
            <w:r/>
          </w:p>
          <w:p>
            <w:pPr>
              <w:spacing w:after="40" w:before="0"/>
            </w:pPr>
            <w:r>
              <w:rPr>
                <w:b w:val="0"/>
                <w:i w:val="0"/>
                <w:color w:val="333333"/>
                <w:sz w:val="19"/>
              </w:rPr>
              <w:t>22.04 LTS</w:t>
            </w:r>
          </w:p>
        </w:tc>
        <w:tc>
          <w:tcPr>
            <w:tcW w:type="dxa" w:w="2160"/>
          </w:tcPr>
          <w:p>
            <w:pPr>
              <w:spacing w:after="40" w:before="40"/>
            </w:pPr>
            <w:r/>
          </w:p>
          <w:p>
            <w:pPr>
              <w:spacing w:after="40" w:before="0"/>
            </w:pPr>
            <w:r>
              <w:rPr>
                <w:b w:val="0"/>
                <w:i w:val="0"/>
                <w:color w:val="333333"/>
                <w:sz w:val="19"/>
              </w:rPr>
              <w:t>Supported</w:t>
            </w:r>
          </w:p>
        </w:tc>
        <w:tc>
          <w:tcPr>
            <w:tcW w:type="dxa" w:w="4464"/>
          </w:tcPr>
          <w:p>
            <w:pPr>
              <w:spacing w:after="40" w:before="40"/>
            </w:pPr>
            <w:r/>
          </w:p>
          <w:p>
            <w:pPr>
              <w:spacing w:after="40" w:before="0"/>
            </w:pPr>
            <w:r>
              <w:rPr>
                <w:b w:val="0"/>
                <w:i w:val="0"/>
                <w:color w:val="333333"/>
                <w:sz w:val="19"/>
              </w:rPr>
              <w:t>Standard public security updates until April 2027; ESM available through April 2032.</w:t>
            </w:r>
          </w:p>
        </w:tc>
      </w:tr>
    </w:tbl>
    <w:p>
      <w:pPr>
        <w:spacing w:after="40"/>
      </w:pPr>
    </w:p>
    <w:p>
      <w:pPr>
        <w:pStyle w:val="Heading2"/>
      </w:pPr>
      <w:r>
        <w:t>6.2  Browser support</w:t>
      </w:r>
    </w:p>
    <w:tbl>
      <w:tblPr>
        <w:tblStyle w:val="TableGrid"/>
        <w:tblW w:type="auto" w:w="0"/>
        <w:jc w:val="center"/>
        <w:tblLayout w:type="fixed"/>
        <w:tblLook w:firstColumn="1" w:firstRow="1" w:lastColumn="0" w:lastRow="0" w:noHBand="0" w:noVBand="1" w:val="04A0"/>
      </w:tblPr>
      <w:tblGrid>
        <w:gridCol w:w="4320"/>
        <w:gridCol w:w="4320"/>
      </w:tblGrid>
      <w:tr>
        <w:tc>
          <w:tcPr>
            <w:tcW w:type="dxa" w:w="3168"/>
            <w:shd w:val="clear" w:fill="1F4E79"/>
          </w:tcPr>
          <w:p>
            <w:pPr>
              <w:spacing w:after="40" w:before="40"/>
            </w:pPr>
            <w:r/>
          </w:p>
          <w:p>
            <w:pPr>
              <w:spacing w:after="40" w:before="0"/>
            </w:pPr>
            <w:r>
              <w:rPr>
                <w:b/>
                <w:i w:val="0"/>
                <w:color w:val="FFFFFF"/>
                <w:sz w:val="19"/>
              </w:rPr>
              <w:t>Browser</w:t>
            </w:r>
          </w:p>
        </w:tc>
        <w:tc>
          <w:tcPr>
            <w:tcW w:type="dxa" w:w="5760"/>
            <w:shd w:val="clear" w:fill="1F4E79"/>
          </w:tcPr>
          <w:p>
            <w:pPr>
              <w:spacing w:after="40" w:before="40"/>
            </w:pPr>
            <w:r/>
          </w:p>
          <w:p>
            <w:pPr>
              <w:spacing w:after="40" w:before="0"/>
            </w:pPr>
            <w:r>
              <w:rPr>
                <w:b/>
                <w:i w:val="0"/>
                <w:color w:val="FFFFFF"/>
                <w:sz w:val="19"/>
              </w:rPr>
              <w:t>Supported versions</w:t>
            </w:r>
          </w:p>
        </w:tc>
      </w:tr>
      <w:tr>
        <w:tc>
          <w:tcPr>
            <w:tcW w:type="dxa" w:w="3168"/>
          </w:tcPr>
          <w:p>
            <w:pPr>
              <w:spacing w:after="40" w:before="40"/>
            </w:pPr>
            <w:r/>
          </w:p>
          <w:p>
            <w:pPr>
              <w:spacing w:after="40" w:before="0"/>
            </w:pPr>
            <w:r>
              <w:rPr>
                <w:b w:val="0"/>
                <w:i w:val="0"/>
                <w:color w:val="333333"/>
                <w:sz w:val="19"/>
              </w:rPr>
              <w:t>Google Chrome</w:t>
            </w:r>
          </w:p>
        </w:tc>
        <w:tc>
          <w:tcPr>
            <w:tcW w:type="dxa" w:w="5760"/>
          </w:tcPr>
          <w:p>
            <w:pPr>
              <w:spacing w:after="40" w:before="40"/>
            </w:pPr>
            <w:r/>
          </w:p>
          <w:p>
            <w:pPr>
              <w:spacing w:after="40" w:before="0"/>
            </w:pPr>
            <w:r>
              <w:rPr>
                <w:b w:val="0"/>
                <w:i w:val="0"/>
                <w:color w:val="333333"/>
                <w:sz w:val="19"/>
              </w:rPr>
              <w:t>Latest 3 versions</w:t>
            </w:r>
          </w:p>
        </w:tc>
      </w:tr>
      <w:tr>
        <w:tc>
          <w:tcPr>
            <w:tcW w:type="dxa" w:w="3168"/>
            <w:shd w:val="clear" w:fill="EDF1F8"/>
          </w:tcPr>
          <w:p>
            <w:pPr>
              <w:spacing w:after="40" w:before="40"/>
            </w:pPr>
            <w:r/>
          </w:p>
          <w:p>
            <w:pPr>
              <w:spacing w:after="40" w:before="0"/>
            </w:pPr>
            <w:r>
              <w:rPr>
                <w:b w:val="0"/>
                <w:i w:val="0"/>
                <w:color w:val="333333"/>
                <w:sz w:val="19"/>
              </w:rPr>
              <w:t>Microsoft Edge</w:t>
            </w:r>
          </w:p>
        </w:tc>
        <w:tc>
          <w:tcPr>
            <w:tcW w:type="dxa" w:w="5760"/>
            <w:shd w:val="clear" w:fill="EDF1F8"/>
          </w:tcPr>
          <w:p>
            <w:pPr>
              <w:spacing w:after="40" w:before="40"/>
            </w:pPr>
            <w:r/>
          </w:p>
          <w:p>
            <w:pPr>
              <w:spacing w:after="40" w:before="0"/>
            </w:pPr>
            <w:r>
              <w:rPr>
                <w:b w:val="0"/>
                <w:i w:val="0"/>
                <w:color w:val="333333"/>
                <w:sz w:val="19"/>
              </w:rPr>
              <w:t>Latest 3 versions</w:t>
            </w:r>
          </w:p>
        </w:tc>
      </w:tr>
      <w:tr>
        <w:tc>
          <w:tcPr>
            <w:tcW w:type="dxa" w:w="3168"/>
          </w:tcPr>
          <w:p>
            <w:pPr>
              <w:spacing w:after="40" w:before="40"/>
            </w:pPr>
            <w:r/>
          </w:p>
          <w:p>
            <w:pPr>
              <w:spacing w:after="40" w:before="0"/>
            </w:pPr>
            <w:r>
              <w:rPr>
                <w:b w:val="0"/>
                <w:i w:val="0"/>
                <w:color w:val="333333"/>
                <w:sz w:val="19"/>
              </w:rPr>
              <w:t>Safari</w:t>
            </w:r>
          </w:p>
        </w:tc>
        <w:tc>
          <w:tcPr>
            <w:tcW w:type="dxa" w:w="5760"/>
          </w:tcPr>
          <w:p>
            <w:pPr>
              <w:spacing w:after="40" w:before="40"/>
            </w:pPr>
            <w:r/>
          </w:p>
          <w:p>
            <w:pPr>
              <w:spacing w:after="40" w:before="0"/>
            </w:pPr>
            <w:r>
              <w:rPr>
                <w:b w:val="0"/>
                <w:i w:val="0"/>
                <w:color w:val="333333"/>
                <w:sz w:val="19"/>
              </w:rPr>
              <w:t>Latest version</w:t>
            </w:r>
          </w:p>
        </w:tc>
      </w:tr>
    </w:tbl>
    <w:p>
      <w:pPr>
        <w:spacing w:after="40"/>
      </w:pPr>
    </w:p>
    <w:p>
      <w:pPr>
        <w:pStyle w:val="Heading2"/>
      </w:pPr>
      <w:r>
        <w:t>6.3  Identity sources</w:t>
      </w:r>
    </w:p>
    <w:tbl>
      <w:tblPr>
        <w:tblStyle w:val="TableGrid"/>
        <w:tblW w:type="auto" w:w="0"/>
        <w:jc w:val="center"/>
        <w:tblLayout w:type="fixed"/>
        <w:tblLook w:firstColumn="1" w:firstRow="1" w:lastColumn="0" w:lastRow="0" w:noHBand="0" w:noVBand="1" w:val="04A0"/>
      </w:tblPr>
      <w:tblGrid>
        <w:gridCol w:w="4320"/>
        <w:gridCol w:w="4320"/>
      </w:tblGrid>
      <w:tr>
        <w:tc>
          <w:tcPr>
            <w:tcW w:type="dxa" w:w="3168"/>
            <w:shd w:val="clear" w:fill="1F4E79"/>
          </w:tcPr>
          <w:p>
            <w:pPr>
              <w:spacing w:after="40" w:before="40"/>
            </w:pPr>
            <w:r/>
          </w:p>
          <w:p>
            <w:pPr>
              <w:spacing w:after="40" w:before="0"/>
            </w:pPr>
            <w:r>
              <w:rPr>
                <w:b/>
                <w:i w:val="0"/>
                <w:color w:val="FFFFFF"/>
                <w:sz w:val="19"/>
              </w:rPr>
              <w:t>Component</w:t>
            </w:r>
          </w:p>
        </w:tc>
        <w:tc>
          <w:tcPr>
            <w:tcW w:type="dxa" w:w="5760"/>
            <w:shd w:val="clear" w:fill="1F4E79"/>
          </w:tcPr>
          <w:p>
            <w:pPr>
              <w:spacing w:after="40" w:before="40"/>
            </w:pPr>
            <w:r/>
          </w:p>
          <w:p>
            <w:pPr>
              <w:spacing w:after="40" w:before="0"/>
            </w:pPr>
            <w:r>
              <w:rPr>
                <w:b/>
                <w:i w:val="0"/>
                <w:color w:val="FFFFFF"/>
                <w:sz w:val="19"/>
              </w:rPr>
              <w:t>Supported versions</w:t>
            </w:r>
          </w:p>
        </w:tc>
      </w:tr>
      <w:tr>
        <w:tc>
          <w:tcPr>
            <w:tcW w:type="dxa" w:w="3168"/>
          </w:tcPr>
          <w:p>
            <w:pPr>
              <w:spacing w:after="40" w:before="40"/>
            </w:pPr>
            <w:r/>
          </w:p>
          <w:p>
            <w:pPr>
              <w:spacing w:after="40" w:before="0"/>
            </w:pPr>
            <w:r>
              <w:rPr>
                <w:b w:val="0"/>
                <w:i w:val="0"/>
                <w:color w:val="333333"/>
                <w:sz w:val="19"/>
              </w:rPr>
              <w:t>Microsoft Active Directory</w:t>
            </w:r>
          </w:p>
        </w:tc>
        <w:tc>
          <w:tcPr>
            <w:tcW w:type="dxa" w:w="5760"/>
          </w:tcPr>
          <w:p>
            <w:pPr>
              <w:spacing w:after="40" w:before="40"/>
            </w:pPr>
            <w:r/>
          </w:p>
          <w:p>
            <w:pPr>
              <w:spacing w:after="40" w:before="0"/>
            </w:pPr>
            <w:r>
              <w:rPr>
                <w:b w:val="0"/>
                <w:i w:val="0"/>
                <w:color w:val="333333"/>
                <w:sz w:val="19"/>
              </w:rPr>
              <w:t>2016, 2019, 2022</w:t>
            </w:r>
          </w:p>
        </w:tc>
      </w:tr>
      <w:tr>
        <w:tc>
          <w:tcPr>
            <w:tcW w:type="dxa" w:w="3168"/>
            <w:shd w:val="clear" w:fill="EDF1F8"/>
          </w:tcPr>
          <w:p>
            <w:pPr>
              <w:spacing w:after="40" w:before="40"/>
            </w:pPr>
            <w:r/>
          </w:p>
          <w:p>
            <w:pPr>
              <w:spacing w:after="40" w:before="0"/>
            </w:pPr>
            <w:r>
              <w:rPr>
                <w:b w:val="0"/>
                <w:i w:val="0"/>
                <w:color w:val="333333"/>
                <w:sz w:val="19"/>
              </w:rPr>
              <w:t>Azure AD / Entra ID</w:t>
            </w:r>
          </w:p>
        </w:tc>
        <w:tc>
          <w:tcPr>
            <w:tcW w:type="dxa" w:w="5760"/>
            <w:shd w:val="clear" w:fill="EDF1F8"/>
          </w:tcPr>
          <w:p>
            <w:pPr>
              <w:spacing w:after="40" w:before="40"/>
            </w:pPr>
            <w:r/>
          </w:p>
          <w:p>
            <w:pPr>
              <w:spacing w:after="40" w:before="0"/>
            </w:pPr>
            <w:r>
              <w:rPr>
                <w:b w:val="0"/>
                <w:i w:val="0"/>
                <w:color w:val="333333"/>
                <w:sz w:val="19"/>
              </w:rPr>
              <w:t>Supported</w:t>
            </w:r>
          </w:p>
        </w:tc>
      </w:tr>
      <w:tr>
        <w:tc>
          <w:tcPr>
            <w:tcW w:type="dxa" w:w="3168"/>
          </w:tcPr>
          <w:p>
            <w:pPr>
              <w:spacing w:after="40" w:before="40"/>
            </w:pPr>
            <w:r/>
          </w:p>
          <w:p>
            <w:pPr>
              <w:spacing w:after="40" w:before="0"/>
            </w:pPr>
            <w:r>
              <w:rPr>
                <w:b w:val="0"/>
                <w:i w:val="0"/>
                <w:color w:val="333333"/>
                <w:sz w:val="19"/>
              </w:rPr>
              <w:t>OpenLDAP</w:t>
            </w:r>
          </w:p>
        </w:tc>
        <w:tc>
          <w:tcPr>
            <w:tcW w:type="dxa" w:w="5760"/>
          </w:tcPr>
          <w:p>
            <w:pPr>
              <w:spacing w:after="40" w:before="40"/>
            </w:pPr>
            <w:r/>
          </w:p>
          <w:p>
            <w:pPr>
              <w:spacing w:after="40" w:before="0"/>
            </w:pPr>
            <w:r>
              <w:rPr>
                <w:b w:val="0"/>
                <w:i w:val="0"/>
                <w:color w:val="333333"/>
                <w:sz w:val="19"/>
              </w:rPr>
              <w:t>2.5.x, 2.6.x</w:t>
            </w:r>
          </w:p>
        </w:tc>
      </w:tr>
      <w:tr>
        <w:tc>
          <w:tcPr>
            <w:tcW w:type="dxa" w:w="3168"/>
            <w:shd w:val="clear" w:fill="EDF1F8"/>
          </w:tcPr>
          <w:p>
            <w:pPr>
              <w:spacing w:after="40" w:before="40"/>
            </w:pPr>
            <w:r/>
          </w:p>
          <w:p>
            <w:pPr>
              <w:spacing w:after="40" w:before="0"/>
            </w:pPr>
            <w:r>
              <w:rPr>
                <w:b w:val="0"/>
                <w:i w:val="0"/>
                <w:color w:val="333333"/>
                <w:sz w:val="19"/>
              </w:rPr>
              <w:t>Okta</w:t>
            </w:r>
          </w:p>
        </w:tc>
        <w:tc>
          <w:tcPr>
            <w:tcW w:type="dxa" w:w="5760"/>
            <w:shd w:val="clear" w:fill="EDF1F8"/>
          </w:tcPr>
          <w:p>
            <w:pPr>
              <w:spacing w:after="40" w:before="40"/>
            </w:pPr>
            <w:r/>
          </w:p>
          <w:p>
            <w:pPr>
              <w:spacing w:after="40" w:before="0"/>
            </w:pPr>
            <w:r>
              <w:rPr>
                <w:b w:val="0"/>
                <w:i w:val="0"/>
                <w:color w:val="333333"/>
                <w:sz w:val="19"/>
              </w:rPr>
              <w:t>Supported</w:t>
            </w:r>
          </w:p>
        </w:tc>
      </w:tr>
      <w:tr>
        <w:tc>
          <w:tcPr>
            <w:tcW w:type="dxa" w:w="3168"/>
          </w:tcPr>
          <w:p>
            <w:pPr>
              <w:spacing w:after="40" w:before="40"/>
            </w:pPr>
            <w:r/>
          </w:p>
          <w:p>
            <w:pPr>
              <w:spacing w:after="40" w:before="0"/>
            </w:pPr>
            <w:r>
              <w:rPr>
                <w:b w:val="0"/>
                <w:i w:val="0"/>
                <w:color w:val="333333"/>
                <w:sz w:val="19"/>
              </w:rPr>
              <w:t>PingFederate</w:t>
            </w:r>
          </w:p>
        </w:tc>
        <w:tc>
          <w:tcPr>
            <w:tcW w:type="dxa" w:w="5760"/>
          </w:tcPr>
          <w:p>
            <w:pPr>
              <w:spacing w:after="40" w:before="40"/>
            </w:pPr>
            <w:r/>
          </w:p>
          <w:p>
            <w:pPr>
              <w:spacing w:after="40" w:before="0"/>
            </w:pPr>
            <w:r>
              <w:rPr>
                <w:b w:val="0"/>
                <w:i w:val="0"/>
                <w:color w:val="333333"/>
                <w:sz w:val="19"/>
              </w:rPr>
              <w:t>Supported</w:t>
            </w:r>
          </w:p>
        </w:tc>
      </w:tr>
    </w:tbl>
    <w:p>
      <w:pPr>
        <w:spacing w:after="40"/>
      </w:pPr>
    </w:p>
    <w:p>
      <w:pPr>
        <w:pStyle w:val="Heading2"/>
      </w:pPr>
      <w:r>
        <w:t>6.4  MFA integrations</w:t>
      </w:r>
    </w:p>
    <w:tbl>
      <w:tblPr>
        <w:tblStyle w:val="TableGrid"/>
        <w:tblW w:type="auto" w:w="0"/>
        <w:jc w:val="center"/>
        <w:tblLayout w:type="fixed"/>
        <w:tblLook w:firstColumn="1" w:firstRow="1" w:lastColumn="0" w:lastRow="0" w:noHBand="0" w:noVBand="1" w:val="04A0"/>
      </w:tblPr>
      <w:tblGrid>
        <w:gridCol w:w="4320"/>
        <w:gridCol w:w="4320"/>
      </w:tblGrid>
      <w:tr>
        <w:tc>
          <w:tcPr>
            <w:tcW w:type="dxa" w:w="3168"/>
            <w:shd w:val="clear" w:fill="1F4E79"/>
          </w:tcPr>
          <w:p>
            <w:pPr>
              <w:spacing w:after="40" w:before="40"/>
            </w:pPr>
            <w:r/>
          </w:p>
          <w:p>
            <w:pPr>
              <w:spacing w:after="40" w:before="0"/>
            </w:pPr>
            <w:r>
              <w:rPr>
                <w:b/>
                <w:i w:val="0"/>
                <w:color w:val="FFFFFF"/>
                <w:sz w:val="19"/>
              </w:rPr>
              <w:t>Component</w:t>
            </w:r>
          </w:p>
        </w:tc>
        <w:tc>
          <w:tcPr>
            <w:tcW w:type="dxa" w:w="5760"/>
            <w:shd w:val="clear" w:fill="1F4E79"/>
          </w:tcPr>
          <w:p>
            <w:pPr>
              <w:spacing w:after="40" w:before="40"/>
            </w:pPr>
            <w:r/>
          </w:p>
          <w:p>
            <w:pPr>
              <w:spacing w:after="40" w:before="0"/>
            </w:pPr>
            <w:r>
              <w:rPr>
                <w:b/>
                <w:i w:val="0"/>
                <w:color w:val="FFFFFF"/>
                <w:sz w:val="19"/>
              </w:rPr>
              <w:t>Supported</w:t>
            </w:r>
          </w:p>
        </w:tc>
      </w:tr>
      <w:tr>
        <w:tc>
          <w:tcPr>
            <w:tcW w:type="dxa" w:w="3168"/>
          </w:tcPr>
          <w:p>
            <w:pPr>
              <w:spacing w:after="40" w:before="40"/>
            </w:pPr>
            <w:r/>
          </w:p>
          <w:p>
            <w:pPr>
              <w:spacing w:after="40" w:before="0"/>
            </w:pPr>
            <w:r>
              <w:rPr>
                <w:b w:val="0"/>
                <w:i w:val="0"/>
                <w:color w:val="333333"/>
                <w:sz w:val="19"/>
              </w:rPr>
              <w:t>Microsoft Authenticator</w:t>
            </w:r>
          </w:p>
        </w:tc>
        <w:tc>
          <w:tcPr>
            <w:tcW w:type="dxa" w:w="5760"/>
          </w:tcPr>
          <w:p>
            <w:pPr>
              <w:spacing w:after="40" w:before="40"/>
            </w:pPr>
            <w:r/>
          </w:p>
          <w:p>
            <w:pPr>
              <w:spacing w:after="40" w:before="0"/>
            </w:pPr>
            <w:r>
              <w:rPr>
                <w:b w:val="0"/>
                <w:i w:val="0"/>
                <w:color w:val="333333"/>
                <w:sz w:val="19"/>
              </w:rPr>
              <w:t>Yes</w:t>
            </w:r>
          </w:p>
        </w:tc>
      </w:tr>
      <w:tr>
        <w:tc>
          <w:tcPr>
            <w:tcW w:type="dxa" w:w="3168"/>
            <w:shd w:val="clear" w:fill="EDF1F8"/>
          </w:tcPr>
          <w:p>
            <w:pPr>
              <w:spacing w:after="40" w:before="40"/>
            </w:pPr>
            <w:r/>
          </w:p>
          <w:p>
            <w:pPr>
              <w:spacing w:after="40" w:before="0"/>
            </w:pPr>
            <w:r>
              <w:rPr>
                <w:b w:val="0"/>
                <w:i w:val="0"/>
                <w:color w:val="333333"/>
                <w:sz w:val="19"/>
              </w:rPr>
              <w:t>Google Authenticator</w:t>
            </w:r>
          </w:p>
        </w:tc>
        <w:tc>
          <w:tcPr>
            <w:tcW w:type="dxa" w:w="5760"/>
            <w:shd w:val="clear" w:fill="EDF1F8"/>
          </w:tcPr>
          <w:p>
            <w:pPr>
              <w:spacing w:after="40" w:before="40"/>
            </w:pPr>
            <w:r/>
          </w:p>
          <w:p>
            <w:pPr>
              <w:spacing w:after="40" w:before="0"/>
            </w:pPr>
            <w:r>
              <w:rPr>
                <w:b w:val="0"/>
                <w:i w:val="0"/>
                <w:color w:val="333333"/>
                <w:sz w:val="19"/>
              </w:rPr>
              <w:t>Yes</w:t>
            </w:r>
          </w:p>
        </w:tc>
      </w:tr>
      <w:tr>
        <w:tc>
          <w:tcPr>
            <w:tcW w:type="dxa" w:w="3168"/>
          </w:tcPr>
          <w:p>
            <w:pPr>
              <w:spacing w:after="40" w:before="40"/>
            </w:pPr>
            <w:r/>
          </w:p>
          <w:p>
            <w:pPr>
              <w:spacing w:after="40" w:before="0"/>
            </w:pPr>
            <w:r>
              <w:rPr>
                <w:b w:val="0"/>
                <w:i w:val="0"/>
                <w:color w:val="333333"/>
                <w:sz w:val="19"/>
              </w:rPr>
              <w:t>RSA SecurID</w:t>
            </w:r>
          </w:p>
        </w:tc>
        <w:tc>
          <w:tcPr>
            <w:tcW w:type="dxa" w:w="5760"/>
          </w:tcPr>
          <w:p>
            <w:pPr>
              <w:spacing w:after="40" w:before="40"/>
            </w:pPr>
            <w:r/>
          </w:p>
          <w:p>
            <w:pPr>
              <w:spacing w:after="40" w:before="0"/>
            </w:pPr>
            <w:r>
              <w:rPr>
                <w:b w:val="0"/>
                <w:i w:val="0"/>
                <w:color w:val="333333"/>
                <w:sz w:val="19"/>
              </w:rPr>
              <w:t>Yes</w:t>
            </w:r>
          </w:p>
        </w:tc>
      </w:tr>
      <w:tr>
        <w:tc>
          <w:tcPr>
            <w:tcW w:type="dxa" w:w="3168"/>
            <w:shd w:val="clear" w:fill="EDF1F8"/>
          </w:tcPr>
          <w:p>
            <w:pPr>
              <w:spacing w:after="40" w:before="40"/>
            </w:pPr>
            <w:r/>
          </w:p>
          <w:p>
            <w:pPr>
              <w:spacing w:after="40" w:before="0"/>
            </w:pPr>
            <w:r>
              <w:rPr>
                <w:b w:val="0"/>
                <w:i w:val="0"/>
                <w:color w:val="333333"/>
                <w:sz w:val="19"/>
              </w:rPr>
              <w:t>Duo Security</w:t>
            </w:r>
          </w:p>
        </w:tc>
        <w:tc>
          <w:tcPr>
            <w:tcW w:type="dxa" w:w="5760"/>
            <w:shd w:val="clear" w:fill="EDF1F8"/>
          </w:tcPr>
          <w:p>
            <w:pPr>
              <w:spacing w:after="40" w:before="40"/>
            </w:pPr>
            <w:r/>
          </w:p>
          <w:p>
            <w:pPr>
              <w:spacing w:after="40" w:before="0"/>
            </w:pPr>
            <w:r>
              <w:rPr>
                <w:b w:val="0"/>
                <w:i w:val="0"/>
                <w:color w:val="333333"/>
                <w:sz w:val="19"/>
              </w:rPr>
              <w:t>Yes</w:t>
            </w:r>
          </w:p>
        </w:tc>
      </w:tr>
      <w:tr>
        <w:tc>
          <w:tcPr>
            <w:tcW w:type="dxa" w:w="3168"/>
          </w:tcPr>
          <w:p>
            <w:pPr>
              <w:spacing w:after="40" w:before="40"/>
            </w:pPr>
            <w:r/>
          </w:p>
          <w:p>
            <w:pPr>
              <w:spacing w:after="40" w:before="0"/>
            </w:pPr>
            <w:r>
              <w:rPr>
                <w:b w:val="0"/>
                <w:i w:val="0"/>
                <w:color w:val="333333"/>
                <w:sz w:val="19"/>
              </w:rPr>
              <w:t>FIDO2 Security Keys</w:t>
            </w:r>
          </w:p>
        </w:tc>
        <w:tc>
          <w:tcPr>
            <w:tcW w:type="dxa" w:w="5760"/>
          </w:tcPr>
          <w:p>
            <w:pPr>
              <w:spacing w:after="40" w:before="40"/>
            </w:pPr>
            <w:r/>
          </w:p>
          <w:p>
            <w:pPr>
              <w:spacing w:after="40" w:before="0"/>
            </w:pPr>
            <w:r>
              <w:rPr>
                <w:b w:val="0"/>
                <w:i w:val="0"/>
                <w:color w:val="333333"/>
                <w:sz w:val="19"/>
              </w:rPr>
              <w:t>Yes</w:t>
            </w:r>
          </w:p>
        </w:tc>
      </w:tr>
    </w:tbl>
    <w:p>
      <w:pPr>
        <w:spacing w:after="40"/>
      </w:pPr>
    </w:p>
    <w:p>
      <w:pPr>
        <w:pStyle w:val="Heading1"/>
      </w:pPr>
      <w:r>
        <w:t>7.  Risk Assessment</w:t>
      </w:r>
    </w:p>
    <w:p>
      <w:pPr>
        <w:pStyle w:val="Heading2"/>
      </w:pPr>
      <w:r>
        <w:t>7.1  Risk score heatmap</w:t>
      </w:r>
    </w:p>
    <w:p>
      <w:pPr>
        <w:spacing w:after="80"/>
      </w:pPr>
      <w:r>
        <w:rPr>
          <w:i w:val="0"/>
          <w:color w:val="333333"/>
          <w:sz w:val="21"/>
        </w:rPr>
        <w:t>The heatmap layers the architecture with color-coded risk zones. Scores weight lifecycle position, shared blast radius, and the availability of active support.</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656"/>
            <w:shd w:val="clear" w:fill="1F4E79"/>
          </w:tcPr>
          <w:p>
            <w:pPr>
              <w:spacing w:after="40" w:before="40"/>
            </w:pPr>
            <w:r/>
          </w:p>
          <w:p>
            <w:pPr>
              <w:spacing w:after="40" w:before="0"/>
            </w:pPr>
            <w:r>
              <w:rPr>
                <w:b/>
                <w:i w:val="0"/>
                <w:color w:val="FFFFFF"/>
                <w:sz w:val="19"/>
              </w:rPr>
              <w:t>Risk level</w:t>
            </w:r>
          </w:p>
        </w:tc>
        <w:tc>
          <w:tcPr>
            <w:tcW w:type="dxa" w:w="936"/>
            <w:shd w:val="clear" w:fill="1F4E79"/>
          </w:tcPr>
          <w:p>
            <w:pPr>
              <w:spacing w:after="40" w:before="40"/>
            </w:pPr>
            <w:r/>
          </w:p>
          <w:p>
            <w:pPr>
              <w:spacing w:after="40" w:before="0"/>
            </w:pPr>
            <w:r>
              <w:rPr>
                <w:b/>
                <w:i w:val="0"/>
                <w:color w:val="FFFFFF"/>
                <w:sz w:val="19"/>
              </w:rPr>
              <w:t>Score</w:t>
            </w:r>
          </w:p>
        </w:tc>
        <w:tc>
          <w:tcPr>
            <w:tcW w:type="dxa" w:w="4176"/>
            <w:shd w:val="clear" w:fill="1F4E79"/>
          </w:tcPr>
          <w:p>
            <w:pPr>
              <w:spacing w:after="40" w:before="40"/>
            </w:pPr>
            <w:r/>
          </w:p>
          <w:p>
            <w:pPr>
              <w:spacing w:after="40" w:before="0"/>
            </w:pPr>
            <w:r>
              <w:rPr>
                <w:b/>
                <w:i w:val="0"/>
                <w:color w:val="FFFFFF"/>
                <w:sz w:val="19"/>
              </w:rPr>
              <w:t>Components in scope</w:t>
            </w:r>
          </w:p>
        </w:tc>
        <w:tc>
          <w:tcPr>
            <w:tcW w:type="dxa" w:w="3240"/>
            <w:shd w:val="clear" w:fill="1F4E79"/>
          </w:tcPr>
          <w:p>
            <w:pPr>
              <w:spacing w:after="40" w:before="40"/>
            </w:pPr>
            <w:r/>
          </w:p>
          <w:p>
            <w:pPr>
              <w:spacing w:after="40" w:before="0"/>
            </w:pPr>
            <w:r>
              <w:rPr>
                <w:b/>
                <w:i w:val="0"/>
                <w:color w:val="FFFFFF"/>
                <w:sz w:val="19"/>
              </w:rPr>
              <w:t>Rationale</w:t>
            </w:r>
          </w:p>
        </w:tc>
      </w:tr>
      <w:tr>
        <w:tc>
          <w:tcPr>
            <w:tcW w:type="dxa" w:w="1656"/>
            <w:shd w:val="clear" w:fill="C00000"/>
          </w:tcPr>
          <w:p>
            <w:pPr>
              <w:spacing w:after="40" w:before="40"/>
            </w:pPr>
            <w:r/>
          </w:p>
          <w:p>
            <w:pPr>
              <w:spacing w:after="40" w:before="0"/>
            </w:pPr>
            <w:r>
              <w:rPr>
                <w:b/>
                <w:i w:val="0"/>
                <w:color w:val="FFFFFF"/>
                <w:sz w:val="19"/>
              </w:rPr>
              <w:t>High</w:t>
            </w:r>
          </w:p>
        </w:tc>
        <w:tc>
          <w:tcPr>
            <w:tcW w:type="dxa" w:w="936"/>
            <w:shd w:val="clear" w:fill="C00000"/>
          </w:tcPr>
          <w:p>
            <w:pPr>
              <w:spacing w:after="40" w:before="40"/>
              <w:jc w:val="center"/>
            </w:pPr>
            <w:r/>
          </w:p>
          <w:p>
            <w:pPr>
              <w:spacing w:after="40" w:before="0"/>
            </w:pPr>
            <w:r>
              <w:rPr>
                <w:b/>
                <w:i w:val="0"/>
                <w:color w:val="333333"/>
                <w:sz w:val="19"/>
              </w:rPr>
              <w:t>5</w:t>
            </w:r>
          </w:p>
        </w:tc>
        <w:tc>
          <w:tcPr>
            <w:tcW w:type="dxa" w:w="4176"/>
          </w:tcPr>
          <w:p>
            <w:pPr>
              <w:spacing w:after="40" w:before="40"/>
            </w:pPr>
            <w:r/>
          </w:p>
          <w:p>
            <w:pPr>
              <w:spacing w:after="40" w:before="0"/>
            </w:pPr>
            <w:r>
              <w:rPr>
                <w:b w:val="0"/>
                <w:i w:val="0"/>
                <w:color w:val="333333"/>
                <w:sz w:val="19"/>
              </w:rPr>
              <w:t>OpenSSL · zlib</w:t>
            </w:r>
          </w:p>
        </w:tc>
        <w:tc>
          <w:tcPr>
            <w:tcW w:type="dxa" w:w="3240"/>
          </w:tcPr>
          <w:p>
            <w:pPr>
              <w:spacing w:after="40" w:before="40"/>
            </w:pPr>
            <w:r/>
          </w:p>
          <w:p>
            <w:pPr>
              <w:spacing w:after="40" w:before="0"/>
            </w:pPr>
            <w:r>
              <w:rPr>
                <w:b w:val="0"/>
                <w:i w:val="0"/>
                <w:color w:val="333333"/>
                <w:sz w:val="19"/>
              </w:rPr>
              <w:t>Shared cryptographic and compression libraries used across the Infrastructure, Middleware and Database layers.</w:t>
            </w:r>
          </w:p>
        </w:tc>
      </w:tr>
      <w:tr>
        <w:tc>
          <w:tcPr>
            <w:tcW w:type="dxa" w:w="1656"/>
            <w:shd w:val="clear" w:fill="EDF1F8"/>
            <w:shd w:val="clear" w:fill="F4B183"/>
          </w:tcPr>
          <w:p>
            <w:pPr>
              <w:spacing w:after="40" w:before="40"/>
            </w:pPr>
            <w:r/>
          </w:p>
          <w:p>
            <w:pPr>
              <w:spacing w:after="40" w:before="0"/>
            </w:pPr>
            <w:r>
              <w:rPr>
                <w:b/>
                <w:i w:val="0"/>
                <w:color w:val="000000"/>
                <w:sz w:val="19"/>
              </w:rPr>
              <w:t>Medium</w:t>
            </w:r>
          </w:p>
        </w:tc>
        <w:tc>
          <w:tcPr>
            <w:tcW w:type="dxa" w:w="936"/>
            <w:shd w:val="clear" w:fill="EDF1F8"/>
            <w:shd w:val="clear" w:fill="F4B183"/>
          </w:tcPr>
          <w:p>
            <w:pPr>
              <w:spacing w:after="40" w:before="40"/>
              <w:jc w:val="center"/>
            </w:pPr>
            <w:r/>
          </w:p>
          <w:p>
            <w:pPr>
              <w:spacing w:after="40" w:before="0"/>
            </w:pPr>
            <w:r>
              <w:rPr>
                <w:b/>
                <w:i w:val="0"/>
                <w:color w:val="333333"/>
                <w:sz w:val="19"/>
              </w:rPr>
              <w:t>4</w:t>
            </w:r>
          </w:p>
        </w:tc>
        <w:tc>
          <w:tcPr>
            <w:tcW w:type="dxa" w:w="4176"/>
            <w:shd w:val="clear" w:fill="EDF1F8"/>
          </w:tcPr>
          <w:p>
            <w:pPr>
              <w:spacing w:after="40" w:before="40"/>
            </w:pPr>
            <w:r/>
          </w:p>
          <w:p>
            <w:pPr>
              <w:spacing w:after="40" w:before="0"/>
            </w:pPr>
            <w:r>
              <w:rPr>
                <w:b w:val="0"/>
                <w:i w:val="0"/>
                <w:color w:val="333333"/>
                <w:sz w:val="19"/>
              </w:rPr>
              <w:t>.NET Framework 4.7.2 · SQL Server 2019 · MySQL 8.4.7 · Apache Ignite · OpenSSH</w:t>
            </w:r>
          </w:p>
        </w:tc>
        <w:tc>
          <w:tcPr>
            <w:tcW w:type="dxa" w:w="3240"/>
            <w:shd w:val="clear" w:fill="EDF1F8"/>
          </w:tcPr>
          <w:p>
            <w:pPr>
              <w:spacing w:after="40" w:before="40"/>
            </w:pPr>
            <w:r/>
          </w:p>
          <w:p>
            <w:pPr>
              <w:spacing w:after="40" w:before="0"/>
            </w:pPr>
            <w:r>
              <w:rPr>
                <w:b w:val="0"/>
                <w:i w:val="0"/>
                <w:color w:val="333333"/>
                <w:sz w:val="19"/>
              </w:rPr>
              <w:t>Legacy runtime or lifecycle-constrained components.</w:t>
            </w:r>
          </w:p>
        </w:tc>
      </w:tr>
      <w:tr>
        <w:tc>
          <w:tcPr>
            <w:tcW w:type="dxa" w:w="1656"/>
            <w:shd w:val="clear" w:fill="FFE699"/>
          </w:tcPr>
          <w:p>
            <w:pPr>
              <w:spacing w:after="40" w:before="40"/>
            </w:pPr>
            <w:r/>
          </w:p>
          <w:p>
            <w:pPr>
              <w:spacing w:after="40" w:before="0"/>
            </w:pPr>
            <w:r>
              <w:rPr>
                <w:b/>
                <w:i w:val="0"/>
                <w:color w:val="000000"/>
                <w:sz w:val="19"/>
              </w:rPr>
              <w:t>Low–Medium</w:t>
            </w:r>
          </w:p>
        </w:tc>
        <w:tc>
          <w:tcPr>
            <w:tcW w:type="dxa" w:w="936"/>
            <w:shd w:val="clear" w:fill="FFE699"/>
          </w:tcPr>
          <w:p>
            <w:pPr>
              <w:spacing w:after="40" w:before="40"/>
              <w:jc w:val="center"/>
            </w:pPr>
            <w:r/>
          </w:p>
          <w:p>
            <w:pPr>
              <w:spacing w:after="40" w:before="0"/>
            </w:pPr>
            <w:r>
              <w:rPr>
                <w:b/>
                <w:i w:val="0"/>
                <w:color w:val="333333"/>
                <w:sz w:val="19"/>
              </w:rPr>
              <w:t>3</w:t>
            </w:r>
          </w:p>
        </w:tc>
        <w:tc>
          <w:tcPr>
            <w:tcW w:type="dxa" w:w="4176"/>
          </w:tcPr>
          <w:p>
            <w:pPr>
              <w:spacing w:after="40" w:before="40"/>
            </w:pPr>
            <w:r/>
          </w:p>
          <w:p>
            <w:pPr>
              <w:spacing w:after="40" w:before="0"/>
            </w:pPr>
            <w:r>
              <w:rPr>
                <w:b w:val="0"/>
                <w:i w:val="0"/>
                <w:color w:val="333333"/>
                <w:sz w:val="19"/>
              </w:rPr>
              <w:t>Access tools (PuTTY, Apache Guacamole, DBeaver) · ARCON Secrets Management Platform</w:t>
            </w:r>
          </w:p>
        </w:tc>
        <w:tc>
          <w:tcPr>
            <w:tcW w:type="dxa" w:w="3240"/>
          </w:tcPr>
          <w:p>
            <w:pPr>
              <w:spacing w:after="40" w:before="40"/>
            </w:pPr>
            <w:r/>
          </w:p>
          <w:p>
            <w:pPr>
              <w:spacing w:after="40" w:before="0"/>
            </w:pPr>
            <w:r>
              <w:rPr>
                <w:b w:val="0"/>
                <w:i w:val="0"/>
                <w:color w:val="333333"/>
                <w:sz w:val="19"/>
              </w:rPr>
              <w:t>Application and access-tool layer.</w:t>
            </w:r>
          </w:p>
        </w:tc>
      </w:tr>
      <w:tr>
        <w:tc>
          <w:tcPr>
            <w:tcW w:type="dxa" w:w="1656"/>
            <w:shd w:val="clear" w:fill="EDF1F8"/>
            <w:shd w:val="clear" w:fill="A9D08E"/>
          </w:tcPr>
          <w:p>
            <w:pPr>
              <w:spacing w:after="40" w:before="40"/>
            </w:pPr>
            <w:r/>
          </w:p>
          <w:p>
            <w:pPr>
              <w:spacing w:after="40" w:before="0"/>
            </w:pPr>
            <w:r>
              <w:rPr>
                <w:b/>
                <w:i w:val="0"/>
                <w:color w:val="000000"/>
                <w:sz w:val="19"/>
              </w:rPr>
              <w:t>Low</w:t>
            </w:r>
          </w:p>
        </w:tc>
        <w:tc>
          <w:tcPr>
            <w:tcW w:type="dxa" w:w="936"/>
            <w:shd w:val="clear" w:fill="EDF1F8"/>
            <w:shd w:val="clear" w:fill="A9D08E"/>
          </w:tcPr>
          <w:p>
            <w:pPr>
              <w:spacing w:after="40" w:before="40"/>
              <w:jc w:val="center"/>
            </w:pPr>
            <w:r/>
          </w:p>
          <w:p>
            <w:pPr>
              <w:spacing w:after="40" w:before="0"/>
            </w:pPr>
            <w:r>
              <w:rPr>
                <w:b/>
                <w:i w:val="0"/>
                <w:color w:val="333333"/>
                <w:sz w:val="19"/>
              </w:rPr>
              <w:t>2</w:t>
            </w:r>
          </w:p>
        </w:tc>
        <w:tc>
          <w:tcPr>
            <w:tcW w:type="dxa" w:w="4176"/>
            <w:shd w:val="clear" w:fill="EDF1F8"/>
          </w:tcPr>
          <w:p>
            <w:pPr>
              <w:spacing w:after="40" w:before="40"/>
            </w:pPr>
            <w:r/>
          </w:p>
          <w:p>
            <w:pPr>
              <w:spacing w:after="40" w:before="0"/>
            </w:pPr>
            <w:r>
              <w:rPr>
                <w:b w:val="0"/>
                <w:i w:val="0"/>
                <w:color w:val="333333"/>
                <w:sz w:val="19"/>
              </w:rPr>
              <w:t>Frontend (Angular 14, RxJS, Zone.js, TypeScript) · Apache Kafka · Redis</w:t>
            </w:r>
          </w:p>
        </w:tc>
        <w:tc>
          <w:tcPr>
            <w:tcW w:type="dxa" w:w="3240"/>
            <w:shd w:val="clear" w:fill="EDF1F8"/>
          </w:tcPr>
          <w:p>
            <w:pPr>
              <w:spacing w:after="40" w:before="40"/>
            </w:pPr>
            <w:r/>
          </w:p>
          <w:p>
            <w:pPr>
              <w:spacing w:after="40" w:before="0"/>
            </w:pPr>
            <w:r>
              <w:rPr>
                <w:b w:val="0"/>
                <w:i w:val="0"/>
                <w:color w:val="333333"/>
                <w:sz w:val="19"/>
              </w:rPr>
              <w:t>Components with active patch support.</w:t>
            </w:r>
          </w:p>
        </w:tc>
      </w:tr>
    </w:tbl>
    <w:p>
      <w:pPr>
        <w:spacing w:after="40"/>
      </w:pPr>
    </w:p>
    <w:p>
      <w:pPr>
        <w:pStyle w:val="Heading2"/>
      </w:pPr>
      <w:r>
        <w:t>7.2  Top 3 risk priorities</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504"/>
            <w:shd w:val="clear" w:fill="1F4E79"/>
          </w:tcPr>
          <w:p>
            <w:pPr>
              <w:spacing w:after="40" w:before="40"/>
            </w:pPr>
            <w:r/>
          </w:p>
          <w:p>
            <w:pPr>
              <w:spacing w:after="40" w:before="0"/>
            </w:pPr>
            <w:r>
              <w:rPr>
                <w:b/>
                <w:i w:val="0"/>
                <w:color w:val="FFFFFF"/>
                <w:sz w:val="19"/>
              </w:rPr>
              <w:t>#</w:t>
            </w:r>
          </w:p>
        </w:tc>
        <w:tc>
          <w:tcPr>
            <w:tcW w:type="dxa" w:w="2376"/>
            <w:shd w:val="clear" w:fill="1F4E79"/>
          </w:tcPr>
          <w:p>
            <w:pPr>
              <w:spacing w:after="40" w:before="40"/>
            </w:pPr>
            <w:r/>
          </w:p>
          <w:p>
            <w:pPr>
              <w:spacing w:after="40" w:before="0"/>
            </w:pPr>
            <w:r>
              <w:rPr>
                <w:b/>
                <w:i w:val="0"/>
                <w:color w:val="FFFFFF"/>
                <w:sz w:val="19"/>
              </w:rPr>
              <w:t>Priority</w:t>
            </w:r>
          </w:p>
        </w:tc>
        <w:tc>
          <w:tcPr>
            <w:tcW w:type="dxa" w:w="1296"/>
            <w:shd w:val="clear" w:fill="1F4E79"/>
          </w:tcPr>
          <w:p>
            <w:pPr>
              <w:spacing w:after="40" w:before="40"/>
            </w:pPr>
            <w:r/>
          </w:p>
          <w:p>
            <w:pPr>
              <w:spacing w:after="40" w:before="0"/>
            </w:pPr>
            <w:r>
              <w:rPr>
                <w:b/>
                <w:i w:val="0"/>
                <w:color w:val="FFFFFF"/>
                <w:sz w:val="19"/>
              </w:rPr>
              <w:t>Rating</w:t>
            </w:r>
          </w:p>
        </w:tc>
        <w:tc>
          <w:tcPr>
            <w:tcW w:type="dxa" w:w="3024"/>
            <w:shd w:val="clear" w:fill="1F4E79"/>
          </w:tcPr>
          <w:p>
            <w:pPr>
              <w:spacing w:after="40" w:before="40"/>
            </w:pPr>
            <w:r/>
          </w:p>
          <w:p>
            <w:pPr>
              <w:spacing w:after="40" w:before="0"/>
            </w:pPr>
            <w:r>
              <w:rPr>
                <w:b/>
                <w:i w:val="0"/>
                <w:color w:val="FFFFFF"/>
                <w:sz w:val="19"/>
              </w:rPr>
              <w:t>Why it matters</w:t>
            </w:r>
          </w:p>
        </w:tc>
        <w:tc>
          <w:tcPr>
            <w:tcW w:type="dxa" w:w="2808"/>
            <w:shd w:val="clear" w:fill="1F4E79"/>
          </w:tcPr>
          <w:p>
            <w:pPr>
              <w:spacing w:after="40" w:before="40"/>
            </w:pPr>
            <w:r/>
          </w:p>
          <w:p>
            <w:pPr>
              <w:spacing w:after="40" w:before="0"/>
            </w:pPr>
            <w:r>
              <w:rPr>
                <w:b/>
                <w:i w:val="0"/>
                <w:color w:val="FFFFFF"/>
                <w:sz w:val="19"/>
              </w:rPr>
              <w:t>Action</w:t>
            </w:r>
          </w:p>
        </w:tc>
      </w:tr>
      <w:tr>
        <w:tc>
          <w:tcPr>
            <w:tcW w:type="dxa" w:w="504"/>
          </w:tcPr>
          <w:p>
            <w:pPr>
              <w:spacing w:after="40" w:before="40"/>
            </w:pPr>
            <w:r/>
          </w:p>
          <w:p>
            <w:pPr>
              <w:spacing w:after="40" w:before="0"/>
            </w:pPr>
            <w:r>
              <w:rPr>
                <w:b w:val="0"/>
                <w:i w:val="0"/>
                <w:color w:val="333333"/>
                <w:sz w:val="19"/>
              </w:rPr>
              <w:t>1</w:t>
            </w:r>
          </w:p>
        </w:tc>
        <w:tc>
          <w:tcPr>
            <w:tcW w:type="dxa" w:w="2376"/>
          </w:tcPr>
          <w:p>
            <w:pPr>
              <w:spacing w:after="40" w:before="40"/>
            </w:pPr>
            <w:r/>
          </w:p>
          <w:p>
            <w:pPr>
              <w:spacing w:after="40" w:before="0"/>
            </w:pPr>
            <w:r>
              <w:rPr>
                <w:b w:val="0"/>
                <w:i w:val="0"/>
                <w:color w:val="333333"/>
                <w:sz w:val="19"/>
              </w:rPr>
              <w:t>OpenSSL &amp; zlib</w:t>
            </w:r>
          </w:p>
        </w:tc>
        <w:tc>
          <w:tcPr>
            <w:tcW w:type="dxa" w:w="1296"/>
          </w:tcPr>
          <w:p>
            <w:pPr>
              <w:spacing w:after="40" w:before="40"/>
            </w:pPr>
            <w:r/>
          </w:p>
          <w:p>
            <w:pPr>
              <w:spacing w:after="40" w:before="0"/>
            </w:pPr>
            <w:r>
              <w:rPr>
                <w:b w:val="0"/>
                <w:i w:val="0"/>
                <w:color w:val="333333"/>
                <w:sz w:val="19"/>
              </w:rPr>
              <w:t>High (5)</w:t>
            </w:r>
          </w:p>
        </w:tc>
        <w:tc>
          <w:tcPr>
            <w:tcW w:type="dxa" w:w="3024"/>
          </w:tcPr>
          <w:p>
            <w:pPr>
              <w:spacing w:after="40" w:before="40"/>
            </w:pPr>
            <w:r/>
          </w:p>
          <w:p>
            <w:pPr>
              <w:spacing w:after="40" w:before="0"/>
            </w:pPr>
            <w:r>
              <w:rPr>
                <w:b w:val="0"/>
                <w:i w:val="0"/>
                <w:color w:val="333333"/>
                <w:sz w:val="19"/>
              </w:rPr>
              <w:t>Shared across Infrastructure, Middleware and Database layers — any CVE affects multiple components simultaneously.</w:t>
            </w:r>
          </w:p>
        </w:tc>
        <w:tc>
          <w:tcPr>
            <w:tcW w:type="dxa" w:w="2808"/>
          </w:tcPr>
          <w:p>
            <w:pPr>
              <w:spacing w:after="40" w:before="40"/>
            </w:pPr>
            <w:r/>
          </w:p>
          <w:p>
            <w:pPr>
              <w:spacing w:after="40" w:before="0"/>
            </w:pPr>
            <w:r>
              <w:rPr>
                <w:b w:val="0"/>
                <w:i w:val="0"/>
                <w:color w:val="333333"/>
                <w:sz w:val="19"/>
              </w:rPr>
              <w:t>Continuous CVE monitoring and immediate patch rollout.</w:t>
            </w:r>
          </w:p>
        </w:tc>
      </w:tr>
      <w:tr>
        <w:tc>
          <w:tcPr>
            <w:tcW w:type="dxa" w:w="504"/>
            <w:shd w:val="clear" w:fill="EDF1F8"/>
          </w:tcPr>
          <w:p>
            <w:pPr>
              <w:spacing w:after="40" w:before="40"/>
            </w:pPr>
            <w:r/>
          </w:p>
          <w:p>
            <w:pPr>
              <w:spacing w:after="40" w:before="0"/>
            </w:pPr>
            <w:r>
              <w:rPr>
                <w:b w:val="0"/>
                <w:i w:val="0"/>
                <w:color w:val="333333"/>
                <w:sz w:val="19"/>
              </w:rPr>
              <w:t>2</w:t>
            </w:r>
          </w:p>
        </w:tc>
        <w:tc>
          <w:tcPr>
            <w:tcW w:type="dxa" w:w="2376"/>
            <w:shd w:val="clear" w:fill="EDF1F8"/>
          </w:tcPr>
          <w:p>
            <w:pPr>
              <w:spacing w:after="40" w:before="40"/>
            </w:pPr>
            <w:r/>
          </w:p>
          <w:p>
            <w:pPr>
              <w:spacing w:after="40" w:before="0"/>
            </w:pPr>
            <w:r>
              <w:rPr>
                <w:b w:val="0"/>
                <w:i w:val="0"/>
                <w:color w:val="333333"/>
                <w:sz w:val="19"/>
              </w:rPr>
              <w:t>Legacy .NET Framework 4.7.2</w:t>
            </w:r>
          </w:p>
        </w:tc>
        <w:tc>
          <w:tcPr>
            <w:tcW w:type="dxa" w:w="1296"/>
            <w:shd w:val="clear" w:fill="EDF1F8"/>
          </w:tcPr>
          <w:p>
            <w:pPr>
              <w:spacing w:after="40" w:before="40"/>
            </w:pPr>
            <w:r/>
          </w:p>
          <w:p>
            <w:pPr>
              <w:spacing w:after="40" w:before="0"/>
            </w:pPr>
            <w:r>
              <w:rPr>
                <w:b w:val="0"/>
                <w:i w:val="0"/>
                <w:color w:val="333333"/>
                <w:sz w:val="19"/>
              </w:rPr>
              <w:t>Medium (4)</w:t>
            </w:r>
          </w:p>
        </w:tc>
        <w:tc>
          <w:tcPr>
            <w:tcW w:type="dxa" w:w="3024"/>
            <w:shd w:val="clear" w:fill="EDF1F8"/>
          </w:tcPr>
          <w:p>
            <w:pPr>
              <w:spacing w:after="40" w:before="40"/>
            </w:pPr>
            <w:r/>
          </w:p>
          <w:p>
            <w:pPr>
              <w:spacing w:after="40" w:before="0"/>
            </w:pPr>
            <w:r>
              <w:rPr>
                <w:b w:val="0"/>
                <w:i w:val="0"/>
                <w:color w:val="333333"/>
                <w:sz w:val="19"/>
              </w:rPr>
              <w:t>Limited support — security patches only. A dependency for the core application and SQL Server.</w:t>
            </w:r>
          </w:p>
        </w:tc>
        <w:tc>
          <w:tcPr>
            <w:tcW w:type="dxa" w:w="2808"/>
            <w:shd w:val="clear" w:fill="EDF1F8"/>
          </w:tcPr>
          <w:p>
            <w:pPr>
              <w:spacing w:after="40" w:before="40"/>
            </w:pPr>
            <w:r/>
          </w:p>
          <w:p>
            <w:pPr>
              <w:spacing w:after="40" w:before="0"/>
            </w:pPr>
            <w:r>
              <w:rPr>
                <w:b w:val="0"/>
                <w:i w:val="0"/>
                <w:color w:val="333333"/>
                <w:sz w:val="19"/>
              </w:rPr>
              <w:t>Plan migration to .NET 8 SDK; enforce patch compliance.</w:t>
            </w:r>
          </w:p>
        </w:tc>
      </w:tr>
      <w:tr>
        <w:tc>
          <w:tcPr>
            <w:tcW w:type="dxa" w:w="504"/>
          </w:tcPr>
          <w:p>
            <w:pPr>
              <w:spacing w:after="40" w:before="40"/>
            </w:pPr>
            <w:r/>
          </w:p>
          <w:p>
            <w:pPr>
              <w:spacing w:after="40" w:before="0"/>
            </w:pPr>
            <w:r>
              <w:rPr>
                <w:b w:val="0"/>
                <w:i w:val="0"/>
                <w:color w:val="333333"/>
                <w:sz w:val="19"/>
              </w:rPr>
              <w:t>3</w:t>
            </w:r>
          </w:p>
        </w:tc>
        <w:tc>
          <w:tcPr>
            <w:tcW w:type="dxa" w:w="2376"/>
          </w:tcPr>
          <w:p>
            <w:pPr>
              <w:spacing w:after="40" w:before="40"/>
            </w:pPr>
            <w:r/>
          </w:p>
          <w:p>
            <w:pPr>
              <w:spacing w:after="40" w:before="0"/>
            </w:pPr>
            <w:r>
              <w:rPr>
                <w:b w:val="0"/>
                <w:i w:val="0"/>
                <w:color w:val="333333"/>
                <w:sz w:val="19"/>
              </w:rPr>
              <w:t>Database &amp; messaging engines</w:t>
            </w:r>
          </w:p>
        </w:tc>
        <w:tc>
          <w:tcPr>
            <w:tcW w:type="dxa" w:w="1296"/>
          </w:tcPr>
          <w:p>
            <w:pPr>
              <w:spacing w:after="40" w:before="40"/>
            </w:pPr>
            <w:r/>
          </w:p>
          <w:p>
            <w:pPr>
              <w:spacing w:after="40" w:before="0"/>
            </w:pPr>
            <w:r>
              <w:rPr>
                <w:b w:val="0"/>
                <w:i w:val="0"/>
                <w:color w:val="333333"/>
                <w:sz w:val="19"/>
              </w:rPr>
              <w:t>Medium (4)</w:t>
            </w:r>
          </w:p>
        </w:tc>
        <w:tc>
          <w:tcPr>
            <w:tcW w:type="dxa" w:w="3024"/>
          </w:tcPr>
          <w:p>
            <w:pPr>
              <w:spacing w:after="40" w:before="40"/>
            </w:pPr>
            <w:r/>
          </w:p>
          <w:p>
            <w:pPr>
              <w:spacing w:after="40" w:before="0"/>
            </w:pPr>
            <w:r>
              <w:rPr>
                <w:b w:val="0"/>
                <w:i w:val="0"/>
                <w:color w:val="333333"/>
                <w:sz w:val="19"/>
              </w:rPr>
              <w:t>SQL Server, MySQL, Apache Ignite, Kafka, Redis — depend on OpenSSL and the Java Runtime.</w:t>
            </w:r>
          </w:p>
        </w:tc>
        <w:tc>
          <w:tcPr>
            <w:tcW w:type="dxa" w:w="2808"/>
          </w:tcPr>
          <w:p>
            <w:pPr>
              <w:spacing w:after="40" w:before="40"/>
            </w:pPr>
            <w:r/>
          </w:p>
          <w:p>
            <w:pPr>
              <w:spacing w:after="40" w:before="0"/>
            </w:pPr>
            <w:r>
              <w:rPr>
                <w:b w:val="0"/>
                <w:i w:val="0"/>
                <w:color w:val="333333"/>
                <w:sz w:val="19"/>
              </w:rPr>
              <w:t>Apply cumulative updates and vendor advisories; harden configurations.</w:t>
            </w:r>
          </w:p>
        </w:tc>
      </w:tr>
    </w:tbl>
    <w:p>
      <w:pPr>
        <w:spacing w:after="40"/>
      </w:pPr>
    </w:p>
    <w:p>
      <w:pPr>
        <w:pStyle w:val="Heading1"/>
      </w:pPr>
      <w:r>
        <w:t>8.  Recommended Actions and Ownership</w:t>
      </w:r>
    </w:p>
    <w:p>
      <w:pPr>
        <w:pStyle w:val="Heading2"/>
      </w:pPr>
      <w:r>
        <w:t>8.1  Governance — Product Management</w:t>
      </w:r>
    </w:p>
    <w:p>
      <w:pPr>
        <w:pStyle w:val="ListBullet"/>
        <w:spacing w:after="60"/>
      </w:pPr>
      <w:r>
        <w:rPr>
          <w:sz w:val="21"/>
        </w:rPr>
        <w:t>Approve and maintain a compatibility baseline for this release, refreshed at each release cadence.</w:t>
      </w:r>
    </w:p>
    <w:p>
      <w:pPr>
        <w:pStyle w:val="ListBullet"/>
        <w:spacing w:after="60"/>
      </w:pPr>
      <w:r>
        <w:rPr>
          <w:sz w:val="21"/>
        </w:rPr>
        <w:t>Assign named ownership for the shared libraries that cross multiple layers.</w:t>
      </w:r>
    </w:p>
    <w:p>
      <w:pPr>
        <w:pStyle w:val="ListBullet"/>
        <w:spacing w:after="60"/>
      </w:pPr>
      <w:r>
        <w:rPr>
          <w:sz w:val="21"/>
        </w:rPr>
        <w:t>Gate each release on evidence: patch status, EOL proximity, and compatibility validation of each listed component.</w:t>
      </w:r>
    </w:p>
    <w:p>
      <w:pPr>
        <w:pStyle w:val="ListBullet"/>
        <w:spacing w:after="60"/>
      </w:pPr>
      <w:r>
        <w:rPr>
          <w:sz w:val="21"/>
        </w:rPr>
        <w:t>Own and track a time-bound modernization roadmap — the headline item being .NET Framework 4.7.2 to a supported modern runtime.</w:t>
      </w:r>
    </w:p>
    <w:p>
      <w:pPr>
        <w:pStyle w:val="Heading2"/>
      </w:pPr>
      <w:r>
        <w:t>8.2  Engineering</w:t>
      </w:r>
    </w:p>
    <w:p>
      <w:pPr>
        <w:pStyle w:val="ListBullet"/>
        <w:spacing w:after="60"/>
      </w:pPr>
      <w:r>
        <w:rPr>
          <w:sz w:val="21"/>
        </w:rPr>
        <w:t>Prioritize patching and monitoring for shared encryption and compression libraries (OpenSSL, zlib) and the .NET and Java runtimes.</w:t>
      </w:r>
    </w:p>
    <w:p>
      <w:pPr>
        <w:pStyle w:val="ListBullet"/>
        <w:spacing w:after="60"/>
      </w:pPr>
      <w:r>
        <w:rPr>
          <w:sz w:val="21"/>
        </w:rPr>
        <w:t>Validate compatibility for every LTS/STS change of the runtimes, SDKs, and dependency framework versions listed in Section 5.</w:t>
      </w:r>
    </w:p>
    <w:p>
      <w:pPr>
        <w:pStyle w:val="ListBullet"/>
        <w:spacing w:after="60"/>
      </w:pPr>
      <w:r>
        <w:rPr>
          <w:sz w:val="21"/>
        </w:rPr>
        <w:t>Enforce lifecycle, compatibility, and hardening controls for database, messaging, cache, and remote-access components.</w:t>
      </w:r>
    </w:p>
    <w:p>
      <w:pPr>
        <w:pStyle w:val="Heading2"/>
      </w:pPr>
      <w:r>
        <w:t>8.3  Support &amp; Implementation — strategic suggestions</w:t>
      </w:r>
    </w:p>
    <w:p>
      <w:pPr>
        <w:pStyle w:val="ListBullet"/>
        <w:spacing w:after="60"/>
      </w:pPr>
      <w:r>
        <w:rPr>
          <w:b/>
        </w:rPr>
        <w:t>consider adding Windows Server 2025 as the “Recommended” version for new deployments to maximize OS lifespan.</w:t>
      </w:r>
      <w:r>
        <w:rPr>
          <w:sz w:val="21"/>
        </w:rPr>
        <w:t>Windows:</w:t>
      </w:r>
    </w:p>
    <w:p>
      <w:pPr>
        <w:pStyle w:val="ListBullet"/>
        <w:spacing w:after="60"/>
      </w:pPr>
      <w:r>
        <w:rPr>
          <w:b/>
        </w:rPr>
        <w:t>TLS 1.2 is currently supported; support for TLS 1.3 must be included in the roadmap.</w:t>
      </w:r>
      <w:r>
        <w:rPr>
          <w:sz w:val="21"/>
        </w:rPr>
        <w:t>TLS:</w:t>
      </w:r>
    </w:p>
    <w:p>
      <w:pPr>
        <w:pStyle w:val="ListBullet"/>
        <w:spacing w:after="60"/>
      </w:pPr>
      <w:r>
        <w:rPr>
          <w:b/>
        </w:rPr>
        <w:t>consider validating or adding Ubuntu Server 24.04 LTS as a newer “Recommended” tier — 22.04 LTS nears the end of its 5-year standard support window next year.</w:t>
      </w:r>
      <w:r>
        <w:rPr>
          <w:sz w:val="21"/>
        </w:rPr>
        <w:t>Ubuntu:</w:t>
      </w:r>
    </w:p>
    <w:p>
      <w:pPr>
        <w:spacing w:after="120"/>
      </w:pPr>
      <w:r>
        <w:rPr>
          <w:i w:val="0"/>
          <w:color w:val="333333"/>
          <w:sz w:val="21"/>
        </w:rPr>
        <w:t>These measures address the most significant sources of systemic vulnerability and release disruption across the Secrets Management stack.</w:t>
      </w:r>
    </w:p>
    <w:sectPr w:rsidR="00FC693F" w:rsidRPr="0006063C" w:rsidSect="00034616">
      <w:footerReference w:type="default" r:id="rId10"/>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95959"/>
        <w:sz w:val="16"/>
      </w:rPr>
      <w:t>ARCON Secrets Management Platform — Product Stack Dependency Matrix (v10.11.005)</w:t>
    </w:r>
    <w:r>
      <w:rPr>
        <w:color w:val="595959"/>
        <w:sz w:val="16"/>
      </w:rPr>
      <w:t xml:space="preserve">     |     Page </w:t>
    </w:r>
    <w:r>
      <w:rPr>
        <w:color w:val="595959"/>
        <w:sz w:val="16"/>
      </w:rPr>
      <w:fldChar w:fldCharType="begin"/>
    </w:r>
    <w:r>
      <w:rPr>
        <w:color w:val="595959"/>
        <w:sz w:val="16"/>
      </w:rPr>
      <w:instrText xml:space="preserve">PAGE</w:instrText>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eastAsia="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i w:val="0"/>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Stack Dependency Matrix - ARCON Secrets Management Platform v10.11.005</dc:title>
  <dc:subject>Technology stack, lifecycle and risk matrix</dc:subject>
  <dc:creator>Deepali Mathur</dc:creator>
  <cp:keywords/>
  <dc:description>generated by python-docx</dc:description>
  <cp:lastModifiedBy>Deepali Mathur</cp:lastModifiedBy>
  <cp:revision>1</cp:revision>
  <dcterms:created xsi:type="dcterms:W3CDTF">2013-12-23T23:15:00Z</dcterms:created>
  <dcterms:modified xsi:type="dcterms:W3CDTF">2013-12-23T23:15:00Z</dcterms:modified>
  <cp:category/>
</cp:coreProperties>
</file>