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</w:t>
      </w:r>
      <w:r>
        <w:rPr>
          <w:rFonts w:hint="default"/>
          <w:lang w:val="en-US"/>
        </w:rPr>
        <w:t xml:space="preserve"> </w:t>
      </w:r>
      <w:r>
        <w:t>Golang</w:t>
      </w:r>
      <w:r>
        <w:rPr>
          <w:rFonts w:hint="default"/>
          <w:lang w:val="en-US"/>
        </w:rPr>
        <w:t>,</w:t>
      </w:r>
      <w:r>
        <w:t xml:space="preserve"> Javascript, Typescript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Golang, Fiber,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Echo,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Kafka, MongoDB,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Node.js, Spring Boot,</w:t>
      </w:r>
      <w:bookmarkStart w:id="2" w:name="_GoBack"/>
      <w:bookmarkEnd w:id="2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Kubernetes, Docker,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Tech stack: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6101AC2"/>
    <w:rsid w:val="17AF4B5C"/>
    <w:rsid w:val="185A150A"/>
    <w:rsid w:val="189305E4"/>
    <w:rsid w:val="18BE4823"/>
    <w:rsid w:val="19BD4C1F"/>
    <w:rsid w:val="19EE7423"/>
    <w:rsid w:val="1AD66518"/>
    <w:rsid w:val="1C355618"/>
    <w:rsid w:val="1DED29E7"/>
    <w:rsid w:val="25BA0095"/>
    <w:rsid w:val="2D7124F1"/>
    <w:rsid w:val="313F5728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CA69E9"/>
    <w:rsid w:val="4EE70197"/>
    <w:rsid w:val="50C66098"/>
    <w:rsid w:val="5308656A"/>
    <w:rsid w:val="5A754877"/>
    <w:rsid w:val="5EC25D1D"/>
    <w:rsid w:val="64844FF7"/>
    <w:rsid w:val="653B5422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2025-08-26T14:10:40Z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