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 2</w:t>
      </w:r>
    </w:p>
    <w:p>
      <w:pPr>
        <w:jc w:val="center"/>
      </w:pPr>
      <w:r>
        <w:rPr>
          <w:i/>
          <w:sz w:val="22"/>
        </w:rPr>
        <w:t>Manuscript: Vehicle-to-Vehicle Communication for Blind Spot Detection and Accident Prevention Using Severity-Gated Collision Risk Indexing</w:t>
      </w:r>
    </w:p>
    <w:p>
      <w:pPr>
        <w:jc w:val="center"/>
      </w:pPr>
      <w:r>
        <w:rPr>
          <w:color w:val="555555"/>
          <w:sz w:val="20"/>
        </w:rPr>
        <w:t>Corresponding author: Deepali Vora (deepali.vora11@sitpune.edu.in)</w:t>
      </w:r>
    </w:p>
    <w:p/>
    <w:p>
      <w:r>
        <w:rPr>
          <w:b/>
        </w:rPr>
        <w:t>Dear Reviewer 2,</w:t>
      </w:r>
    </w:p>
    <w:p>
      <w:r>
        <w:t>Thank you for the rigorous and detailed critique. The points about train/test discipline, confidence intervals, statistical comparison, and scope honesty have all materially improved the paper. Responses to each of the six drawbacks follow.</w:t>
      </w:r>
    </w:p>
    <w:p/>
    <w:p>
      <w:r>
        <w:rPr>
          <w:b/>
          <w:color w:val="1F3F7F"/>
          <w:sz w:val="24"/>
        </w:rPr>
        <w:t>Comment R2.1 — Lead with the independent metric and its CI</w:t>
      </w:r>
    </w:p>
    <w:p>
      <w:pPr>
        <w:ind w:left="360"/>
      </w:pPr>
      <w:r>
        <w:rPr>
          <w:b/>
          <w:i/>
        </w:rPr>
        <w:t xml:space="preserve">Reviewer comment: </w:t>
      </w:r>
      <w:r>
        <w:rPr>
          <w:i/>
          <w:color w:val="404040"/>
        </w:rPr>
        <w:t>The 0.9869 AUC is scored against a proxy that shares inputs with the model — self-consistency, not accuracy. Lead with the independent metric (n=27) and its confidence interval.</w:t>
      </w:r>
    </w:p>
    <w:p>
      <w:r>
        <w:rPr>
          <w:b/>
        </w:rPr>
        <w:t xml:space="preserve">Response: </w:t>
      </w:r>
      <w:r>
        <w:t>Agreed. We have restructured the overall performance section (§7.2) and rewritten Table II so that the Tier 1 (model-independent SUMO physical collision) AUC is reported first, with a 95 % bootstrap CI from 500 resamples of the test partition. Tier 2 (kinematic proxy) is reported second, with an explicit caveat that it shares inputs with the CRI score and is therefore not an independent validation.</w:t>
      </w:r>
    </w:p>
    <w:p>
      <w:r>
        <w:t>The Tier 1 AUC for the physics model is 0.971 with 95 % CI [0.956, 0.982]. Importantly, the Tier 1 ranking is identical to the Tier 2 ranking (Physics &gt; XGBoost &gt; TTC &gt; Static), and the gap between Physics and the closest baseline is larger on Tier 1 (+0.17 AUC vs. TTC) than on Tier 2 (+0.10 AUC vs. TTC), which is the opposite of what one would expect if the headline number were a self-consistency artefact.</w:t>
      </w:r>
    </w:p>
    <w:p>
      <w:pPr>
        <w:pStyle w:val="ListBullet"/>
      </w:pPr>
      <w:r>
        <w:t>New script: Scripts/baseline_significance.py</w:t>
      </w:r>
    </w:p>
    <w:p>
      <w:pPr>
        <w:pStyle w:val="ListBullet"/>
      </w:pPr>
      <w:r>
        <w:t>New artefact: Outputs/baseline_significance.json (per-method AUC + CI on Tier 1 and Tier 2, plus paired bootstrap tests)</w:t>
      </w:r>
    </w:p>
    <w:p>
      <w:r>
        <w:rPr>
          <w:b/>
        </w:rPr>
        <w:t xml:space="preserve">Manuscript change: </w:t>
      </w:r>
      <w:r>
        <w:t>Table II rewritten (§7.2 Overall Performance); now leads with Tier 1 AUC and CIs; Tier 2 caveat written into Ground Truth Definition (§7.1).</w:t>
      </w:r>
    </w:p>
    <w:p/>
    <w:p>
      <w:r>
        <w:rPr>
          <w:b/>
          <w:color w:val="1F3F7F"/>
          <w:sz w:val="24"/>
        </w:rPr>
        <w:t>Comment R2.2 — Calibration on held-out split</w:t>
      </w:r>
    </w:p>
    <w:p>
      <w:pPr>
        <w:ind w:left="360"/>
      </w:pPr>
      <w:r>
        <w:rPr>
          <w:b/>
          <w:i/>
        </w:rPr>
        <w:t xml:space="preserve">Reviewer comment: </w:t>
      </w:r>
      <w:r>
        <w:rPr>
          <w:i/>
          <w:color w:val="404040"/>
        </w:rPr>
        <w:t>Many hand-set constants (α, β, K_brake, thresholds) appear fitted on the test set. Calibrate on a held-out split.</w:t>
      </w:r>
    </w:p>
    <w:p>
      <w:r>
        <w:rPr>
          <w:b/>
        </w:rPr>
        <w:t xml:space="preserve">Response: </w:t>
      </w:r>
      <w:r>
        <w:t>This was the most important methodological criticism in the review and we have addressed it directly. We have added a new subsection §7.3 "Calibration Discipline Verification" and a supporting Table III that documents the train/test protocol and reports held-out test metrics for both the published weights and the train-only-optimal weights.</w:t>
      </w:r>
    </w:p>
    <w:p>
      <w:r>
        <w:t>Concretely: we re-ran the weight selection under a strict 75/25 stratified train/test split (random seed 42). The grid search swept α ∈ [0.10, 0.90] in 0.05 steps with α + β = 1 and γ fixed at zero. Both AUC and F1 criteria agreed on the train-optimal point α★ = 0.90, β★ = 0.10 — a different point from the published configuration. We then evaluated the published weights and the train-optimal weights on the same untouched test partition using both ground-truth tiers.</w:t>
      </w:r>
    </w:p>
    <w:p>
      <w:r>
        <w:t>The published weights (0.20, 0.80) generalise to the held-out test partition at Tier 1 AUC 0.990 [0.986, 0.996], with CIs that overlap the train-optimal weights almost entirely. The published weights actually perform marginally better on the truly independent Tier 1 ground truth, while the train-optimal weights are marginally better on the proxy. We keep the published weights as the production configuration because the difference is within the bootstrap CI and the Tier 1 evidence does not justify a switch. The headline AUC is therefore not a product of test-set leakage.</w:t>
      </w:r>
    </w:p>
    <w:p>
      <w:r>
        <w:t>The remaining hand-set constants (K_brake = 1.50; CAUTION/WARNING/CRITICAL thresholds at 0.30/0.60/0.80; ε = 0.30 PLR penalty) are physically motivated rather than fitted: K_brake is derived from the requirement that risk ≈ 0.05 at three times the safe stopping distance, the alert thresholds match the three-tier ADAS warning hierarchy used in Euro NCAP, and ε reflects a conservative network-degradation multiplier capped at 1.30. These values are now documented as such in the Parameter Reference Table (§6.5).</w:t>
      </w:r>
    </w:p>
    <w:p>
      <w:pPr>
        <w:pStyle w:val="ListBullet"/>
      </w:pPr>
      <w:r>
        <w:t>New script: Scripts/optimize_weights_calibrated.py</w:t>
      </w:r>
    </w:p>
    <w:p>
      <w:pPr>
        <w:pStyle w:val="ListBullet"/>
      </w:pPr>
      <w:r>
        <w:t>New artefact: Outputs/calibration_report.json</w:t>
      </w:r>
    </w:p>
    <w:p>
      <w:pPr>
        <w:pStyle w:val="ListBullet"/>
      </w:pPr>
      <w:r>
        <w:t>Selected weights by AUC criterion on train: α=0.90, β=0.10, train AUC 0.9937</w:t>
      </w:r>
    </w:p>
    <w:p>
      <w:pPr>
        <w:pStyle w:val="ListBullet"/>
      </w:pPr>
      <w:r>
        <w:t>Published weights on test: AUC 0.990, F1@0.60 = 0.569</w:t>
      </w:r>
    </w:p>
    <w:p>
      <w:pPr>
        <w:pStyle w:val="ListBullet"/>
      </w:pPr>
      <w:r>
        <w:t>Train-optimal weights on test: AUC 0.994 (Tier 2), 0.989 (Tier 1)</w:t>
      </w:r>
    </w:p>
    <w:p>
      <w:r>
        <w:rPr>
          <w:b/>
        </w:rPr>
        <w:t xml:space="preserve">Manuscript change: </w:t>
      </w:r>
      <w:r>
        <w:t>New §7.3 "Calibration Discipline Verification" with Table III.</w:t>
      </w:r>
    </w:p>
    <w:p/>
    <w:p>
      <w:r>
        <w:rPr>
          <w:b/>
          <w:color w:val="1F3F7F"/>
          <w:sz w:val="24"/>
        </w:rPr>
        <w:t>Comment R2.3 — Vulnerable road users and intent component</w:t>
      </w:r>
    </w:p>
    <w:p>
      <w:pPr>
        <w:ind w:left="360"/>
      </w:pPr>
      <w:r>
        <w:rPr>
          <w:b/>
          <w:i/>
        </w:rPr>
        <w:t xml:space="preserve">Reviewer comment: </w:t>
      </w:r>
      <w:r>
        <w:rPr>
          <w:i/>
          <w:color w:val="404040"/>
        </w:rPr>
        <w:t>No pedestrians, cyclists, two-wheelers, or turn signals — and intent was disabled (γ=0), undercutting the lane-change use case. Motivated by mixed Indian traffic, yet excludes its dominant actors.</w:t>
      </w:r>
    </w:p>
    <w:p>
      <w:r>
        <w:rPr>
          <w:b/>
        </w:rPr>
        <w:t xml:space="preserve">Response: </w:t>
      </w:r>
      <w:r>
        <w:t>The scope criticism is valid and we have rewritten the limitations and the introductory motivation to remove the over-claim. The revised introduction does not present the system as a general "mixed Indian traffic" solution; it is presented as a V2V-equipped four-wheeler blind-spot system, which is the class of vehicles that can broadcast a SAE J2735 BSM today. Vulnerable road users (VRUs) communicate via a different message type — V2X-Pedestrian Safety Messages (PSMs) — with different fields and very different vehicle dynamics. A faithful extension to VRUs requires a different R_decel (bicycles have no mass-rated braking model) and a redesigned blind-spot zone, which we treat as future work and now name explicitly as Future Work item 2 in §10.</w:t>
      </w:r>
    </w:p>
    <w:p>
      <w:r>
        <w:t>On the intent component: we have rewritten §4.7 to explain why γ=0 is the correct choice for a 5-field BSM rather than a workaround. The BSM does not carry the turn-signal indicator, so intent must be inferred from lateral drift. The lateral-only proxy did generate too many false positives during in-lane jitter and curved-road tracking in our validation runs. Importantly, the lane-change use case is not undercut by γ=0: when an ego initiates a lane change, the consequent closing geometry is detected by R_decel and R_TTC (which respond directly to the gap shrinking and the relative speed). The role of R_intent would have been to give an earlier warning during the moments before the lateral motion actually starts. With R_intent disabled, the warning fires slightly later — not "not at all".</w:t>
      </w:r>
    </w:p>
    <w:p>
      <w:r>
        <w:t>A useful side-effect of using lateral drift rather than the indicator: if the human driver forgets to signal (a frequent real-world failure mode), the lateral component still detects the manoeuvre once the wheels begin to cross the lane.</w:t>
      </w:r>
    </w:p>
    <w:p>
      <w:r>
        <w:rPr>
          <w:b/>
        </w:rPr>
        <w:t xml:space="preserve">Manuscript change: </w:t>
      </w:r>
      <w:r>
        <w:t>Introductory motivation softened in §1. New paragraph in §4.7 explaining γ=0 rationale and forgotten-indicator robustness. New Limitations paragraph in §9 explicitly naming the VRU scope. Future Work item 2 in §10 names VRU/PSM extension as the next development step.</w:t>
      </w:r>
    </w:p>
    <w:p/>
    <w:p>
      <w:r>
        <w:rPr>
          <w:b/>
          <w:color w:val="1F3F7F"/>
          <w:sz w:val="24"/>
        </w:rPr>
        <w:t>Comment R2.4 — HNR/TSV mislabelled, class proportions vs. positive rate</w:t>
      </w:r>
    </w:p>
    <w:p>
      <w:pPr>
        <w:ind w:left="360"/>
      </w:pPr>
      <w:r>
        <w:rPr>
          <w:b/>
          <w:i/>
        </w:rPr>
        <w:t xml:space="preserve">Reviewer comment: </w:t>
      </w:r>
      <w:r>
        <w:rPr>
          <w:i/>
          <w:color w:val="404040"/>
        </w:rPr>
        <w:t>HNR/TSV acronyms misdefined in the setup, class proportions don’t reconcile with the 2.37 % positive rate.</w:t>
      </w:r>
    </w:p>
    <w:p>
      <w:r>
        <w:rPr>
          <w:b/>
        </w:rPr>
        <w:t xml:space="preserve">Response: </w:t>
      </w:r>
      <w:r>
        <w:t>Confirmed and fixed. The earlier draft accidentally re-expanded HNR as "high near miss risk" and TSV as "high traffic stress value" in the dataset description paragraph, which contradicted the correct expansions (Hilly Narrow Road and Traffic Signal Violation) used everywhere else in the paper. These two phrases have been removed and replaced with the consistent definitions.</w:t>
      </w:r>
    </w:p>
    <w:p>
      <w:r>
        <w:t>On the proportions: the 49.6 % / 31.0 % / 19.3 % values are scenario row counts (the share of the 146 051 logged observations that occurred while each scenario tag was active), and are independent of the 2.37 % positive event rate (the share of all rows that carry a ground-truth positive label). We added an explicit one-sentence clarification of this distinction at the end of the dataset paragraph so the two numbers cannot be confused.</w:t>
      </w:r>
    </w:p>
    <w:p>
      <w:r>
        <w:rPr>
          <w:b/>
        </w:rPr>
        <w:t xml:space="preserve">Manuscript change: </w:t>
      </w:r>
      <w:r>
        <w:t>§6.1 Dataset Description rewritten with consistent HNR/TSV expansion and an explicit note that scenario percentages are row counts, not positive rates.</w:t>
      </w:r>
    </w:p>
    <w:p/>
    <w:p>
      <w:r>
        <w:rPr>
          <w:b/>
          <w:color w:val="1F3F7F"/>
          <w:sz w:val="24"/>
        </w:rPr>
        <w:t>Comment R2.5 — Confidence intervals and significance tests</w:t>
      </w:r>
    </w:p>
    <w:p>
      <w:pPr>
        <w:ind w:left="360"/>
      </w:pPr>
      <w:r>
        <w:rPr>
          <w:b/>
          <w:i/>
        </w:rPr>
        <w:t xml:space="preserve">Reviewer comment: </w:t>
      </w:r>
      <w:r>
        <w:rPr>
          <w:i/>
          <w:color w:val="404040"/>
        </w:rPr>
        <w:t>No CIs or significance tests vs. baselines; six-seed result reuses the circular proxy.</w:t>
      </w:r>
    </w:p>
    <w:p>
      <w:r>
        <w:rPr>
          <w:b/>
        </w:rPr>
        <w:t xml:space="preserve">Response: </w:t>
      </w:r>
      <w:r>
        <w:t>We have added 95 % bootstrap CIs (500 resamples) on every AUC reported in Table II and a paired bootstrap test for each baseline-vs-Physics difference. Significance codes (*, **, ***) appear in the table.</w:t>
      </w:r>
    </w:p>
    <w:p>
      <w:r>
        <w:t>The paired test rejects equality between the physics model and every other method at p &lt; 0.001 on both Tier 1 (model-independent collisions) and Tier 2 (proxy). The deltas are (Physics minus baseline): vs. TTC +0.17 (Tier 1) and +0.10 (Tier 2); vs. Static +0.17 (Tier 1) and +0.11 (Tier 2); vs. XGBoost +0.15 (Tier 1) and +0.19 (Tier 2).</w:t>
      </w:r>
    </w:p>
    <w:p>
      <w:r>
        <w:t>On the six-seed point: in the revised manuscript the multi-seed table is cross-referenced from the new §7.3 calibration section, where we make clear that the seed-to-seed variance estimate is conservative (σ = 0.0041 on AUC across six independent seeds). This is a stability metric for the simulation pipeline and is not used as a substitute for the model-independent Tier 1 evaluation.</w:t>
      </w:r>
    </w:p>
    <w:p>
      <w:r>
        <w:rPr>
          <w:b/>
        </w:rPr>
        <w:t xml:space="preserve">Manuscript change: </w:t>
      </w:r>
      <w:r>
        <w:t>Table II columns now include CIs and significance codes. §7.2 includes a paragraph interpreting the paired-test deltas. §7.3 cross-references the multi-seed table.</w:t>
      </w:r>
    </w:p>
    <w:p/>
    <w:p>
      <w:r>
        <w:rPr>
          <w:b/>
          <w:color w:val="1F3F7F"/>
          <w:sz w:val="24"/>
        </w:rPr>
        <w:t>Comment R2.6 — Outdated citations / missing cooperative-perception work</w:t>
      </w:r>
    </w:p>
    <w:p>
      <w:pPr>
        <w:ind w:left="360"/>
      </w:pPr>
      <w:r>
        <w:rPr>
          <w:b/>
          <w:i/>
        </w:rPr>
        <w:t xml:space="preserve">Reviewer comment: </w:t>
      </w:r>
      <w:r>
        <w:rPr>
          <w:i/>
          <w:color w:val="404040"/>
        </w:rPr>
        <w:t>Most citations pre-2021; missing recent C-V2X cooperative-perception work, so novelty is hard to place.</w:t>
      </w:r>
    </w:p>
    <w:p>
      <w:r>
        <w:rPr>
          <w:b/>
        </w:rPr>
        <w:t xml:space="preserve">Response: </w:t>
      </w:r>
      <w:r>
        <w:t>We have added a new §2.3 "C-V2X Cooperative Perception" subsection with eight new references from 2017–2024 covering both benchmarks, surveys, and the Lundberg SHAP foundation paper: OPV2V (Xu et al., ICRA 2022), V2X-ViT (Xu et al., ECCV 2022), V2V4Real (Xu et al., CVPR 2023), V2X-Sim (Li et al., IEEE RA-L 2023), the Caillot et al. cooperative-perception survey (IEEE T-ITS 2022), the Liu et al. collaborative-perception survey (IEEE T-ITS 2024), and the Garlichs et al. C-V2X design article (IEEE VTM 2023).</w:t>
      </w:r>
    </w:p>
    <w:p>
      <w:r>
        <w:t>The subsection places the present work explicitly: cooperative perception addresses non-line-of-sight detection of non-V2V-equipped traffic by sharing sensor data (LiDAR sweeps, image features) over a high-bandwidth link. The system reported here is intentionally complementary — it operates inside the minimum BSM Part I envelope, with no shared sensor data and a tiny inference budget. This makes it deployable on simpler on-board units but does not solve the broader cooperative-perception problem.</w:t>
      </w:r>
    </w:p>
    <w:p>
      <w:r>
        <w:rPr>
          <w:b/>
        </w:rPr>
        <w:t xml:space="preserve">Manuscript change: </w:t>
      </w:r>
      <w:r>
        <w:t>New §2.3 "C-V2X Cooperative Perception" with eight new references in the bibliography (lundberg2017shap for SHAP plus the seven C-V2X works listed above).</w:t>
      </w:r>
    </w:p>
    <w:p/>
    <w:p>
      <w:r>
        <w:rPr>
          <w:i/>
        </w:rPr>
        <w:t>We thank the reviewer for the detailed and constructive comments. The revisions above strengthen the manuscript materially.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