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 3</w:t>
      </w:r>
    </w:p>
    <w:p>
      <w:pPr>
        <w:jc w:val="center"/>
      </w:pPr>
      <w:r>
        <w:rPr>
          <w:i/>
          <w:sz w:val="22"/>
        </w:rPr>
        <w:t>Manuscript: Vehicle-to-Vehicle Communication for Blind Spot Detection and Accident Prevention Using Severity-Gated Collision Risk Indexing</w:t>
      </w:r>
    </w:p>
    <w:p>
      <w:pPr>
        <w:jc w:val="center"/>
      </w:pPr>
      <w:r>
        <w:rPr>
          <w:color w:val="555555"/>
          <w:sz w:val="20"/>
        </w:rPr>
        <w:t>Corresponding author: Deepali Vora (deepali.vora11@sitpune.edu.in)</w:t>
      </w:r>
    </w:p>
    <w:p/>
    <w:p>
      <w:r>
        <w:rPr>
          <w:b/>
        </w:rPr>
        <w:t>Dear Reviewer 3,</w:t>
      </w:r>
    </w:p>
    <w:p>
      <w:r>
        <w:t>Thank you for the careful and constructive review. The three suggestions — a scenario-level figure, an explicit ego-vehicle-class statement, and independent validation of the CRI — have all materially improved the manuscript.</w:t>
      </w:r>
    </w:p>
    <w:p/>
    <w:p>
      <w:r>
        <w:rPr>
          <w:b/>
          <w:color w:val="1F3F7F"/>
          <w:sz w:val="24"/>
        </w:rPr>
        <w:t>Comment R3.1 — Scenario-level figure</w:t>
      </w:r>
    </w:p>
    <w:p>
      <w:pPr>
        <w:ind w:left="360"/>
      </w:pPr>
      <w:r>
        <w:rPr>
          <w:b/>
          <w:i/>
        </w:rPr>
        <w:t xml:space="preserve">Reviewer comment: </w:t>
      </w:r>
      <w:r>
        <w:rPr>
          <w:i/>
          <w:color w:val="404040"/>
        </w:rPr>
        <w:t>A figure showing the entire detection process visually would help readers understand the problem better. A complementary scenario-level figure would be more illustrative here: one depicting two communicating vehicles with a third vehicle occluding the line of sight, the BSM exchange passing through that obstruction, the subsequent CRI computation, and the resulting alert.</w:t>
      </w:r>
    </w:p>
    <w:p>
      <w:r>
        <w:rPr>
          <w:b/>
        </w:rPr>
        <w:t xml:space="preserve">Response: </w:t>
      </w:r>
      <w:r>
        <w:t>We have added the figure you describe as the new Fig. 1 at the top of §1 (Introduction). It shows three vehicles in plan view — an ego sedan in the middle lane, a target sedan in the adjacent lane sitting inside the ego’s blind-spot zone, and an occluding truck between them blocking the line of sight. A dashed line annotated "LOS BLOCKED" indicates the failed optical path. A curved blue arrow shows the 5-field BSM hopping over the truck via the V2V radio link to the ego, and a pipeline on the right of the figure shows the three downstream stages: BSM received → CRI engine (severity gate) → WARNING alert.</w:t>
      </w:r>
    </w:p>
    <w:p>
      <w:r>
        <w:t>The figure is referenced in the introduction paragraph that introduces the canonical failure mode, so readers see both the geometric picture and the data-flow picture in a single view before the formal model is introduced.</w:t>
      </w:r>
    </w:p>
    <w:p>
      <w:r>
        <w:rPr>
          <w:b/>
        </w:rPr>
        <w:t xml:space="preserve">Manuscript change: </w:t>
      </w:r>
      <w:r>
        <w:t>New Fig. 1 at the top of §1. New paragraph introducing it appears as the second paragraph of the introduction.</w:t>
      </w:r>
    </w:p>
    <w:p/>
    <w:p>
      <w:r>
        <w:rPr>
          <w:b/>
          <w:color w:val="1F3F7F"/>
          <w:sz w:val="24"/>
        </w:rPr>
        <w:t>Comment R3.2 — Ego vehicle class clarification</w:t>
      </w:r>
    </w:p>
    <w:p>
      <w:pPr>
        <w:ind w:left="360"/>
      </w:pPr>
      <w:r>
        <w:rPr>
          <w:b/>
          <w:i/>
        </w:rPr>
        <w:t xml:space="preserve">Reviewer comment: </w:t>
      </w:r>
      <w:r>
        <w:rPr>
          <w:i/>
          <w:color w:val="404040"/>
        </w:rPr>
        <w:t>Since different vehicle classes have different sizes, and their blind spots vary accordingly, the paper should explicitly state the subject (ego) vehicle under consideration. The blind-spot zone model uses fixed parameters (L_base = 4.5 m, λ_scale = 12 m), which implies a single ego geometry, while the simulated fleet contains sedans, SUVs, and trucks whose blind spots differ substantially in shape and extent.</w:t>
      </w:r>
    </w:p>
    <w:p>
      <w:r>
        <w:rPr>
          <w:b/>
        </w:rPr>
        <w:t xml:space="preserve">Response: </w:t>
      </w:r>
      <w:r>
        <w:t>You are right to flag this. We have added an explicit "Ego vehicle class" paragraph at the end of §4.2 (Coordinate Transformation and Blind Spot Zone) that states the modelling assumption directly: the zone parameters L_base = 4.5 m and λ_scale = 12.0 m correspond to a passenger-car ego, whose body length is approximately one base-zone unit and whose A/B/C-pillar geometry produces a rear-quarter blind spot of roughly the dimensions given. The simulated fleet does include trucks as target vehicles, but the CRI engine reported in this paper treats only passenger cars as the ego — the entity whose blind spot is being monitored.</w:t>
      </w:r>
    </w:p>
    <w:p>
      <w:r>
        <w:t>For a truck ego the same equations apply, but the constants need to scale: L_base would track the vehicle length (around 12–14 m) and λ_scale would expand to reflect the much larger rear-and-side blind region around an articulated heavy vehicle. We name per-class parameter calibration for heavy vehicles as future work in the same paragraph.</w:t>
      </w:r>
    </w:p>
    <w:p>
      <w:r>
        <w:rPr>
          <w:b/>
        </w:rPr>
        <w:t xml:space="preserve">Manuscript change: </w:t>
      </w:r>
      <w:r>
        <w:t>New paragraph "Ego vehicle class" appended to §4.2.</w:t>
      </w:r>
    </w:p>
    <w:p/>
    <w:p>
      <w:r>
        <w:rPr>
          <w:b/>
          <w:color w:val="1F3F7F"/>
          <w:sz w:val="24"/>
        </w:rPr>
        <w:t>Comment R3.3 — Independent validation of CRI</w:t>
      </w:r>
    </w:p>
    <w:p>
      <w:pPr>
        <w:ind w:left="360"/>
      </w:pPr>
      <w:r>
        <w:rPr>
          <w:b/>
          <w:i/>
        </w:rPr>
        <w:t xml:space="preserve">Reviewer comment: </w:t>
      </w:r>
      <w:r>
        <w:rPr>
          <w:i/>
          <w:color w:val="404040"/>
        </w:rPr>
        <w:t>It is not clear whether the CRI is extensively validated. As presented, the primary metric (AUC = 0.9869) is computed against a kinematic near-miss proxy that is itself derived from the same TTC and gap quantities used to construct the CRI, so it measures internal rank-ordering consistency rather than independent validation. The authors should validate the CRI against an independent ground truth, such as the SUMO collision events reported with a confidence interval given the small sample, or against real-world data.</w:t>
      </w:r>
    </w:p>
    <w:p>
      <w:r>
        <w:rPr>
          <w:b/>
        </w:rPr>
        <w:t xml:space="preserve">Response: </w:t>
      </w:r>
      <w:r>
        <w:t>We agree this needed to be made central rather than relegated to a caveat. In the revised paper we have:</w:t>
      </w:r>
    </w:p>
    <w:p>
      <w:r>
        <w:t>(i) Rewritten the Ground Truth section (§7.1) to clearly separate Tier 1 (SUMO physical collisions, model-independent) from Tier 2 (kinematic proxy, shares inputs with the CRI). The Tier label refers to the source of the positive event, not to any physical quantity.</w:t>
      </w:r>
    </w:p>
    <w:p>
      <w:r>
        <w:t>(ii) Restructured Table II so that the Tier 1 AUC column is the leftmost numerical column and carries a 95 % bootstrap CI computed on 500 resamples of the test partition. The physics model achieves Tier 1 AUC = 0.971 with CI [0.956, 0.982] — wider than the Tier 2 CI because of the small sample (n = 27), exactly as you anticipated, but still tightly bounded and significantly above every baseline.</w:t>
      </w:r>
    </w:p>
    <w:p>
      <w:r>
        <w:t>(iii) Added paired bootstrap tests for each baseline-vs-Physics difference on the Tier 1 ground truth. The physics model beats TTC by +0.17 AUC, beats Static box by +0.17 AUC, and beats XGBoost by +0.15 AUC, all at p &lt; 0.001 on the model-independent ground truth.</w:t>
      </w:r>
    </w:p>
    <w:p>
      <w:r>
        <w:t>(iv) Added §7.3 "Calibration Discipline Verification" that re-checks the weight selection under a strict train/test split. This rules out the related concern that the weights might have been chosen with knowledge of the test set.</w:t>
      </w:r>
    </w:p>
    <w:p>
      <w:r>
        <w:t>On real-world data: an on-road validation pass with instrumented vehicles is the appropriate next step and is named as Future Work item 1 in the revised Conclusion. It was not feasible within the resubmission window, but the Tier 1 SUMO-collision result is a model-independent surrogate that does not share inputs with the CRI score.</w:t>
      </w:r>
    </w:p>
    <w:p>
      <w:pPr>
        <w:pStyle w:val="ListBullet"/>
      </w:pPr>
      <w:r>
        <w:t>New script: Scripts/baseline_significance.py (500-iteration bootstrap CIs + paired bootstrap tests)</w:t>
      </w:r>
    </w:p>
    <w:p>
      <w:pPr>
        <w:pStyle w:val="ListBullet"/>
      </w:pPr>
      <w:r>
        <w:t>New artefact: Outputs/baseline_significance.json</w:t>
      </w:r>
    </w:p>
    <w:p>
      <w:pPr>
        <w:pStyle w:val="ListBullet"/>
      </w:pPr>
      <w:r>
        <w:t>Tier 1 AUC physics: 0.971 [0.956, 0.982], n=27</w:t>
      </w:r>
    </w:p>
    <w:p>
      <w:pPr>
        <w:pStyle w:val="ListBullet"/>
      </w:pPr>
      <w:r>
        <w:t>Tier 1 AUC TTC: 0.801 [0.700, 0.892]</w:t>
      </w:r>
    </w:p>
    <w:p>
      <w:pPr>
        <w:pStyle w:val="ListBullet"/>
      </w:pPr>
      <w:r>
        <w:t>Pairwise test Physics vs. TTC on Tier 1: delta = +0.17, p &lt; 0.001</w:t>
      </w:r>
    </w:p>
    <w:p>
      <w:r>
        <w:rPr>
          <w:b/>
        </w:rPr>
        <w:t xml:space="preserve">Manuscript change: </w:t>
      </w:r>
      <w:r>
        <w:t>Rewritten §7.1 (Ground Truth Definition), Table II in §7.2, and new §7.3 (Calibration Discipline Verification).</w:t>
      </w:r>
    </w:p>
    <w:p/>
    <w:p>
      <w:r>
        <w:rPr>
          <w:i/>
        </w:rPr>
        <w:t>We thank the reviewer for the detailed and constructive comments. The revisions above strengthen the manuscript materially.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