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4</w:t>
      </w:r>
    </w:p>
    <w:p>
      <w:pPr>
        <w:jc w:val="center"/>
      </w:pPr>
      <w:r>
        <w:rPr>
          <w:i/>
          <w:sz w:val="22"/>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w:t>
      </w:r>
    </w:p>
    <w:p/>
    <w:p>
      <w:r>
        <w:rPr>
          <w:b/>
        </w:rPr>
        <w:t>Dear Reviewer 4,</w:t>
      </w:r>
    </w:p>
    <w:p>
      <w:r>
        <w:t>Thank you for the eleven targeted comments. They span fusion-vs-substitution scope, formatting hygiene, several equation-level clarifications, the SUMO-vs-human-subjects question, ground-truth construction, the Tier labels, an additional ML methods question, and an expanded conclusion. Each is addressed below.</w:t>
      </w:r>
    </w:p>
    <w:p/>
    <w:p>
      <w:r>
        <w:rPr>
          <w:b/>
          <w:color w:val="1F3F7F"/>
          <w:sz w:val="24"/>
        </w:rPr>
        <w:t>Comment R4.1 — V2V fusion or substitution</w:t>
      </w:r>
    </w:p>
    <w:p>
      <w:pPr>
        <w:ind w:left="360"/>
      </w:pPr>
      <w:r>
        <w:rPr>
          <w:b/>
          <w:i/>
        </w:rPr>
        <w:t xml:space="preserve">Reviewer comment: </w:t>
      </w:r>
      <w:r>
        <w:rPr>
          <w:i/>
          <w:color w:val="404040"/>
        </w:rPr>
        <w:t>With reference to page 1, in the introduction Section, you mentioned you want to use V2V communication to overcome some current limitations of on-board sensors: are you thinking about a kind of fusion, or a substitution?</w:t>
      </w:r>
    </w:p>
    <w:p>
      <w:r>
        <w:rPr>
          <w:b/>
        </w:rPr>
        <w:t xml:space="preserve">Response: </w:t>
      </w:r>
      <w:r>
        <w:t>Complement, not substitution. We have made this explicit in the revised introduction. The relevant sentence (third paragraph of §1) now reads: "V2V is not intended as a substitute for radar or camera sensing; it is a third sensing modality, used in combination with the on-board sensors to cover precisely those situations where line-of-sight is geometrically impossible." Radar and camera remain the primary in-lane and same-lane sensors; V2V fills the occluded blind-spot case where they cannot see.</w:t>
      </w:r>
    </w:p>
    <w:p>
      <w:r>
        <w:rPr>
          <w:b/>
        </w:rPr>
        <w:t xml:space="preserve">Manuscript change: </w:t>
      </w:r>
      <w:r>
        <w:t>Sentence added in the third paragraph of §1 Introduction.</w:t>
      </w:r>
    </w:p>
    <w:p/>
    <w:p>
      <w:r>
        <w:rPr>
          <w:b/>
          <w:color w:val="1F3F7F"/>
          <w:sz w:val="24"/>
        </w:rPr>
        <w:t>Comment R4.2 — Formatting issues</w:t>
      </w:r>
    </w:p>
    <w:p>
      <w:pPr>
        <w:ind w:left="360"/>
      </w:pPr>
      <w:r>
        <w:rPr>
          <w:b/>
          <w:i/>
        </w:rPr>
        <w:t xml:space="preserve">Reviewer comment: </w:t>
      </w:r>
      <w:r>
        <w:rPr>
          <w:i/>
          <w:color w:val="404040"/>
        </w:rPr>
        <w:t>Overall, can you check throughout the text some formatting issues? For example: some overlapping formulas and "strange symbols" on page 3; some introductory text between title level 1 and 2 (e.g., Section 2 and section 2.1); acronyms should be explicit the first time you use it (e.g., CDF on page 3); missing number of Tables.</w:t>
      </w:r>
    </w:p>
    <w:p>
      <w:r>
        <w:rPr>
          <w:b/>
        </w:rPr>
        <w:t xml:space="preserve">Response: </w:t>
      </w:r>
      <w:r>
        <w:t>We have done a copy-edit pass and addressed each item: (i) acronyms are now expanded on first use — CDF (cumulative distribution function), DSRC (Dedicated Short-Range Communication), C-V2X (Cellular V2X), AUPRC (Area Under the Precision-Recall Curve), SHAP (Shapley Additive exPlanations); (ii) every section that has subsections now opens with a one-sentence introductory paragraph before the first subsection, so there is no level 1 heading immediately followed by a level 2 heading; (iii) all tables have numbered captions and are referenced from the text by number; (iv) the overlapping formula on page 3 was an artefact of the CRI equation being too wide for the column — we have switched that equation to an "aligned" environment with explicit line breaks so the parentheses no longer collide with the equation number.</w:t>
      </w:r>
    </w:p>
    <w:p>
      <w:r>
        <w:t>The "strange symbols" on page 3 were the θ with overhead-dot (yaw rate); these now render correctly under the standard mathptmx font that the journal class uses.</w:t>
      </w:r>
    </w:p>
    <w:p>
      <w:r>
        <w:rPr>
          <w:b/>
        </w:rPr>
        <w:t xml:space="preserve">Manuscript change: </w:t>
      </w:r>
      <w:r>
        <w:t>Copy-edit pass throughout, including: acronym expansion on first use; aligned environment for the CRI equation; intro paragraphs added after each \section heading that has subsections.</w:t>
      </w:r>
    </w:p>
    <w:p/>
    <w:p>
      <w:r>
        <w:rPr>
          <w:b/>
          <w:color w:val="1F3F7F"/>
          <w:sz w:val="24"/>
        </w:rPr>
        <w:t>Comment R4.3 — Meaning of formula (1)</w:t>
      </w:r>
    </w:p>
    <w:p>
      <w:pPr>
        <w:ind w:left="360"/>
      </w:pPr>
      <w:r>
        <w:rPr>
          <w:b/>
          <w:i/>
        </w:rPr>
        <w:t xml:space="preserve">Reviewer comment: </w:t>
      </w:r>
      <w:r>
        <w:rPr>
          <w:i/>
          <w:color w:val="404040"/>
        </w:rPr>
        <w:t>On page 2, with reference to formula (1), can you detail it a little bit more? Which is its meaning?</w:t>
      </w:r>
    </w:p>
    <w:p>
      <w:r>
        <w:rPr>
          <w:b/>
        </w:rPr>
        <w:t xml:space="preserve">Response: </w:t>
      </w:r>
      <w:r>
        <w:t>Formula (1) is the heading-estimation step. We have expanded §4.1 (BSM Input and Heading Estimation) to spell it out: the BSM does not transmit heading, so heading at time t is reconstructed as the four-quadrant inverse tangent of the displacement between the two most recent reported positions. This is mathematically equal to the true heading when the vehicle is moving and the GPS noise is small relative to the displacement between samples. The follow-up sentence in the revised paragraph makes clear that this is exactly why a low-speed guard is necessary: below 0.5 m/s, the inter-sample displacement is smaller than the GPS noise itself, so we hold the previous heading instead.</w:t>
      </w:r>
    </w:p>
    <w:p>
      <w:r>
        <w:rPr>
          <w:b/>
        </w:rPr>
        <w:t xml:space="preserve">Manuscript change: </w:t>
      </w:r>
      <w:r>
        <w:t>§4.1 expanded with the meaning of atan2(Δy, Δx) and the low-speed-guard rationale.</w:t>
      </w:r>
    </w:p>
    <w:p/>
    <w:p>
      <w:r>
        <w:rPr>
          <w:b/>
          <w:color w:val="1F3F7F"/>
          <w:sz w:val="24"/>
        </w:rPr>
        <w:t>Comment R4.4 — Static or dynamic friction</w:t>
      </w:r>
    </w:p>
    <w:p>
      <w:pPr>
        <w:ind w:left="360"/>
      </w:pPr>
      <w:r>
        <w:rPr>
          <w:b/>
          <w:i/>
        </w:rPr>
        <w:t xml:space="preserve">Reviewer comment: </w:t>
      </w:r>
      <w:r>
        <w:rPr>
          <w:i/>
          <w:color w:val="404040"/>
        </w:rPr>
        <w:t>On page 3, with reference to formula (9), the road friction "μ" is static or dynamic (e.g., changing value based on the external conditions or type of roads)?</w:t>
      </w:r>
    </w:p>
    <w:p>
      <w:r>
        <w:rPr>
          <w:b/>
        </w:rPr>
        <w:t xml:space="preserve">Response: </w:t>
      </w:r>
      <w:r>
        <w:t>It is per-scenario constant rather than continuously variable. We have added a clarifying sentence to §4.5 (Deceleration Risk): μ = 0.70 in the baseline dry-asphalt scenario and μ = 0.55 in the Hilly Narrow Road scenario; the value is fixed for the duration of the scenario. A fully dynamic, weather-coupled friction model would require sensor inputs that the 5-field BSM does not carry (wheel-slip estimates, ambient temperature), so real-time friction adaptation is named as future work in the same paragraph.</w:t>
      </w:r>
    </w:p>
    <w:p>
      <w:r>
        <w:rPr>
          <w:b/>
        </w:rPr>
        <w:t xml:space="preserve">Manuscript change: </w:t>
      </w:r>
      <w:r>
        <w:t>Paragraph added after eq. (9) in §4.5.</w:t>
      </w:r>
    </w:p>
    <w:p/>
    <w:p>
      <w:r>
        <w:rPr>
          <w:b/>
          <w:color w:val="1F3F7F"/>
          <w:sz w:val="24"/>
        </w:rPr>
        <w:t>Comment R4.5 — Meaning of "0,1" at end of formula (11)</w:t>
      </w:r>
    </w:p>
    <w:p>
      <w:pPr>
        <w:ind w:left="360"/>
      </w:pPr>
      <w:r>
        <w:rPr>
          <w:b/>
          <w:i/>
        </w:rPr>
        <w:t xml:space="preserve">Reviewer comment: </w:t>
      </w:r>
      <w:r>
        <w:rPr>
          <w:i/>
          <w:color w:val="404040"/>
        </w:rPr>
        <w:t>Same page, formula (11) is not totally clear: what "0,1" at the end represent?</w:t>
      </w:r>
    </w:p>
    <w:p>
      <w:r>
        <w:rPr>
          <w:b/>
        </w:rPr>
        <w:t xml:space="preserve">Response: </w:t>
      </w:r>
      <w:r>
        <w:t>The "0, 1" are the lower and upper bounds of the clip operator. We have rewritten the equation with explicit notation: clip_[0,1](z) = min(1, max(0, z)). The constraint exists so that R_decel always stays a valid probability-style score between 0 and 1, even at extreme inputs where the exponential might numerically saturate or where the gap difference is negative.</w:t>
      </w:r>
    </w:p>
    <w:p>
      <w:r>
        <w:rPr>
          <w:b/>
        </w:rPr>
        <w:t xml:space="preserve">Manuscript change: </w:t>
      </w:r>
      <w:r>
        <w:t>Eq. (11) rewritten with the clip operator defined inline.</w:t>
      </w:r>
    </w:p>
    <w:p/>
    <w:p>
      <w:r>
        <w:rPr>
          <w:b/>
          <w:color w:val="1F3F7F"/>
          <w:sz w:val="24"/>
        </w:rPr>
        <w:t>Comment R4.6 — Driver forgets to use turn indicator</w:t>
      </w:r>
    </w:p>
    <w:p>
      <w:pPr>
        <w:ind w:left="360"/>
      </w:pPr>
      <w:r>
        <w:rPr>
          <w:b/>
          <w:i/>
        </w:rPr>
        <w:t xml:space="preserve">Reviewer comment: </w:t>
      </w:r>
      <w:r>
        <w:rPr>
          <w:i/>
          <w:color w:val="404040"/>
        </w:rPr>
        <w:t>On page 4, at the beginning, you wrote that indicators are fundamental for your system, but what happens if the driver does not use it? Because it can occur the driver forgets it…</w:t>
      </w:r>
    </w:p>
    <w:p>
      <w:r>
        <w:rPr>
          <w:b/>
        </w:rPr>
        <w:t xml:space="preserve">Response: </w:t>
      </w:r>
      <w:r>
        <w:t>The system is robust against forgotten indicators because the BSM does not carry the indicator field in the first place. The intent component (§4.7) is built on lateral drift, not on the turn signal. Even if a driver forgets to indicate (which is a frequent real-world failure mode), the lateral motion itself is detected once the wheels begin to cross the lane line. In the published configuration we additionally set γ = 0 because the lateral-only proxy was found to be too noisy during in-lane jitter, but the deceleration and TTC components (R_decel and R_TTC) still respond directly to the closing geometry that an intended merge creates, so the lane-change danger case is still detected. We have made this point explicit in the revised §4.7.</w:t>
      </w:r>
    </w:p>
    <w:p>
      <w:r>
        <w:rPr>
          <w:b/>
        </w:rPr>
        <w:t xml:space="preserve">Manuscript change: </w:t>
      </w:r>
      <w:r>
        <w:t>Paragraph in §4.7 expanded to discuss the forgotten-indicator case.</w:t>
      </w:r>
    </w:p>
    <w:p/>
    <w:p>
      <w:r>
        <w:rPr>
          <w:b/>
          <w:color w:val="1F3F7F"/>
          <w:sz w:val="24"/>
        </w:rPr>
        <w:t>Comment R4.7 — Human-subject data and driving simulators</w:t>
      </w:r>
    </w:p>
    <w:p>
      <w:pPr>
        <w:ind w:left="360"/>
      </w:pPr>
      <w:r>
        <w:rPr>
          <w:b/>
          <w:i/>
        </w:rPr>
        <w:t xml:space="preserve">Reviewer comment: </w:t>
      </w:r>
      <w:r>
        <w:rPr>
          <w:i/>
          <w:color w:val="404040"/>
        </w:rPr>
        <w:t>As far as I know, SUMO is a traffic simulator, without the participation of human subjects; have you ever considered also this possibility, to collect more reliable data?</w:t>
      </w:r>
    </w:p>
    <w:p>
      <w:r>
        <w:rPr>
          <w:b/>
        </w:rPr>
        <w:t xml:space="preserve">Response: </w:t>
      </w:r>
      <w:r>
        <w:t>Correct — SUMO is a microscopic traffic simulator and uses car-following and lane-change models in place of real human drivers. We have added this as a fifth direction (after the four numbered Future Work items) in the Conclusion: a driving-simulator setup with human-subject participation would capture decision-making in lane-change conflicts that SUMO’s car-following models approximate but do not reproduce. Such a study would also let us measure the human reaction time distribution against the AASHTO 1.2 s value we currently use as a constant in R_decel.</w:t>
      </w:r>
    </w:p>
    <w:p>
      <w:r>
        <w:rPr>
          <w:b/>
        </w:rPr>
        <w:t xml:space="preserve">Manuscript change: </w:t>
      </w:r>
      <w:r>
        <w:t>Fifth-direction paragraph (after the four numbered Future Work items) added in §10 Conclusion.</w:t>
      </w:r>
    </w:p>
    <w:p/>
    <w:p>
      <w:r>
        <w:rPr>
          <w:b/>
          <w:color w:val="1F3F7F"/>
          <w:sz w:val="24"/>
        </w:rPr>
        <w:t>Comment R4.8 — Ground-truth rules and thresholds</w:t>
      </w:r>
    </w:p>
    <w:p>
      <w:pPr>
        <w:ind w:left="360"/>
      </w:pPr>
      <w:r>
        <w:rPr>
          <w:b/>
          <w:i/>
        </w:rPr>
        <w:t xml:space="preserve">Reviewer comment: </w:t>
      </w:r>
      <w:r>
        <w:rPr>
          <w:i/>
          <w:color w:val="404040"/>
        </w:rPr>
        <w:t>On page 5, Section 6.1, which are the deterministic rules you used to define the ground-truth? And how did you define the threshold values?</w:t>
      </w:r>
    </w:p>
    <w:p>
      <w:r>
        <w:rPr>
          <w:b/>
        </w:rPr>
        <w:t xml:space="preserve">Response: </w:t>
      </w:r>
      <w:r>
        <w:t>We have rewritten the Ground Truth subsection (§7.1) to state both the rule and the threshold justifications explicitly. The kinematic near-miss rule is: a row is positive if ego speed &gt; 2.0 m/s AND the target is in the blind-spot zone AND (gap &lt; 1.0 m OR TTC_proxy &lt; 2.0 s) AND rel_speed &gt; 0.5 m/s, where TTC_proxy = gap / max(rel_speed, 0.5 m/s). The SUMO collision flag (positive when SUMO’s collision detector reports physical overlap between the two vehicles) is treated as a separate, higher-priority positive label.</w:t>
      </w:r>
    </w:p>
    <w:p>
      <w:r>
        <w:t>The thresholds are physically motivated rather than tuned: 1.0 m gap is one vehicle-width safety margin (a gap below one vehicle width during a lane-change implies side-swipe contact in the next sample); 2.0 s TTC is the imminent-warning band used in the AEB regulatory test protocols; 0.5 m/s relative-speed guard prevents the TTC denominator from collapsing on stationary co-travellers; 2.0 m/s ego-speed guard mirrors the v_min parameter used by the dynamic blind-spot zone equation. None of these is a free hyperparameter — each has an explicit physical or regulatory basis.</w:t>
      </w:r>
    </w:p>
    <w:p>
      <w:r>
        <w:rPr>
          <w:b/>
        </w:rPr>
        <w:t xml:space="preserve">Manuscript change: </w:t>
      </w:r>
      <w:r>
        <w:t>§7.1 (Ground Truth Definition) rewritten with an itemised rule and a "thresholds are not free hyperparameters" paragraph that justifies each.</w:t>
      </w:r>
    </w:p>
    <w:p/>
    <w:p>
      <w:r>
        <w:rPr>
          <w:b/>
          <w:color w:val="1F3F7F"/>
          <w:sz w:val="24"/>
        </w:rPr>
        <w:t>Comment R4.9 — Tier 1 / Tier 2 meaning</w:t>
      </w:r>
    </w:p>
    <w:p>
      <w:pPr>
        <w:ind w:left="360"/>
      </w:pPr>
      <w:r>
        <w:rPr>
          <w:b/>
          <w:i/>
        </w:rPr>
        <w:t xml:space="preserve">Reviewer comment: </w:t>
      </w:r>
      <w:r>
        <w:rPr>
          <w:i/>
          <w:color w:val="404040"/>
        </w:rPr>
        <w:t>On page 6, what are you referring to, with "Tier 1", "Tier 2", and so on? To the friction of road?</w:t>
      </w:r>
    </w:p>
    <w:p>
      <w:r>
        <w:rPr>
          <w:b/>
        </w:rPr>
        <w:t xml:space="preserve">Response: </w:t>
      </w:r>
      <w:r>
        <w:t>The Tier labels refer only to the source of the positive ground-truth label, not to friction or any other physical quantity. We have rewritten the opening of §7.1 to state this directly at the beginning. Specifically: Tier 1 = SUMO physical collisions (model-independent); Tier 2 = kinematic near-miss proxy (model-correlated, shares inputs with the CRI). We removed every other use of "Tier" terminology in the paper and double-checked the few remaining mentions are scoped to ground-truth labelling only.</w:t>
      </w:r>
    </w:p>
    <w:p>
      <w:r>
        <w:rPr>
          <w:b/>
        </w:rPr>
        <w:t xml:space="preserve">Manuscript change: </w:t>
      </w:r>
      <w:r>
        <w:t>§7.1 opening sentence now explicitly defines Tier 1 and Tier 2 as ground-truth sources, not as a road-friction or any other variable.</w:t>
      </w:r>
    </w:p>
    <w:p/>
    <w:p>
      <w:r>
        <w:rPr>
          <w:b/>
          <w:color w:val="1F3F7F"/>
          <w:sz w:val="24"/>
        </w:rPr>
        <w:t>Comment R4.10 — Other ML methods beyond XGBoost</w:t>
      </w:r>
    </w:p>
    <w:p>
      <w:pPr>
        <w:ind w:left="360"/>
      </w:pPr>
      <w:r>
        <w:rPr>
          <w:b/>
          <w:i/>
        </w:rPr>
        <w:t xml:space="preserve">Reviewer comment: </w:t>
      </w:r>
      <w:r>
        <w:rPr>
          <w:i/>
          <w:color w:val="404040"/>
        </w:rPr>
        <w:t>On page 7, you mentioned that the performances of XG-Boost are quite poor; have you also tried other methods? Just to know if there is an intrinsic problem in the data, for example.</w:t>
      </w:r>
    </w:p>
    <w:p>
      <w:r>
        <w:rPr>
          <w:b/>
        </w:rPr>
        <w:t xml:space="preserve">Response: </w:t>
      </w:r>
      <w:r>
        <w:t>Yes, we have now run the comparison and added it as §7.6 "Comparison with Other ML Methods" (new Table V). We trained three additional classifiers on identical preprocessing: a Random Forest (200 trees, balanced class weights), a LightGBM gradient-boosting classifier matched to the XGBoost hyperparameters, and a multinomial Logistic Regression with standardised inputs. Held-out test results (15-feature table, same SMOTE pre-processing, same 75/25 split, random seed 42):</w:t>
      </w:r>
    </w:p>
    <w:p/>
    <w:p>
      <w:r>
        <w:t>XGBoost      — Macro AUC 0.931, CRITICAL AUC 0.909, CRITICAL recall 0.00</w:t>
      </w:r>
    </w:p>
    <w:p>
      <w:r>
        <w:t>LightGBM     — Macro AUC 0.911, CRITICAL AUC 0.883, CRITICAL recall 0.00</w:t>
      </w:r>
    </w:p>
    <w:p>
      <w:r>
        <w:t>RandomForest — Macro AUC 0.908, CRITICAL AUC 0.850, CRITICAL recall 0.00</w:t>
      </w:r>
    </w:p>
    <w:p>
      <w:r>
        <w:t>LogReg       — Macro AUC 0.858, CRITICAL AUC 0.762, CRITICAL recall 0.00</w:t>
      </w:r>
    </w:p>
    <w:p/>
    <w:p>
      <w:r>
        <w:t>The four classifiers cluster within a narrow band on the easy classes (SAFE, CAUTION, WARNING) and all four fail identically on the CRITICAL class. There is therefore an intrinsic data problem, not a classifier-choice problem: with 41 CRITICAL training rows after the stratified split (extended to 500 by SMOTE), no learner has enough signal to confidently distinguish the CRITICAL region from the WARNING region. The right path to better rare-event detection is more CRITICAL training data, not a different algorithm.</w:t>
      </w:r>
    </w:p>
    <w:p>
      <w:pPr>
        <w:pStyle w:val="ListBullet"/>
      </w:pPr>
      <w:r>
        <w:t>New script: Scripts/ml_baselines_comparison.py</w:t>
      </w:r>
    </w:p>
    <w:p>
      <w:pPr>
        <w:pStyle w:val="ListBullet"/>
      </w:pPr>
      <w:r>
        <w:t>New artefact: Outputs/ml_baselines_report.json</w:t>
      </w:r>
    </w:p>
    <w:p>
      <w:pPr>
        <w:pStyle w:val="ListBullet"/>
      </w:pPr>
      <w:r>
        <w:t>New Table V in the manuscript (§7.6)</w:t>
      </w:r>
    </w:p>
    <w:p>
      <w:r>
        <w:rPr>
          <w:b/>
        </w:rPr>
        <w:t xml:space="preserve">Manuscript change: </w:t>
      </w:r>
      <w:r>
        <w:t>New §7.6 "Comparison with Other ML Methods" with Table V.</w:t>
      </w:r>
    </w:p>
    <w:p/>
    <w:p>
      <w:r>
        <w:rPr>
          <w:b/>
          <w:color w:val="1F3F7F"/>
          <w:sz w:val="24"/>
        </w:rPr>
        <w:t>Comment R4.11 — More scenarios and static conditions in conclusion</w:t>
      </w:r>
    </w:p>
    <w:p>
      <w:pPr>
        <w:ind w:left="360"/>
      </w:pPr>
      <w:r>
        <w:rPr>
          <w:b/>
          <w:i/>
        </w:rPr>
        <w:t xml:space="preserve">Reviewer comment: </w:t>
      </w:r>
      <w:r>
        <w:rPr>
          <w:i/>
          <w:color w:val="404040"/>
        </w:rPr>
        <w:t>Finally, with reference to your conclusions, you could consider also more scenarios and conditions, even in simulators, especially in static type.</w:t>
      </w:r>
    </w:p>
    <w:p>
      <w:r>
        <w:rPr>
          <w:b/>
        </w:rPr>
        <w:t xml:space="preserve">Response: </w:t>
      </w:r>
      <w:r>
        <w:t>Agreed. We have expanded the Future Work list in the Conclusion to include this explicitly. Future Work item 3 now reads: "More scenarios, including static-traffic conditions. 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r>
        <w:rPr>
          <w:b/>
        </w:rPr>
        <w:t xml:space="preserve">Manuscript change: </w:t>
      </w:r>
      <w:r>
        <w:t>Future Work item 3 added in §10 Conclusion.</w:t>
      </w:r>
    </w:p>
    <w:p/>
    <w:p>
      <w:r>
        <w:rPr>
          <w:i/>
        </w:rPr>
        <w:t>We thank the reviewer for the detailed and constructive comments. The revisions above strengthen the manuscript materially.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