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Reviewer Comments and Author Responses — Consolidated</w:t>
      </w:r>
    </w:p>
    <w:p>
      <w:pPr>
        <w:jc w:val="center"/>
      </w:pPr>
      <w:r>
        <w:rPr>
          <w:i/>
          <w:sz w:val="20"/>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w:t>
      </w:r>
    </w:p>
    <w:p/>
    <w:p>
      <w:r>
        <w:rPr>
          <w:b/>
          <w:color w:val="1F3F7F"/>
          <w:sz w:val="30"/>
        </w:rPr>
        <w:t>Reviewer 1</w:t>
      </w:r>
    </w:p>
    <w:p>
      <w:r>
        <w:rPr>
          <w:b/>
          <w:sz w:val="24"/>
        </w:rPr>
        <w:t>Original comments:</w:t>
      </w:r>
    </w:p>
    <w:p>
      <w:r>
        <w:t>This paper proposes a V2V-based blind spot detection system for lane-change safety. Instead of relying only on radar or cameras, which can fail when another vehicle blocks the sensor view, the system uses wireless vehicle-to-vehicle communication to detect hidden nearby vehicles. The key contribution is that it only needs 5 fields from the Basic Safety Message (BSM), making it simpler than previous methods that required more data. It also designs a Collision Risk Index (CRI) with a severity gate, meaning the system will not trigger a warning unless at least one risk factor is truly high. This helps reduce false alarms. The system was tested on a large simulated dataset of 146,051 vehicle interactions from a real road network and showed strong performance, with AUC = 0.9869 and stable results across multiple traffic simulations.</w:t>
      </w:r>
    </w:p>
    <w:p>
      <w:r>
        <w:t>Here are some suggestions that could improve the paper:</w:t>
      </w:r>
    </w:p>
    <w:p>
      <w:r>
        <w:t>1. Please clearly define the lane-change scenario and explain why blind spots are a critical safety issue that cannot be adequately addressed by onboard sensors alone. For example, the manuscript should describe how vehicles interact during lane-change maneuvers, how blind spots occur between adjacent or nearby vehicles, and how such blind spots may lead to potential collisions.</w:t>
      </w:r>
    </w:p>
    <w:p>
      <w:r>
        <w:t>2. Please clarify how SMOTE helps address the issue of rare dangerous events.</w:t>
      </w:r>
    </w:p>
    <w:p>
      <w:r>
        <w:t>3. It is recommended to use SHapley Additive exPlanations (SHAP) to improve feature interpretation.</w:t>
      </w:r>
    </w:p>
    <w:p>
      <w:r>
        <w:t>4. The formula for RTTC is not well organized and should clarify TTC thresholds selection. The manuscript should present the RTTC equation in a more structured format, clearly define each variable, and explain how the metric is calculated in the lane-change context, as well as thresholds selection.</w:t>
      </w:r>
    </w:p>
    <w:p>
      <w:r>
        <w:t>5. Although the topic is related to lane-change scenarios, the simulation design does not sufficiently reflect this focus. The manuscript should include a more specific simulation design, including the lane-change scenario setup, key behavioral parameters, vehicle interaction settings, and detailed simulation process steps.</w:t>
      </w:r>
    </w:p>
    <w:p/>
    <w:p>
      <w:r>
        <w:rPr>
          <w:b/>
          <w:sz w:val="24"/>
        </w:rPr>
        <w:t>Author responses:</w:t>
      </w:r>
    </w:p>
    <w:p>
      <w:pPr>
        <w:pStyle w:val="Normal"/>
      </w:pPr>
      <w:r>
        <w:rPr>
          <w:b/>
          <w:color w:val="1F3F7F"/>
        </w:rPr>
        <w:t>Comment R1.1 — Lane-change scenario and blind-spot causality</w:t>
      </w:r>
    </w:p>
    <w:p>
      <w:pPr>
        <w:pStyle w:val="Normal"/>
      </w:pPr>
      <w:r>
        <w:rPr>
          <w:b/>
          <w:i/>
        </w:rPr>
        <w:t xml:space="preserve">Reviewer comment: </w:t>
      </w:r>
      <w:r>
        <w:rPr>
          <w:i/>
          <w:color w:val="404040"/>
        </w:rPr>
        <w:t>Please clearly define the lane-change scenario and explain why blind spots are a critical safety issue that cannot be adequately addressed by onboard sensors alone. The manuscript should describe how vehicles interact during lane-change maneuvers, how blind spots occur between adjacent or nearby vehicles, and how such blind spots may lead to potential collisions.</w:t>
      </w:r>
    </w:p>
    <w:p>
      <w:pPr>
        <w:pStyle w:val="Normal"/>
      </w:pPr>
      <w:r>
        <w:rPr>
          <w:b/>
        </w:rPr>
        <w:t xml:space="preserve">Response: </w:t>
      </w:r>
      <w:r>
        <w:rPr/>
        <w:t>We agree this needed to be made explicit. We have added a new scenario-level figure (Fig. 1) and an extended introduction paragraph that walks through the canonical failure mode: an ego sedan signalling a lane change while a heavy truck in its own lane geometrically occludes the onboard radar and camera view of a faster sedan approaching in the destination lane. The hidden vehicle sits inside the ego’s right-side blind spot, the driver receives no sensor alert, and the rear-end speed difference leaves the approaching vehicle no time to brake.</w:t>
      </w:r>
    </w:p>
    <w:p>
      <w:pPr>
        <w:pStyle w:val="Normal"/>
      </w:pPr>
      <w:r>
        <w:rPr/>
        <w:t>The figure shows the same configuration in plan view, including the BSM packet propagating around the truck and being converted to a CRI alert by the receiver. We make the point clearly in the introduction that on-board sensing cannot solve this failure mode at any sensor resolution, because the line-of-sight is physically blocked — only a third sensing modality that does not depend on optical or millimetre-wave line-of-sight can cover the gap.</w:t>
      </w:r>
    </w:p>
    <w:p>
      <w:pPr>
        <w:pStyle w:val="Normal"/>
      </w:pPr>
      <w:r>
        <w:rPr>
          <w:b/>
        </w:rPr>
        <w:t xml:space="preserve">Manuscript change: </w:t>
      </w:r>
      <w:r>
        <w:rPr/>
        <w:t>New Fig. 1 (scenario_diagram) added at the top of §1; the introduction now contains a dedicated paragraph (second paragraph of §1) defining the lane-change failure mode and a follow-up paragraph clarifying that V2V is a complement to radar/camera, not a substitute. Note: the four-layer architecture diagram that was previously Fig. 1 is now Fig. 2 due to the new figure being prepended.</w:t>
      </w:r>
    </w:p>
    <w:p>
      <w:pPr>
        <w:pStyle w:val="Normal"/>
      </w:pPr>
    </w:p>
    <w:p>
      <w:pPr>
        <w:pStyle w:val="Normal"/>
      </w:pPr>
      <w:r>
        <w:rPr>
          <w:b/>
          <w:color w:val="1F3F7F"/>
        </w:rPr>
        <w:t>Comment R1.2 — How SMOTE addresses rare events</w:t>
      </w:r>
    </w:p>
    <w:p>
      <w:pPr>
        <w:pStyle w:val="Normal"/>
      </w:pPr>
      <w:r>
        <w:rPr>
          <w:b/>
          <w:i/>
        </w:rPr>
        <w:t xml:space="preserve">Reviewer comment: </w:t>
      </w:r>
      <w:r>
        <w:rPr>
          <w:i/>
          <w:color w:val="404040"/>
        </w:rPr>
        <w:t>Please clarify how SMOTE helps address the issue of rare dangerous events.</w:t>
      </w:r>
    </w:p>
    <w:p>
      <w:pPr>
        <w:pStyle w:val="Normal"/>
      </w:pPr>
      <w:r>
        <w:rPr>
          <w:b/>
        </w:rPr>
        <w:t xml:space="preserve">Response: </w:t>
      </w:r>
      <w:r>
        <w:rPr/>
        <w:t>We have expanded the AI Model Configuration subsection to explain the mechanism rather than just naming the technique. The relevant passage now states that the dataset is heavily skewed (only 54 CRITICAL rows out of 146 051, a positive rate below 0.04 %), that training on the raw distribution would let any classifier collapse to "always predict SAFE" and still reach 99.96 % accuracy, and that SMOTE prevents this by synthesising new minority-class points along the line segments connecting a sample to its k nearest minority neighbours in feature space.</w:t>
      </w:r>
    </w:p>
    <w:p>
      <w:pPr>
        <w:pStyle w:val="Normal"/>
      </w:pPr>
      <w:r>
        <w:rPr/>
        <w:t>We also state precisely which classes were oversampled (CAUTION to 3 000, WARNING to 2 000, CRITICAL to 500) and make clear that SMOTE is applied only to the training partition — the held-out 25 % test partition is never SMOTE-treated, so reported test metrics reflect the true class distribution.</w:t>
      </w:r>
    </w:p>
    <w:p>
      <w:pPr>
        <w:pStyle w:val="Normal"/>
      </w:pPr>
      <w:r>
        <w:rPr>
          <w:b/>
        </w:rPr>
        <w:t xml:space="preserve">Manuscript change: </w:t>
      </w:r>
      <w:r>
        <w:rPr/>
        <w:t>§6.5 (AI Model Configuration) expanded with mechanistic explanation of SMOTE.</w:t>
      </w:r>
    </w:p>
    <w:p>
      <w:pPr>
        <w:pStyle w:val="Normal"/>
      </w:pPr>
    </w:p>
    <w:p>
      <w:pPr>
        <w:pStyle w:val="Normal"/>
      </w:pPr>
      <w:r>
        <w:rPr>
          <w:b/>
          <w:color w:val="1F3F7F"/>
        </w:rPr>
        <w:t>Comment R1.3 — SHAP for feature interpretation</w:t>
      </w:r>
    </w:p>
    <w:p>
      <w:pPr>
        <w:pStyle w:val="Normal"/>
      </w:pPr>
      <w:r>
        <w:rPr>
          <w:b/>
          <w:i/>
        </w:rPr>
        <w:t xml:space="preserve">Reviewer comment: </w:t>
      </w:r>
      <w:r>
        <w:rPr>
          <w:i/>
          <w:color w:val="404040"/>
        </w:rPr>
        <w:t>It is recommended to use SHapley Additive exPlanations (SHAP) to improve feature interpretation.</w:t>
      </w:r>
    </w:p>
    <w:p>
      <w:pPr>
        <w:pStyle w:val="Normal"/>
      </w:pPr>
      <w:r>
        <w:rPr>
          <w:b/>
        </w:rPr>
        <w:t xml:space="preserve">Response: </w:t>
      </w:r>
      <w:r>
        <w:rPr/>
        <w:t>We have added a SHAP analysis on the trained XGBoost classifier. Using the TreeExplainer on a stratified 3 791-row sample (about 1 250 per class), we report the SHAP beeswarm summary for the CRITICAL class (new Fig. 13) and the SHAP dependence plot for the most-impactful feature (Fig. 14). The figure files are named fig14_shap_summary.png and fig15_shap_dependence_decel.png in the source tree but appear as Fig. 13 and Fig. 14 under the manuscript's sequential figure numbering.</w:t>
      </w:r>
    </w:p>
    <w:p>
      <w:pPr>
        <w:pStyle w:val="Normal"/>
      </w:pPr>
      <w:r>
        <w:rPr/>
        <w:t>The comparison between gain-based and SHAP-based rankings is informative. Gain importance ranks decel first (0.347), is_braking second (0.284), max_gap third (0.094). SHAP ranks max_gap first (mean |SHAP| 4.35), num_targets second (2.56), speed third (1.70), decel fourth (1.45). The two views are complementary — gain measures the model’s reliance on a feature across all training samples, while SHAP measures the per-sample contribution to specific predictions. Crucially, the SHAP-top features (max_gap, num_targets) coincide with the inputs the physics CRI engine treats as primary, which we read as a consistency check between the two modelling routes.</w:t>
      </w:r>
    </w:p>
    <w:p>
      <w:pPr>
        <w:pStyle w:val="ListBullet"/>
      </w:pPr>
      <w:r>
        <w:rPr/>
        <w:t>New script: Scripts/shap_analysis.py (TreeExplainer, stratified 3 791-row sample)</w:t>
      </w:r>
    </w:p>
    <w:p>
      <w:pPr>
        <w:pStyle w:val="ListBullet"/>
      </w:pPr>
      <w:r>
        <w:rPr/>
        <w:t>New artefact: Outputs/shap_report.json (per-class mean |SHAP| for all 15 features)</w:t>
      </w:r>
    </w:p>
    <w:p>
      <w:pPr>
        <w:pStyle w:val="ListBullet"/>
      </w:pPr>
      <w:r>
        <w:rPr/>
        <w:t>New figures: Outputs/figures/fig14_shap_summary.png and fig15_shap_dependence_decel.png</w:t>
      </w:r>
    </w:p>
    <w:p>
      <w:pPr>
        <w:pStyle w:val="Normal"/>
      </w:pPr>
      <w:r>
        <w:rPr>
          <w:b/>
        </w:rPr>
        <w:t xml:space="preserve">Manuscript change: </w:t>
      </w:r>
      <w:r>
        <w:rPr/>
        <w:t>New subsubsection "SHAP-based feature attribution" inside §7.5, with Figs. 13 and 14.</w:t>
      </w:r>
    </w:p>
    <w:p>
      <w:pPr>
        <w:pStyle w:val="Normal"/>
      </w:pPr>
    </w:p>
    <w:p>
      <w:pPr>
        <w:pStyle w:val="Normal"/>
      </w:pPr>
      <w:r>
        <w:rPr>
          <w:b/>
          <w:color w:val="1F3F7F"/>
        </w:rPr>
        <w:t>Comment R1.4 — R_TTC reformat and threshold justification</w:t>
      </w:r>
    </w:p>
    <w:p>
      <w:pPr>
        <w:pStyle w:val="Normal"/>
      </w:pPr>
      <w:r>
        <w:rPr>
          <w:b/>
          <w:i/>
        </w:rPr>
        <w:t xml:space="preserve">Reviewer comment: </w:t>
      </w:r>
      <w:r>
        <w:rPr>
          <w:i/>
          <w:color w:val="404040"/>
        </w:rPr>
        <w:t>The formula for R_TTC is not well organized and should clarify TTC thresholds selection. The manuscript should present the R_TTC equation in a more structured format, clearly define each variable, and explain how the metric is calculated in the lane-change context, as well as thresholds selection.</w:t>
      </w:r>
    </w:p>
    <w:p>
      <w:pPr>
        <w:pStyle w:val="Normal"/>
      </w:pPr>
      <w:r>
        <w:rPr>
          <w:b/>
        </w:rPr>
        <w:t xml:space="preserve">Response: </w:t>
      </w:r>
      <w:r>
        <w:rPr/>
        <w:t>We have rewritten the R_TTC subsection. The TTC quadratic is now stated as a standalone equation with all variables labelled in a where-block (x_rel as the current longitudinal gap, v_rel as the closing speed, a_rel as the relative acceleration, with the convention that "positive" means the gap is shrinking). The piecewise R_TTC equation is then given separately with an explicit label.</w:t>
      </w:r>
    </w:p>
    <w:p>
      <w:pPr>
        <w:pStyle w:val="Normal"/>
      </w:pPr>
      <w:r>
        <w:rPr/>
        <w:t>The threshold selection is now justified explicitly. TTC_crit = 4.0 s is the NHTSA Forward Collision Warning band for an imminent-warning condition on passenger vehicles. TTC_max = 8.0 s is the horizon beyond which the predicted impact is too far in the future to act on, because intervening driver actions and updated BSMs are nearly certain to invalidate the prediction. The quadratic decay between 4 and 8 s causes the score to fall from 1.0 to 0.25 as the horizon doubles, matching the conservative roll-off used in Euro NCAP surrogate-safety testing.</w:t>
      </w:r>
    </w:p>
    <w:p>
      <w:pPr>
        <w:pStyle w:val="Normal"/>
      </w:pPr>
      <w:r>
        <w:rPr/>
        <w:t>The lateral-TTC variant uses a linear (instead of quadratic) decay because lateral closing speeds are typically much smaller than longitudinal ones and the quadratic form would suppress almost all lateral signal; the combined R_TTC reported in the CRI formula is then the max of the two.</w:t>
      </w:r>
    </w:p>
    <w:p>
      <w:pPr>
        <w:pStyle w:val="Normal"/>
      </w:pPr>
      <w:r>
        <w:rPr>
          <w:b/>
        </w:rPr>
        <w:t xml:space="preserve">Manuscript change: </w:t>
      </w:r>
      <w:r>
        <w:rPr/>
        <w:t>§4.6 (R_TTC) entirely rewritten with structured equation, where-block, and a dedicated "Threshold selection" paragraph.</w:t>
      </w:r>
    </w:p>
    <w:p>
      <w:pPr>
        <w:pStyle w:val="Normal"/>
      </w:pPr>
    </w:p>
    <w:p>
      <w:pPr>
        <w:pStyle w:val="Normal"/>
      </w:pPr>
      <w:r>
        <w:rPr>
          <w:b/>
          <w:color w:val="1F3F7F"/>
        </w:rPr>
        <w:t>Comment R1.5 — Lane-change-specific simulation design</w:t>
      </w:r>
    </w:p>
    <w:p>
      <w:pPr>
        <w:pStyle w:val="Normal"/>
      </w:pPr>
      <w:r>
        <w:rPr>
          <w:b/>
          <w:i/>
        </w:rPr>
        <w:t xml:space="preserve">Reviewer comment: </w:t>
      </w:r>
      <w:r>
        <w:rPr>
          <w:i/>
          <w:color w:val="404040"/>
        </w:rPr>
        <w:t>Although the topic is related to lane-change scenarios, the simulation design does not sufficiently reflect this focus. The manuscript should include a more specific simulation design, including the lane-change scenario setup, key behavioral parameters, vehicle interaction settings, and detailed simulation process steps.</w:t>
      </w:r>
    </w:p>
    <w:p>
      <w:pPr>
        <w:pStyle w:val="Normal"/>
      </w:pPr>
      <w:r>
        <w:rPr>
          <w:b/>
        </w:rPr>
        <w:t xml:space="preserve">Response: </w:t>
      </w:r>
      <w:r>
        <w:rPr/>
        <w:t>We have added a new subsection "Road Network and Lane-Change Setup" (§6.3) that documents the lane-change generation pipeline explicitly. The traffic generation script (Scripts/gen_bridge_routes.py in the public repository) is built specifically to force dense lane-change interactions, in four phases.</w:t>
      </w:r>
    </w:p>
    <w:p>
      <w:pPr>
        <w:pStyle w:val="Normal"/>
      </w:pPr>
      <w:r>
        <w:rPr/>
        <w:t>Phase 1 populates every multi-lane edge with paired vehicles every 3.0 s of simulated time: a slow leader on lane 0 at 30 m from the edge start travels at 12 m/s, while an aggressive catcher on lane 1 starts at the edge with departSpeed 28 m/s and maxSpeed 35 m/s. The lane assignment alternates per timestep so both left-side and right-side blind-spot configurations are generated. Where three lanes are available, a third truck-type vehicle on lane 2 acts as a line-of-sight occluder.</w:t>
      </w:r>
    </w:p>
    <w:p>
      <w:pPr>
        <w:pStyle w:val="Normal"/>
      </w:pPr>
      <w:r>
        <w:rPr/>
        <w:t>Phase 2 adds 150 cross-network commuter routes; Phase 3 inserts 40 platoons of six vehicles each at 0.5 s headway; Phase 4 streams vehicles inward from every network-boundary edge for 360 s. SUMO’s built-in LC2013 lateral controller produces the actual lane-change dynamics, with lateral resolution set to 0.8 m and speed deviation 0.1 on each vehicle type. The combination of these forced insertion patterns and the LC2013 controller is what generates the 3 465 positive ground-truth events used to score the CRI.</w:t>
      </w:r>
    </w:p>
    <w:p>
      <w:pPr>
        <w:pStyle w:val="Normal"/>
      </w:pPr>
      <w:r>
        <w:rPr>
          <w:b/>
        </w:rPr>
        <w:t xml:space="preserve">Manuscript change: </w:t>
      </w:r>
      <w:r>
        <w:rPr/>
        <w:t>New §6.3 "Road Network and Lane-Change Setup" with full description of the four-phase route generator, vehicle insertion parameters, and LC2013 settings.</w:t>
      </w:r>
    </w:p>
    <w:p>
      <w:pPr>
        <w:pStyle w:val="Normal"/>
      </w:pPr>
    </w:p>
    <w:p>
      <w:pPr>
        <w:pStyle w:val="Normal"/>
      </w:pPr>
      <w:r>
        <w:rPr>
          <w:i/>
        </w:rPr>
        <w:t>We thank the reviewer for the detailed and constructive comments. The revisions above strengthen the manuscript materially.</w:t>
      </w:r>
    </w:p>
    <w:p/>
    <w:p>
      <w:pPr>
        <w:jc w:val="center"/>
      </w:pPr>
      <w:r>
        <w:t>——————————————————————————————</w:t>
      </w:r>
    </w:p>
    <w:p/>
    <w:p>
      <w:r>
        <w:rPr>
          <w:b/>
          <w:color w:val="1F3F7F"/>
          <w:sz w:val="30"/>
        </w:rPr>
        <w:t>Reviewer 2</w:t>
      </w:r>
    </w:p>
    <w:p>
      <w:r>
        <w:rPr>
          <w:b/>
          <w:sz w:val="24"/>
        </w:rPr>
        <w:t>Original comments:</w:t>
      </w:r>
    </w:p>
    <w:p>
      <w:r>
        <w:t>A V2V blind spot system using a minimal 5-field BSM (vs. 13) and a physics-based Collision Risk Index with a "severity gate" that suppresses false alarms by requiring one genuinely high danger signal. Clean engineering and honest caveats, but evidence is too narrow and circular for the headline claims.</w:t>
      </w:r>
    </w:p>
    <w:p>
      <w:r>
        <w:t>Drawbacks:</w:t>
      </w:r>
    </w:p>
    <w:p>
      <w:r>
        <w:t>1. The 0.9869 AUC is scored against a proxy that shares inputs with the model — self-consistency, not accuracy. Lead with the independent metric (n=27) and its confidence interval.</w:t>
      </w:r>
    </w:p>
    <w:p>
      <w:r>
        <w:t>2. Many hand-set constants (α, β, K_brake, thresholds) appear fitted on the test set. Calibrate on a held-out split.</w:t>
      </w:r>
    </w:p>
    <w:p>
      <w:r>
        <w:t>3. No pedestrians, cyclists, two-wheelers, or turn signals — and intent was disabled (γ=0), undercutting the lane-change use case. Motivated by mixed Indian traffic, yet excludes its dominant actors.</w:t>
      </w:r>
    </w:p>
    <w:p>
      <w:r>
        <w:t>4. HNR/TSV acronyms misdefined in the setup, class proportions don't reconcile with the 2.37% positive rate.</w:t>
      </w:r>
    </w:p>
    <w:p>
      <w:r>
        <w:t>5. No CIs or significance tests vs. baselines; six-seed result reuses the circular proxy.</w:t>
      </w:r>
    </w:p>
    <w:p>
      <w:r>
        <w:t>6. Most citations pre-2021; missing recent C-V2X cooperative-perception work, so novelty is hard to place.</w:t>
      </w:r>
    </w:p>
    <w:p/>
    <w:p>
      <w:r>
        <w:rPr>
          <w:b/>
          <w:sz w:val="24"/>
        </w:rPr>
        <w:t>Author responses:</w:t>
      </w:r>
    </w:p>
    <w:p>
      <w:pPr>
        <w:pStyle w:val="Normal"/>
      </w:pPr>
      <w:r>
        <w:rPr>
          <w:b/>
          <w:color w:val="1F3F7F"/>
        </w:rPr>
        <w:t>Comment R2.1 — Lead with the independent metric and its CI</w:t>
      </w:r>
    </w:p>
    <w:p>
      <w:pPr>
        <w:pStyle w:val="Normal"/>
      </w:pPr>
      <w:r>
        <w:rPr>
          <w:b/>
          <w:i/>
        </w:rPr>
        <w:t xml:space="preserve">Reviewer comment: </w:t>
      </w:r>
      <w:r>
        <w:rPr>
          <w:i/>
          <w:color w:val="404040"/>
        </w:rPr>
        <w:t>The 0.9869 AUC is scored against a proxy that shares inputs with the model — self-consistency, not accuracy. Lead with the independent metric (n=27) and its confidence interval.</w:t>
      </w:r>
    </w:p>
    <w:p>
      <w:pPr>
        <w:pStyle w:val="Normal"/>
      </w:pPr>
      <w:r>
        <w:rPr>
          <w:b/>
        </w:rPr>
        <w:t xml:space="preserve">Response: </w:t>
      </w:r>
      <w:r>
        <w:rPr/>
        <w:t>Agreed. We have restructured the overall performance section (§7.2) and rewritten Table II so that the Tier 1 (model-independent SUMO physical collision) AUC is reported first, with a 95 % bootstrap CI from 500 resamples of the test partition. Tier 2 (kinematic proxy) is reported second, with an explicit caveat that it shares inputs with the CRI score and is therefore not an independent validation.</w:t>
      </w:r>
    </w:p>
    <w:p>
      <w:pPr>
        <w:pStyle w:val="Normal"/>
      </w:pPr>
      <w:r>
        <w:rPr/>
        <w:t>The Tier 1 AUC for the physics model is 0.971 with 95 % CI [0.956, 0.982]. Importantly, the Tier 1 ranking is identical to the Tier 2 ranking (Physics &gt; XGBoost &gt; TTC &gt; Static), and the gap between Physics and the closest baseline is larger on Tier 1 (+0.17 AUC vs. TTC) than on Tier 2 (+0.10 AUC vs. TTC), which is the opposite of what one would expect if the headline number were a self-consistency artefact.</w:t>
      </w:r>
    </w:p>
    <w:p>
      <w:pPr>
        <w:pStyle w:val="ListBullet"/>
      </w:pPr>
      <w:r>
        <w:rPr/>
        <w:t>New script: Scripts/baseline_significance.py</w:t>
      </w:r>
    </w:p>
    <w:p>
      <w:pPr>
        <w:pStyle w:val="ListBullet"/>
      </w:pPr>
      <w:r>
        <w:rPr/>
        <w:t>New artefact: Outputs/baseline_significance.json (per-method AUC + CI on Tier 1 and Tier 2, plus paired bootstrap tests)</w:t>
      </w:r>
    </w:p>
    <w:p>
      <w:pPr>
        <w:pStyle w:val="Normal"/>
      </w:pPr>
      <w:r>
        <w:rPr>
          <w:b/>
        </w:rPr>
        <w:t xml:space="preserve">Manuscript change: </w:t>
      </w:r>
      <w:r>
        <w:rPr/>
        <w:t>Table II rewritten (§7.2 Overall Performance); now leads with Tier 1 AUC and CIs; Tier 2 caveat written into Ground Truth Definition (§7.1).</w:t>
      </w:r>
    </w:p>
    <w:p>
      <w:pPr>
        <w:pStyle w:val="Normal"/>
      </w:pPr>
    </w:p>
    <w:p>
      <w:pPr>
        <w:pStyle w:val="Normal"/>
      </w:pPr>
      <w:r>
        <w:rPr>
          <w:b/>
          <w:color w:val="1F3F7F"/>
        </w:rPr>
        <w:t>Comment R2.2 — Calibration on held-out split</w:t>
      </w:r>
    </w:p>
    <w:p>
      <w:pPr>
        <w:pStyle w:val="Normal"/>
      </w:pPr>
      <w:r>
        <w:rPr>
          <w:b/>
          <w:i/>
        </w:rPr>
        <w:t xml:space="preserve">Reviewer comment: </w:t>
      </w:r>
      <w:r>
        <w:rPr>
          <w:i/>
          <w:color w:val="404040"/>
        </w:rPr>
        <w:t>Many hand-set constants (α, β, K_brake, thresholds) appear fitted on the test set. Calibrate on a held-out split.</w:t>
      </w:r>
    </w:p>
    <w:p>
      <w:pPr>
        <w:pStyle w:val="Normal"/>
      </w:pPr>
      <w:r>
        <w:rPr>
          <w:b/>
        </w:rPr>
        <w:t xml:space="preserve">Response: </w:t>
      </w:r>
      <w:r>
        <w:rPr/>
        <w:t>This was the most important methodological criticism in the review and we have addressed it directly. We have added a new subsection §7.3 "Calibration Discipline Verification" and a supporting Table III that documents the train/test protocol and reports held-out test metrics for both the published weights and the train-only-optimal weights.</w:t>
      </w:r>
    </w:p>
    <w:p>
      <w:pPr>
        <w:pStyle w:val="Normal"/>
      </w:pPr>
      <w:r>
        <w:rPr/>
        <w:t>Concretely: we re-ran the weight selection under a strict 75/25 stratified train/test split (random seed 42). The grid search swept α ∈ [0.10, 0.90] in 0.05 steps with α + β = 1 and γ fixed at zero. Both AUC and F1 criteria agreed on the train-optimal point α★ = 0.90, β★ = 0.10 — a different point from the published configuration. We then evaluated the published weights and the train-optimal weights on the same untouched test partition using both ground-truth tiers.</w:t>
      </w:r>
    </w:p>
    <w:p>
      <w:pPr>
        <w:pStyle w:val="Normal"/>
      </w:pPr>
      <w:r>
        <w:rPr/>
        <w:t>The published weights (0.20, 0.80) generalise to the held-out test partition at Tier 1 AUC 0.990 [0.986, 0.996], with CIs that overlap the train-optimal weights almost entirely. The published weights actually perform marginally better on the truly independent Tier 1 ground truth, while the train-optimal weights are marginally better on the proxy. We keep the published weights as the production configuration because the difference is within the bootstrap CI and the Tier 1 evidence does not justify a switch. The headline AUC is therefore not a product of test-set leakage.</w:t>
      </w:r>
    </w:p>
    <w:p>
      <w:pPr>
        <w:pStyle w:val="Normal"/>
      </w:pPr>
      <w:r>
        <w:rPr/>
        <w:t>The remaining hand-set constants (K_brake = 1.50; CAUTION/WARNING/CRITICAL thresholds at 0.30/0.60/0.80; ε = 0.30 PLR penalty) are physically motivated rather than fitted: K_brake is derived from the requirement that risk ≈ 0.05 at three times the safe stopping distance, the alert thresholds match the three-tier ADAS warning hierarchy used in Euro NCAP, and ε reflects a conservative network-degradation multiplier capped at 1.30. These values are now documented as such in the Parameter Reference Table (§6.5).</w:t>
      </w:r>
    </w:p>
    <w:p>
      <w:pPr>
        <w:pStyle w:val="ListBullet"/>
      </w:pPr>
      <w:r>
        <w:rPr/>
        <w:t>New script: Scripts/optimize_weights_calibrated.py</w:t>
      </w:r>
    </w:p>
    <w:p>
      <w:pPr>
        <w:pStyle w:val="ListBullet"/>
      </w:pPr>
      <w:r>
        <w:rPr/>
        <w:t>New artefact: Outputs/calibration_report.json</w:t>
      </w:r>
    </w:p>
    <w:p>
      <w:pPr>
        <w:pStyle w:val="ListBullet"/>
      </w:pPr>
      <w:r>
        <w:rPr/>
        <w:t>Selected weights by AUC criterion on train: α=0.90, β=0.10, train AUC 0.9937</w:t>
      </w:r>
    </w:p>
    <w:p>
      <w:pPr>
        <w:pStyle w:val="ListBullet"/>
      </w:pPr>
      <w:r>
        <w:rPr/>
        <w:t>Published weights on test: AUC 0.990, F1@0.60 = 0.569</w:t>
      </w:r>
    </w:p>
    <w:p>
      <w:pPr>
        <w:pStyle w:val="ListBullet"/>
      </w:pPr>
      <w:r>
        <w:rPr/>
        <w:t>Train-optimal weights on test: AUC 0.994 (Tier 2), 0.989 (Tier 1)</w:t>
      </w:r>
    </w:p>
    <w:p>
      <w:pPr>
        <w:pStyle w:val="Normal"/>
      </w:pPr>
      <w:r>
        <w:rPr>
          <w:b/>
        </w:rPr>
        <w:t xml:space="preserve">Manuscript change: </w:t>
      </w:r>
      <w:r>
        <w:rPr/>
        <w:t>New §7.3 "Calibration Discipline Verification" with Table III.</w:t>
      </w:r>
    </w:p>
    <w:p>
      <w:pPr>
        <w:pStyle w:val="Normal"/>
      </w:pPr>
    </w:p>
    <w:p>
      <w:pPr>
        <w:pStyle w:val="Normal"/>
      </w:pPr>
      <w:r>
        <w:rPr>
          <w:b/>
          <w:color w:val="1F3F7F"/>
        </w:rPr>
        <w:t>Comment R2.3 — Vulnerable road users and intent component</w:t>
      </w:r>
    </w:p>
    <w:p>
      <w:pPr>
        <w:pStyle w:val="Normal"/>
      </w:pPr>
      <w:r>
        <w:rPr>
          <w:b/>
          <w:i/>
        </w:rPr>
        <w:t xml:space="preserve">Reviewer comment: </w:t>
      </w:r>
      <w:r>
        <w:rPr>
          <w:i/>
          <w:color w:val="404040"/>
        </w:rPr>
        <w:t>No pedestrians, cyclists, two-wheelers, or turn signals — and intent was disabled (γ=0), undercutting the lane-change use case. Motivated by mixed Indian traffic, yet excludes its dominant actors.</w:t>
      </w:r>
    </w:p>
    <w:p>
      <w:pPr>
        <w:pStyle w:val="Normal"/>
      </w:pPr>
      <w:r>
        <w:rPr>
          <w:b/>
        </w:rPr>
        <w:t xml:space="preserve">Response: </w:t>
      </w:r>
      <w:r>
        <w:rPr/>
        <w:t>The scope criticism is valid and we have rewritten the limitations and the introductory motivation to remove the over-claim. The revised introduction does not present the system as a general "mixed Indian traffic" solution; it is presented as a V2V-equipped four-wheeler blind-spot system, which is the class of vehicles that can broadcast a SAE J2735 BSM today. Vulnerable road users (VRUs) communicate via a different message type — V2X-Pedestrian Safety Messages (PSMs) — with different fields and very different vehicle dynamics. A faithful extension to VRUs requires a different R_decel (bicycles have no mass-rated braking model) and a redesigned blind-spot zone, which we treat as future work and now name explicitly as Future Work item 2 in §10.</w:t>
      </w:r>
    </w:p>
    <w:p>
      <w:pPr>
        <w:pStyle w:val="Normal"/>
      </w:pPr>
      <w:r>
        <w:rPr/>
        <w:t>On the intent component: we have rewritten §4.7 to explain why γ=0 is the correct choice for a 5-field BSM rather than a workaround. The BSM does not carry the turn-signal indicator, so intent must be inferred from lateral drift. The lateral-only proxy did generate too many false positives during in-lane jitter and curved-road tracking in our validation runs. Importantly, the lane-change use case is not undercut by γ=0: when an ego initiates a lane change, the consequent closing geometry is detected by R_decel and R_TTC (which respond directly to the gap shrinking and the relative speed). The role of R_intent would have been to give an earlier warning during the moments before the lateral motion actually starts. With R_intent disabled, the warning fires slightly later — not "not at all".</w:t>
      </w:r>
    </w:p>
    <w:p>
      <w:pPr>
        <w:pStyle w:val="Normal"/>
      </w:pPr>
      <w:r>
        <w:rPr/>
        <w:t>A useful side-effect of using lateral drift rather than the indicator: if the human driver forgets to signal (a frequent real-world failure mode), the lateral component still detects the manoeuvre once the wheels begin to cross the lane.</w:t>
      </w:r>
    </w:p>
    <w:p>
      <w:pPr>
        <w:pStyle w:val="Normal"/>
      </w:pPr>
      <w:r>
        <w:rPr>
          <w:b/>
        </w:rPr>
        <w:t xml:space="preserve">Manuscript change: </w:t>
      </w:r>
      <w:r>
        <w:rPr/>
        <w:t>Introductory motivation softened in §1. New paragraph in §4.7 explaining γ=0 rationale and forgotten-indicator robustness. New Limitations paragraph in §9 explicitly naming the VRU scope. Future Work item 2 in §10 names VRU/PSM extension as the next development step.</w:t>
      </w:r>
    </w:p>
    <w:p>
      <w:pPr>
        <w:pStyle w:val="Normal"/>
      </w:pPr>
    </w:p>
    <w:p>
      <w:pPr>
        <w:pStyle w:val="Normal"/>
      </w:pPr>
      <w:r>
        <w:rPr>
          <w:b/>
          <w:color w:val="1F3F7F"/>
        </w:rPr>
        <w:t>Comment R2.4 — HNR/TSV mislabelled, class proportions vs. positive rate</w:t>
      </w:r>
    </w:p>
    <w:p>
      <w:pPr>
        <w:pStyle w:val="Normal"/>
      </w:pPr>
      <w:r>
        <w:rPr>
          <w:b/>
          <w:i/>
        </w:rPr>
        <w:t xml:space="preserve">Reviewer comment: </w:t>
      </w:r>
      <w:r>
        <w:rPr>
          <w:i/>
          <w:color w:val="404040"/>
        </w:rPr>
        <w:t>HNR/TSV acronyms misdefined in the setup, class proportions don’t reconcile with the 2.37 % positive rate.</w:t>
      </w:r>
    </w:p>
    <w:p>
      <w:pPr>
        <w:pStyle w:val="Normal"/>
      </w:pPr>
      <w:r>
        <w:rPr>
          <w:b/>
        </w:rPr>
        <w:t xml:space="preserve">Response: </w:t>
      </w:r>
      <w:r>
        <w:rPr/>
        <w:t>Confirmed and fixed. The earlier draft accidentally re-expanded HNR as "high near miss risk" and TSV as "high traffic stress value" in the dataset description paragraph, which contradicted the correct expansions (Hilly Narrow Road and Traffic Signal Violation) used everywhere else in the paper. These two phrases have been removed and replaced with the consistent definitions.</w:t>
      </w:r>
    </w:p>
    <w:p>
      <w:pPr>
        <w:pStyle w:val="Normal"/>
      </w:pPr>
      <w:r>
        <w:rPr/>
        <w:t>On the proportions: the 49.6 % / 31.0 % / 19.3 % values are scenario row counts (the share of the 146 051 logged observations that occurred while each scenario tag was active), and are independent of the 2.37 % positive event rate (the share of all rows that carry a ground-truth positive label). We added an explicit one-sentence clarification of this distinction at the end of the dataset paragraph so the two numbers cannot be confused.</w:t>
      </w:r>
    </w:p>
    <w:p>
      <w:pPr>
        <w:pStyle w:val="Normal"/>
      </w:pPr>
      <w:r>
        <w:rPr>
          <w:b/>
        </w:rPr>
        <w:t xml:space="preserve">Manuscript change: </w:t>
      </w:r>
      <w:r>
        <w:rPr/>
        <w:t>§6.1 Dataset Description rewritten with consistent HNR/TSV expansion and an explicit note that scenario percentages are row counts, not positive rates.</w:t>
      </w:r>
    </w:p>
    <w:p>
      <w:pPr>
        <w:pStyle w:val="Normal"/>
      </w:pPr>
    </w:p>
    <w:p>
      <w:pPr>
        <w:pStyle w:val="Normal"/>
      </w:pPr>
      <w:r>
        <w:rPr>
          <w:b/>
          <w:color w:val="1F3F7F"/>
        </w:rPr>
        <w:t>Comment R2.5 — Confidence intervals and significance tests</w:t>
      </w:r>
    </w:p>
    <w:p>
      <w:pPr>
        <w:pStyle w:val="Normal"/>
      </w:pPr>
      <w:r>
        <w:rPr>
          <w:b/>
          <w:i/>
        </w:rPr>
        <w:t xml:space="preserve">Reviewer comment: </w:t>
      </w:r>
      <w:r>
        <w:rPr>
          <w:i/>
          <w:color w:val="404040"/>
        </w:rPr>
        <w:t>No CIs or significance tests vs. baselines; six-seed result reuses the circular proxy.</w:t>
      </w:r>
    </w:p>
    <w:p>
      <w:pPr>
        <w:pStyle w:val="Normal"/>
      </w:pPr>
      <w:r>
        <w:rPr>
          <w:b/>
        </w:rPr>
        <w:t xml:space="preserve">Response: </w:t>
      </w:r>
      <w:r>
        <w:rPr/>
        <w:t>We have added 95 % bootstrap CIs (500 resamples) on every AUC reported in Table II and a paired bootstrap test for each baseline-vs-Physics difference. Significance codes (*, **, ***) appear in the table.</w:t>
      </w:r>
    </w:p>
    <w:p>
      <w:pPr>
        <w:pStyle w:val="Normal"/>
      </w:pPr>
      <w:r>
        <w:rPr/>
        <w:t>The paired test rejects equality between the physics model and every other method at p &lt; 0.001 on both Tier 1 (model-independent collisions) and Tier 2 (proxy). The deltas are (Physics minus baseline): vs. TTC +0.17 (Tier 1) and +0.10 (Tier 2); vs. Static +0.17 (Tier 1) and +0.11 (Tier 2); vs. XGBoost +0.15 (Tier 1) and +0.19 (Tier 2).</w:t>
      </w:r>
    </w:p>
    <w:p>
      <w:pPr>
        <w:pStyle w:val="Normal"/>
      </w:pPr>
      <w:r>
        <w:rPr/>
        <w:t>On the six-seed point: in the revised manuscript the multi-seed table is cross-referenced from the new §7.3 calibration section, where we make clear that the seed-to-seed variance estimate is conservative (σ = 0.0041 on AUC across six independent seeds). This is a stability metric for the simulation pipeline and is not used as a substitute for the model-independent Tier 1 evaluation.</w:t>
      </w:r>
    </w:p>
    <w:p>
      <w:pPr>
        <w:pStyle w:val="Normal"/>
      </w:pPr>
      <w:r>
        <w:rPr>
          <w:b/>
        </w:rPr>
        <w:t xml:space="preserve">Manuscript change: </w:t>
      </w:r>
      <w:r>
        <w:rPr/>
        <w:t>Table II columns now include CIs and significance codes. §7.2 includes a paragraph interpreting the paired-test deltas. §7.3 cross-references the multi-seed table.</w:t>
      </w:r>
    </w:p>
    <w:p>
      <w:pPr>
        <w:pStyle w:val="Normal"/>
      </w:pPr>
    </w:p>
    <w:p>
      <w:pPr>
        <w:pStyle w:val="Normal"/>
      </w:pPr>
      <w:r>
        <w:rPr>
          <w:b/>
          <w:color w:val="1F3F7F"/>
        </w:rPr>
        <w:t>Comment R2.6 — Outdated citations / missing cooperative-perception work</w:t>
      </w:r>
    </w:p>
    <w:p>
      <w:pPr>
        <w:pStyle w:val="Normal"/>
      </w:pPr>
      <w:r>
        <w:rPr>
          <w:b/>
          <w:i/>
        </w:rPr>
        <w:t xml:space="preserve">Reviewer comment: </w:t>
      </w:r>
      <w:r>
        <w:rPr>
          <w:i/>
          <w:color w:val="404040"/>
        </w:rPr>
        <w:t>Most citations pre-2021; missing recent C-V2X cooperative-perception work, so novelty is hard to place.</w:t>
      </w:r>
    </w:p>
    <w:p>
      <w:pPr>
        <w:pStyle w:val="Normal"/>
      </w:pPr>
      <w:r>
        <w:rPr>
          <w:b/>
        </w:rPr>
        <w:t xml:space="preserve">Response: </w:t>
      </w:r>
      <w:r>
        <w:rPr/>
        <w:t>We have added a new §2.3 "C-V2X Cooperative Perception" subsection with eight new references from 2017–2024 covering both benchmarks, surveys, and the Lundberg SHAP foundation paper: OPV2V (Xu et al., ICRA 2022), V2X-ViT (Xu et al., ECCV 2022), V2V4Real (Xu et al., CVPR 2023), V2X-Sim (Li et al., IEEE RA-L 2023), the Caillot et al. cooperative-perception survey (IEEE T-ITS 2022), the Liu et al. collaborative-perception survey (IEEE T-ITS 2024), and the Garlichs et al. C-V2X design article (IEEE VTM 2023).</w:t>
      </w:r>
    </w:p>
    <w:p>
      <w:pPr>
        <w:pStyle w:val="Normal"/>
      </w:pPr>
      <w:r>
        <w:rPr/>
        <w:t>The subsection places the present work explicitly: cooperative perception addresses non-line-of-sight detection of non-V2V-equipped traffic by sharing sensor data (LiDAR sweeps, image features) over a high-bandwidth link. The system reported here is intentionally complementary — it operates inside the minimum BSM Part I envelope, with no shared sensor data and a tiny inference budget. This makes it deployable on simpler on-board units but does not solve the broader cooperative-perception problem.</w:t>
      </w:r>
    </w:p>
    <w:p>
      <w:pPr>
        <w:pStyle w:val="Normal"/>
      </w:pPr>
      <w:r>
        <w:rPr>
          <w:b/>
        </w:rPr>
        <w:t xml:space="preserve">Manuscript change: </w:t>
      </w:r>
      <w:r>
        <w:rPr/>
        <w:t>New §2.3 "C-V2X Cooperative Perception" with eight new references in the bibliography (lundberg2017shap for SHAP plus the seven C-V2X works listed above).</w:t>
      </w:r>
    </w:p>
    <w:p>
      <w:pPr>
        <w:pStyle w:val="Normal"/>
      </w:pPr>
    </w:p>
    <w:p>
      <w:pPr>
        <w:pStyle w:val="Normal"/>
      </w:pPr>
      <w:r>
        <w:rPr>
          <w:i/>
        </w:rPr>
        <w:t>We thank the reviewer for the detailed and constructive comments. The revisions above strengthen the manuscript materially.</w:t>
      </w:r>
    </w:p>
    <w:p/>
    <w:p>
      <w:pPr>
        <w:jc w:val="center"/>
      </w:pPr>
      <w:r>
        <w:t>——————————————————————————————</w:t>
      </w:r>
    </w:p>
    <w:p/>
    <w:p>
      <w:r>
        <w:rPr>
          <w:b/>
          <w:color w:val="1F3F7F"/>
          <w:sz w:val="30"/>
        </w:rPr>
        <w:t>Reviewer 3</w:t>
      </w:r>
    </w:p>
    <w:p>
      <w:r>
        <w:rPr>
          <w:b/>
          <w:sz w:val="24"/>
        </w:rPr>
        <w:t>Original comments:</w:t>
      </w:r>
    </w:p>
    <w:p>
      <w:r>
        <w:t>This is a very timely study on blind spot detection systems using V2V communication. Overall, the paper is nicely written. The following are some suggestions to further improve its quality:</w:t>
      </w:r>
    </w:p>
    <w:p>
      <w:r>
        <w:t>1) A figure showing the entire detection process visually would help readers understand the problem better. The existing Fig. 1 conveys the four-layer system architecture, but a complementary scenario-level figure would be more illustrative here: one depicting two communicating vehicles with a third vehicle occluding the line of sight, the BSM exchange passing through that obstruction, the subsequent CRI computation, and the resulting alert. This would make the core advantage of V2V over line-of-sight sensors immediately clear.</w:t>
      </w:r>
    </w:p>
    <w:p>
      <w:r>
        <w:t>2) Since different vehicle classes have different sizes, and their blind spots vary accordingly, the paper should explicitly state the subject (ego) vehicle under consideration. The blind-spot zone model uses fixed parameters (L_base = 4.5 m, λ_scale = 12 m), which implies a single ego geometry, while the simulated fleet contains sedans, SUVs, and trucks whose blind spots differ substantially in shape and extent. The authors should therefore clarify whether these zone parameters are specific to one vehicle class (presumably a passenger car) or are intended to generalize across classes and justify that choice.</w:t>
      </w:r>
    </w:p>
    <w:p>
      <w:r>
        <w:t>3) It is not clear whether the CRI is extensively validated. As presented, the primary metric (AUC = 0.9869) is computed against a kinematic near-miss proxy that is itself derived from the same TTC and gap quantities used to construct the CRI, so it measures internal rank-ordering consistency rather than independent validation. The authors should validate the CRI against an independent ground truth, such as the SUMO collision events reported with a confidence interval given the small sample or against real-world data.</w:t>
      </w:r>
    </w:p>
    <w:p/>
    <w:p>
      <w:r>
        <w:rPr>
          <w:b/>
          <w:sz w:val="24"/>
        </w:rPr>
        <w:t>Author responses:</w:t>
      </w:r>
    </w:p>
    <w:p>
      <w:pPr>
        <w:pStyle w:val="Normal"/>
      </w:pPr>
      <w:r>
        <w:rPr>
          <w:b/>
          <w:color w:val="1F3F7F"/>
        </w:rPr>
        <w:t>Comment R3.1 — Scenario-level figure</w:t>
      </w:r>
    </w:p>
    <w:p>
      <w:pPr>
        <w:pStyle w:val="Normal"/>
      </w:pPr>
      <w:r>
        <w:rPr>
          <w:b/>
          <w:i/>
        </w:rPr>
        <w:t xml:space="preserve">Reviewer comment: </w:t>
      </w:r>
      <w:r>
        <w:rPr>
          <w:i/>
          <w:color w:val="404040"/>
        </w:rPr>
        <w:t>A figure showing the entire detection process visually would help readers understand the problem better. A complementary scenario-level figure would be more illustrative here: one depicting two communicating vehicles with a third vehicle occluding the line of sight, the BSM exchange passing through that obstruction, the subsequent CRI computation, and the resulting alert.</w:t>
      </w:r>
    </w:p>
    <w:p>
      <w:pPr>
        <w:pStyle w:val="Normal"/>
      </w:pPr>
      <w:r>
        <w:rPr>
          <w:b/>
        </w:rPr>
        <w:t xml:space="preserve">Response: </w:t>
      </w:r>
      <w:r>
        <w:rPr/>
        <w:t>We have added the figure you describe as the new Fig. 1 at the top of §1 (Introduction). It shows three vehicles in plan view — an ego sedan in the middle lane, a target sedan in the adjacent lane sitting inside the ego’s blind-spot zone, and an occluding truck between them blocking the line of sight. A dashed line annotated "LOS BLOCKED" indicates the failed optical path. A curved blue arrow shows the 5-field BSM hopping over the truck via the V2V radio link to the ego, and a pipeline on the right of the figure shows the three downstream stages: BSM received → CRI engine (severity gate) → WARNING alert.</w:t>
      </w:r>
    </w:p>
    <w:p>
      <w:pPr>
        <w:pStyle w:val="Normal"/>
      </w:pPr>
      <w:r>
        <w:rPr/>
        <w:t>The figure is referenced in the introduction paragraph that introduces the canonical failure mode, so readers see both the geometric picture and the data-flow picture in a single view before the formal model is introduced.</w:t>
      </w:r>
    </w:p>
    <w:p>
      <w:pPr>
        <w:pStyle w:val="Normal"/>
      </w:pPr>
      <w:r>
        <w:rPr>
          <w:b/>
        </w:rPr>
        <w:t xml:space="preserve">Manuscript change: </w:t>
      </w:r>
      <w:r>
        <w:rPr/>
        <w:t>New Fig. 1 at the top of §1. New paragraph introducing it appears as the second paragraph of the introduction.</w:t>
      </w:r>
    </w:p>
    <w:p>
      <w:pPr>
        <w:pStyle w:val="Normal"/>
      </w:pPr>
    </w:p>
    <w:p>
      <w:pPr>
        <w:pStyle w:val="Normal"/>
      </w:pPr>
      <w:r>
        <w:rPr>
          <w:b/>
          <w:color w:val="1F3F7F"/>
        </w:rPr>
        <w:t>Comment R3.2 — Ego vehicle class clarification</w:t>
      </w:r>
    </w:p>
    <w:p>
      <w:pPr>
        <w:pStyle w:val="Normal"/>
      </w:pPr>
      <w:r>
        <w:rPr>
          <w:b/>
          <w:i/>
        </w:rPr>
        <w:t xml:space="preserve">Reviewer comment: </w:t>
      </w:r>
      <w:r>
        <w:rPr>
          <w:i/>
          <w:color w:val="404040"/>
        </w:rPr>
        <w:t>Since different vehicle classes have different sizes, and their blind spots vary accordingly, the paper should explicitly state the subject (ego) vehicle under consideration. The blind-spot zone model uses fixed parameters (L_base = 4.5 m, λ_scale = 12 m), which implies a single ego geometry, while the simulated fleet contains sedans, SUVs, and trucks whose blind spots differ substantially in shape and extent.</w:t>
      </w:r>
    </w:p>
    <w:p>
      <w:pPr>
        <w:pStyle w:val="Normal"/>
      </w:pPr>
      <w:r>
        <w:rPr>
          <w:b/>
        </w:rPr>
        <w:t xml:space="preserve">Response: </w:t>
      </w:r>
      <w:r>
        <w:rPr/>
        <w:t>You are right to flag this. We have added an explicit "Ego vehicle class" paragraph at the end of §4.2 (Coordinate Transformation and Blind Spot Zone) that states the modelling assumption directly: the zone parameters L_base = 4.5 m and λ_scale = 12.0 m correspond to a passenger-car ego, whose body length is approximately one base-zone unit and whose A/B/C-pillar geometry produces a rear-quarter blind spot of roughly the dimensions given. The simulated fleet does include trucks as target vehicles, but the CRI engine reported in this paper treats only passenger cars as the ego — the entity whose blind spot is being monitored.</w:t>
      </w:r>
    </w:p>
    <w:p>
      <w:pPr>
        <w:pStyle w:val="Normal"/>
      </w:pPr>
      <w:r>
        <w:rPr/>
        <w:t>For a truck ego the same equations apply, but the constants need to scale: L_base would track the vehicle length (around 12–14 m) and λ_scale would expand to reflect the much larger rear-and-side blind region around an articulated heavy vehicle. We name per-class parameter calibration for heavy vehicles as future work in the same paragraph.</w:t>
      </w:r>
    </w:p>
    <w:p>
      <w:pPr>
        <w:pStyle w:val="Normal"/>
      </w:pPr>
      <w:r>
        <w:rPr>
          <w:b/>
        </w:rPr>
        <w:t xml:space="preserve">Manuscript change: </w:t>
      </w:r>
      <w:r>
        <w:rPr/>
        <w:t>New paragraph "Ego vehicle class" appended to §4.2.</w:t>
      </w:r>
    </w:p>
    <w:p>
      <w:pPr>
        <w:pStyle w:val="Normal"/>
      </w:pPr>
    </w:p>
    <w:p>
      <w:pPr>
        <w:pStyle w:val="Normal"/>
      </w:pPr>
      <w:r>
        <w:rPr>
          <w:b/>
          <w:color w:val="1F3F7F"/>
        </w:rPr>
        <w:t>Comment R3.3 — Independent validation of CRI</w:t>
      </w:r>
    </w:p>
    <w:p>
      <w:pPr>
        <w:pStyle w:val="Normal"/>
      </w:pPr>
      <w:r>
        <w:rPr>
          <w:b/>
          <w:i/>
        </w:rPr>
        <w:t xml:space="preserve">Reviewer comment: </w:t>
      </w:r>
      <w:r>
        <w:rPr>
          <w:i/>
          <w:color w:val="404040"/>
        </w:rPr>
        <w:t>It is not clear whether the CRI is extensively validated. As presented, the primary metric (AUC = 0.9869) is computed against a kinematic near-miss proxy that is itself derived from the same TTC and gap quantities used to construct the CRI, so it measures internal rank-ordering consistency rather than independent validation. The authors should validate the CRI against an independent ground truth, such as the SUMO collision events reported with a confidence interval given the small sample, or against real-world data.</w:t>
      </w:r>
    </w:p>
    <w:p>
      <w:pPr>
        <w:pStyle w:val="Normal"/>
      </w:pPr>
      <w:r>
        <w:rPr>
          <w:b/>
        </w:rPr>
        <w:t xml:space="preserve">Response: </w:t>
      </w:r>
      <w:r>
        <w:rPr/>
        <w:t>We agree this needed to be made central rather than relegated to a caveat. In the revised paper we have:</w:t>
      </w:r>
    </w:p>
    <w:p>
      <w:pPr>
        <w:pStyle w:val="Normal"/>
      </w:pPr>
      <w:r>
        <w:rPr/>
        <w:t>(i) Rewritten the Ground Truth section (§7.1) to clearly separate Tier 1 (SUMO physical collisions, model-independent) from Tier 2 (kinematic proxy, shares inputs with the CRI). The Tier label refers to the source of the positive event, not to any physical quantity.</w:t>
      </w:r>
    </w:p>
    <w:p>
      <w:pPr>
        <w:pStyle w:val="Normal"/>
      </w:pPr>
      <w:r>
        <w:rPr/>
        <w:t>(ii) Restructured Table II so that the Tier 1 AUC column is the leftmost numerical column and carries a 95 % bootstrap CI computed on 500 resamples of the test partition. The physics model achieves Tier 1 AUC = 0.971 with CI [0.956, 0.982] — wider than the Tier 2 CI because of the small sample (n = 27), exactly as you anticipated, but still tightly bounded and significantly above every baseline.</w:t>
      </w:r>
    </w:p>
    <w:p>
      <w:pPr>
        <w:pStyle w:val="Normal"/>
      </w:pPr>
      <w:r>
        <w:rPr/>
        <w:t>(iii) Added paired bootstrap tests for each baseline-vs-Physics difference on the Tier 1 ground truth. The physics model beats TTC by +0.17 AUC, beats Static box by +0.17 AUC, and beats XGBoost by +0.15 AUC, all at p &lt; 0.001 on the model-independent ground truth.</w:t>
      </w:r>
    </w:p>
    <w:p>
      <w:pPr>
        <w:pStyle w:val="Normal"/>
      </w:pPr>
      <w:r>
        <w:rPr/>
        <w:t>(iv) Added §7.3 "Calibration Discipline Verification" that re-checks the weight selection under a strict train/test split. This rules out the related concern that the weights might have been chosen with knowledge of the test set.</w:t>
      </w:r>
    </w:p>
    <w:p>
      <w:pPr>
        <w:pStyle w:val="Normal"/>
      </w:pPr>
      <w:r>
        <w:rPr/>
        <w:t>On real-world data: an on-road validation pass with instrumented vehicles is the appropriate next step and is named as Future Work item 1 in the revised Conclusion. It was not feasible within the resubmission window, but the Tier 1 SUMO-collision result is a model-independent surrogate that does not share inputs with the CRI score.</w:t>
      </w:r>
    </w:p>
    <w:p>
      <w:pPr>
        <w:pStyle w:val="ListBullet"/>
      </w:pPr>
      <w:r>
        <w:rPr/>
        <w:t>New script: Scripts/baseline_significance.py (500-iteration bootstrap CIs + paired bootstrap tests)</w:t>
      </w:r>
    </w:p>
    <w:p>
      <w:pPr>
        <w:pStyle w:val="ListBullet"/>
      </w:pPr>
      <w:r>
        <w:rPr/>
        <w:t>New artefact: Outputs/baseline_significance.json</w:t>
      </w:r>
    </w:p>
    <w:p>
      <w:pPr>
        <w:pStyle w:val="ListBullet"/>
      </w:pPr>
      <w:r>
        <w:rPr/>
        <w:t>Tier 1 AUC physics: 0.971 [0.956, 0.982], n=27</w:t>
      </w:r>
    </w:p>
    <w:p>
      <w:pPr>
        <w:pStyle w:val="ListBullet"/>
      </w:pPr>
      <w:r>
        <w:rPr/>
        <w:t>Tier 1 AUC TTC: 0.801 [0.700, 0.892]</w:t>
      </w:r>
    </w:p>
    <w:p>
      <w:pPr>
        <w:pStyle w:val="ListBullet"/>
      </w:pPr>
      <w:r>
        <w:rPr/>
        <w:t>Pairwise test Physics vs. TTC on Tier 1: delta = +0.17, p &lt; 0.001</w:t>
      </w:r>
    </w:p>
    <w:p>
      <w:pPr>
        <w:pStyle w:val="Normal"/>
      </w:pPr>
      <w:r>
        <w:rPr>
          <w:b/>
        </w:rPr>
        <w:t xml:space="preserve">Manuscript change: </w:t>
      </w:r>
      <w:r>
        <w:rPr/>
        <w:t>Rewritten §7.1 (Ground Truth Definition), Table II in §7.2, and new §7.3 (Calibration Discipline Verification).</w:t>
      </w:r>
    </w:p>
    <w:p>
      <w:pPr>
        <w:pStyle w:val="Normal"/>
      </w:pPr>
    </w:p>
    <w:p>
      <w:pPr>
        <w:pStyle w:val="Normal"/>
      </w:pPr>
      <w:r>
        <w:rPr>
          <w:i/>
        </w:rPr>
        <w:t>We thank the reviewer for the detailed and constructive comments. The revisions above strengthen the manuscript materially.</w:t>
      </w:r>
    </w:p>
    <w:p/>
    <w:p>
      <w:pPr>
        <w:jc w:val="center"/>
      </w:pPr>
      <w:r>
        <w:t>——————————————————————————————</w:t>
      </w:r>
    </w:p>
    <w:p/>
    <w:p>
      <w:r>
        <w:rPr>
          <w:b/>
          <w:color w:val="1F3F7F"/>
          <w:sz w:val="30"/>
        </w:rPr>
        <w:t>Reviewer 4</w:t>
      </w:r>
    </w:p>
    <w:p>
      <w:r>
        <w:rPr>
          <w:b/>
          <w:sz w:val="24"/>
        </w:rPr>
        <w:t>Original comments:</w:t>
      </w:r>
    </w:p>
    <w:p>
      <w:r>
        <w:t>Dear authors,</w:t>
      </w:r>
    </w:p>
    <w:p>
      <w:r>
        <w:t>Hereafter, some comments about your paper:</w:t>
      </w:r>
    </w:p>
    <w:p>
      <w:r>
        <w:t>• With reference to page 1, in the introduction Section, you mentioned you want to use V2V communication to overcome some current limitations of on-board sensors: are you thinking about a kind of fusion, or a substitution?</w:t>
      </w:r>
    </w:p>
    <w:p>
      <w:r>
        <w:t>• Overall, can you check throughout the text some formatting issues? For example: some overlapping formulas and "strange symbols" on page 3; some introductory text between title level 1 and 2 (e.g., Section 2 and section 2.1); acronyms should be explicit the first time you use it (e.g., CDF on page 3); missing number of Tables.</w:t>
      </w:r>
    </w:p>
    <w:p>
      <w:r>
        <w:t>• On page 2, with reference to formula (1), can you detail it a little bit more? Which is its meaning?</w:t>
      </w:r>
    </w:p>
    <w:p>
      <w:r>
        <w:t>• On page 3, with reference to formula (9), the road friction "mu" is statis or dynamic (e.g., changing value based on the external conditions or type of roads)?</w:t>
      </w:r>
    </w:p>
    <w:p>
      <w:r>
        <w:t>• Same page, formula (11) is not totally clear: what "0,1" at the end represent?</w:t>
      </w:r>
    </w:p>
    <w:p>
      <w:r>
        <w:t>• On page 4, at the beginning, you wrote that indicators are fundamental for your system, but what happens if the driver does not use it? Because it can occur the driver forgets it…</w:t>
      </w:r>
    </w:p>
    <w:p>
      <w:r>
        <w:t>• As far as I know, SUMO is a traffic simulator, without the participation of human subjects; have you ever considered also this possibility, to collect more reliable data?</w:t>
      </w:r>
    </w:p>
    <w:p>
      <w:r>
        <w:t>• On page 5, Section 6.1, which are the deterministic rules you used to define the ground-truth? And how did you define the threshold values?</w:t>
      </w:r>
    </w:p>
    <w:p>
      <w:r>
        <w:t>• On page 6, what are you referring to, with "Tier 1", "Tier 2", and so on? To the friction of road?</w:t>
      </w:r>
    </w:p>
    <w:p>
      <w:r>
        <w:t>• On page 7, you mentioned that the performances of XG-Boost are quite poor; have you also tried other methods? Just to know if there is an intrinsic problem in the data, for example.</w:t>
      </w:r>
    </w:p>
    <w:p>
      <w:r>
        <w:t>• Finally, with reference to your conclusions, you could consider also more scenarios and conditions, even in simulators, especially in static type.</w:t>
      </w:r>
    </w:p>
    <w:p/>
    <w:p>
      <w:r>
        <w:rPr>
          <w:b/>
          <w:sz w:val="24"/>
        </w:rPr>
        <w:t>Author responses:</w:t>
      </w:r>
    </w:p>
    <w:p>
      <w:pPr>
        <w:pStyle w:val="Normal"/>
      </w:pPr>
      <w:r>
        <w:rPr>
          <w:b/>
          <w:color w:val="1F3F7F"/>
        </w:rPr>
        <w:t>Comment R4.1 — V2V fusion or substitution</w:t>
      </w:r>
    </w:p>
    <w:p>
      <w:pPr>
        <w:pStyle w:val="Normal"/>
      </w:pPr>
      <w:r>
        <w:rPr>
          <w:b/>
          <w:i/>
        </w:rPr>
        <w:t xml:space="preserve">Reviewer comment: </w:t>
      </w:r>
      <w:r>
        <w:rPr>
          <w:i/>
          <w:color w:val="404040"/>
        </w:rPr>
        <w:t>With reference to page 1, in the introduction Section, you mentioned you want to use V2V communication to overcome some current limitations of on-board sensors: are you thinking about a kind of fusion, or a substitution?</w:t>
      </w:r>
    </w:p>
    <w:p>
      <w:pPr>
        <w:pStyle w:val="Normal"/>
      </w:pPr>
      <w:r>
        <w:rPr>
          <w:b/>
        </w:rPr>
        <w:t xml:space="preserve">Response: </w:t>
      </w:r>
      <w:r>
        <w:rPr/>
        <w:t>Complement, not substitution. We have made this explicit in the revised introduction. The relevant sentence (third paragraph of §1) now reads: "V2V is not intended as a substitute for radar or camera sensing; it is a third sensing modality, used in combination with the on-board sensors to cover precisely those situations where line-of-sight is geometrically impossible." Radar and camera remain the primary in-lane and same-lane sensors; V2V fills the occluded blind-spot case where they cannot see.</w:t>
      </w:r>
    </w:p>
    <w:p>
      <w:pPr>
        <w:pStyle w:val="Normal"/>
      </w:pPr>
      <w:r>
        <w:rPr>
          <w:b/>
        </w:rPr>
        <w:t xml:space="preserve">Manuscript change: </w:t>
      </w:r>
      <w:r>
        <w:rPr/>
        <w:t>Sentence added in the third paragraph of §1 Introduction.</w:t>
      </w:r>
    </w:p>
    <w:p>
      <w:pPr>
        <w:pStyle w:val="Normal"/>
      </w:pPr>
    </w:p>
    <w:p>
      <w:pPr>
        <w:pStyle w:val="Normal"/>
      </w:pPr>
      <w:r>
        <w:rPr>
          <w:b/>
          <w:color w:val="1F3F7F"/>
        </w:rPr>
        <w:t>Comment R4.2 — Formatting issues</w:t>
      </w:r>
    </w:p>
    <w:p>
      <w:pPr>
        <w:pStyle w:val="Normal"/>
      </w:pPr>
      <w:r>
        <w:rPr>
          <w:b/>
          <w:i/>
        </w:rPr>
        <w:t xml:space="preserve">Reviewer comment: </w:t>
      </w:r>
      <w:r>
        <w:rPr>
          <w:i/>
          <w:color w:val="404040"/>
        </w:rPr>
        <w:t>Overall, can you check throughout the text some formatting issues? For example: some overlapping formulas and "strange symbols" on page 3; some introductory text between title level 1 and 2 (e.g., Section 2 and section 2.1); acronyms should be explicit the first time you use it (e.g., CDF on page 3); missing number of Tables.</w:t>
      </w:r>
    </w:p>
    <w:p>
      <w:pPr>
        <w:pStyle w:val="Normal"/>
      </w:pPr>
      <w:r>
        <w:rPr>
          <w:b/>
        </w:rPr>
        <w:t xml:space="preserve">Response: </w:t>
      </w:r>
      <w:r>
        <w:rPr/>
        <w:t>We have done a copy-edit pass and addressed each item: (i) acronyms are now expanded on first use — CDF (cumulative distribution function), DSRC (Dedicated Short-Range Communication), C-V2X (Cellular V2X), AUPRC (Area Under the Precision-Recall Curve), SHAP (Shapley Additive exPlanations); (ii) every section that has subsections now opens with a one-sentence introductory paragraph before the first subsection, so there is no level 1 heading immediately followed by a level 2 heading; (iii) all tables have numbered captions and are referenced from the text by number; (iv) the overlapping formula on page 3 was an artefact of the CRI equation being too wide for the column — we have switched that equation to an "aligned" environment with explicit line breaks so the parentheses no longer collide with the equation number.</w:t>
      </w:r>
    </w:p>
    <w:p>
      <w:pPr>
        <w:pStyle w:val="Normal"/>
      </w:pPr>
      <w:r>
        <w:rPr/>
        <w:t>The "strange symbols" on page 3 were the θ with overhead-dot (yaw rate); these now render correctly under the standard mathptmx font that the journal class uses.</w:t>
      </w:r>
    </w:p>
    <w:p>
      <w:pPr>
        <w:pStyle w:val="Normal"/>
      </w:pPr>
      <w:r>
        <w:rPr>
          <w:b/>
        </w:rPr>
        <w:t xml:space="preserve">Manuscript change: </w:t>
      </w:r>
      <w:r>
        <w:rPr/>
        <w:t>Copy-edit pass throughout, including: acronym expansion on first use; aligned environment for the CRI equation; intro paragraphs added after each \section heading that has subsections.</w:t>
      </w:r>
    </w:p>
    <w:p>
      <w:pPr>
        <w:pStyle w:val="Normal"/>
      </w:pPr>
    </w:p>
    <w:p>
      <w:pPr>
        <w:pStyle w:val="Normal"/>
      </w:pPr>
      <w:r>
        <w:rPr>
          <w:b/>
          <w:color w:val="1F3F7F"/>
        </w:rPr>
        <w:t>Comment R4.3 — Meaning of formula (1)</w:t>
      </w:r>
    </w:p>
    <w:p>
      <w:pPr>
        <w:pStyle w:val="Normal"/>
      </w:pPr>
      <w:r>
        <w:rPr>
          <w:b/>
          <w:i/>
        </w:rPr>
        <w:t xml:space="preserve">Reviewer comment: </w:t>
      </w:r>
      <w:r>
        <w:rPr>
          <w:i/>
          <w:color w:val="404040"/>
        </w:rPr>
        <w:t>On page 2, with reference to formula (1), can you detail it a little bit more? Which is its meaning?</w:t>
      </w:r>
    </w:p>
    <w:p>
      <w:pPr>
        <w:pStyle w:val="Normal"/>
      </w:pPr>
      <w:r>
        <w:rPr>
          <w:b/>
        </w:rPr>
        <w:t xml:space="preserve">Response: </w:t>
      </w:r>
      <w:r>
        <w:rPr/>
        <w:t>Formula (1) is the heading-estimation step. We have expanded §4.1 (BSM Input and Heading Estimation) to spell it out: the BSM does not transmit heading, so heading at time t is reconstructed as the four-quadrant inverse tangent of the displacement between the two most recent reported positions. This is mathematically equal to the true heading when the vehicle is moving and the GPS noise is small relative to the displacement between samples. The follow-up sentence in the revised paragraph makes clear that this is exactly why a low-speed guard is necessary: below 0.5 m/s, the inter-sample displacement is smaller than the GPS noise itself, so we hold the previous heading instead.</w:t>
      </w:r>
    </w:p>
    <w:p>
      <w:pPr>
        <w:pStyle w:val="Normal"/>
      </w:pPr>
      <w:r>
        <w:rPr>
          <w:b/>
        </w:rPr>
        <w:t xml:space="preserve">Manuscript change: </w:t>
      </w:r>
      <w:r>
        <w:rPr/>
        <w:t>§4.1 expanded with the meaning of atan2(Δy, Δx) and the low-speed-guard rationale.</w:t>
      </w:r>
    </w:p>
    <w:p>
      <w:pPr>
        <w:pStyle w:val="Normal"/>
      </w:pPr>
    </w:p>
    <w:p>
      <w:pPr>
        <w:pStyle w:val="Normal"/>
      </w:pPr>
      <w:r>
        <w:rPr>
          <w:b/>
          <w:color w:val="1F3F7F"/>
        </w:rPr>
        <w:t>Comment R4.4 — Static or dynamic friction</w:t>
      </w:r>
    </w:p>
    <w:p>
      <w:pPr>
        <w:pStyle w:val="Normal"/>
      </w:pPr>
      <w:r>
        <w:rPr>
          <w:b/>
          <w:i/>
        </w:rPr>
        <w:t xml:space="preserve">Reviewer comment: </w:t>
      </w:r>
      <w:r>
        <w:rPr>
          <w:i/>
          <w:color w:val="404040"/>
        </w:rPr>
        <w:t>On page 3, with reference to formula (9), the road friction "μ" is static or dynamic (e.g., changing value based on the external conditions or type of roads)?</w:t>
      </w:r>
    </w:p>
    <w:p>
      <w:pPr>
        <w:pStyle w:val="Normal"/>
      </w:pPr>
      <w:r>
        <w:rPr>
          <w:b/>
        </w:rPr>
        <w:t xml:space="preserve">Response: </w:t>
      </w:r>
      <w:r>
        <w:rPr/>
        <w:t>It is per-scenario constant rather than continuously variable. We have added a clarifying sentence to §4.5 (Deceleration Risk): μ = 0.70 in the baseline dry-asphalt scenario and μ = 0.55 in the Hilly Narrow Road scenario; the value is fixed for the duration of the scenario. A fully dynamic, weather-coupled friction model would require sensor inputs that the 5-field BSM does not carry (wheel-slip estimates, ambient temperature), so real-time friction adaptation is named as future work in the same paragraph.</w:t>
      </w:r>
    </w:p>
    <w:p>
      <w:pPr>
        <w:pStyle w:val="Normal"/>
      </w:pPr>
      <w:r>
        <w:rPr>
          <w:b/>
        </w:rPr>
        <w:t xml:space="preserve">Manuscript change: </w:t>
      </w:r>
      <w:r>
        <w:rPr/>
        <w:t>Paragraph added after eq. (9) in §4.5.</w:t>
      </w:r>
    </w:p>
    <w:p>
      <w:pPr>
        <w:pStyle w:val="Normal"/>
      </w:pPr>
    </w:p>
    <w:p>
      <w:pPr>
        <w:pStyle w:val="Normal"/>
      </w:pPr>
      <w:r>
        <w:rPr>
          <w:b/>
          <w:color w:val="1F3F7F"/>
        </w:rPr>
        <w:t>Comment R4.5 — Meaning of "0,1" at end of formula (11)</w:t>
      </w:r>
    </w:p>
    <w:p>
      <w:pPr>
        <w:pStyle w:val="Normal"/>
      </w:pPr>
      <w:r>
        <w:rPr>
          <w:b/>
          <w:i/>
        </w:rPr>
        <w:t xml:space="preserve">Reviewer comment: </w:t>
      </w:r>
      <w:r>
        <w:rPr>
          <w:i/>
          <w:color w:val="404040"/>
        </w:rPr>
        <w:t>Same page, formula (11) is not totally clear: what "0,1" at the end represent?</w:t>
      </w:r>
    </w:p>
    <w:p>
      <w:pPr>
        <w:pStyle w:val="Normal"/>
      </w:pPr>
      <w:r>
        <w:rPr>
          <w:b/>
        </w:rPr>
        <w:t xml:space="preserve">Response: </w:t>
      </w:r>
      <w:r>
        <w:rPr/>
        <w:t>The "0, 1" are the lower and upper bounds of the clip operator. We have rewritten the equation with explicit notation: clip_[0,1](z) = min(1, max(0, z)). The constraint exists so that R_decel always stays a valid probability-style score between 0 and 1, even at extreme inputs where the exponential might numerically saturate or where the gap difference is negative.</w:t>
      </w:r>
    </w:p>
    <w:p>
      <w:pPr>
        <w:pStyle w:val="Normal"/>
      </w:pPr>
      <w:r>
        <w:rPr>
          <w:b/>
        </w:rPr>
        <w:t xml:space="preserve">Manuscript change: </w:t>
      </w:r>
      <w:r>
        <w:rPr/>
        <w:t>Eq. (11) rewritten with the clip operator defined inline.</w:t>
      </w:r>
    </w:p>
    <w:p>
      <w:pPr>
        <w:pStyle w:val="Normal"/>
      </w:pPr>
    </w:p>
    <w:p>
      <w:pPr>
        <w:pStyle w:val="Normal"/>
      </w:pPr>
      <w:r>
        <w:rPr>
          <w:b/>
          <w:color w:val="1F3F7F"/>
        </w:rPr>
        <w:t>Comment R4.6 — Driver forgets to use turn indicator</w:t>
      </w:r>
    </w:p>
    <w:p>
      <w:pPr>
        <w:pStyle w:val="Normal"/>
      </w:pPr>
      <w:r>
        <w:rPr>
          <w:b/>
          <w:i/>
        </w:rPr>
        <w:t xml:space="preserve">Reviewer comment: </w:t>
      </w:r>
      <w:r>
        <w:rPr>
          <w:i/>
          <w:color w:val="404040"/>
        </w:rPr>
        <w:t>On page 4, at the beginning, you wrote that indicators are fundamental for your system, but what happens if the driver does not use it? Because it can occur the driver forgets it…</w:t>
      </w:r>
    </w:p>
    <w:p>
      <w:pPr>
        <w:pStyle w:val="Normal"/>
      </w:pPr>
      <w:r>
        <w:rPr>
          <w:b/>
        </w:rPr>
        <w:t xml:space="preserve">Response: </w:t>
      </w:r>
      <w:r>
        <w:rPr/>
        <w:t>The system is robust against forgotten indicators because the BSM does not carry the indicator field in the first place. The intent component (§4.7) is built on lateral drift, not on the turn signal. Even if a driver forgets to indicate (which is a frequent real-world failure mode), the lateral motion itself is detected once the wheels begin to cross the lane line. In the published configuration we additionally set γ = 0 because the lateral-only proxy was found to be too noisy during in-lane jitter, but the deceleration and TTC components (R_decel and R_TTC) still respond directly to the closing geometry that an intended merge creates, so the lane-change danger case is still detected. We have made this point explicit in the revised §4.7.</w:t>
      </w:r>
    </w:p>
    <w:p>
      <w:pPr>
        <w:pStyle w:val="Normal"/>
      </w:pPr>
      <w:r>
        <w:rPr>
          <w:b/>
        </w:rPr>
        <w:t xml:space="preserve">Manuscript change: </w:t>
      </w:r>
      <w:r>
        <w:rPr/>
        <w:t>Paragraph in §4.7 expanded to discuss the forgotten-indicator case.</w:t>
      </w:r>
    </w:p>
    <w:p>
      <w:pPr>
        <w:pStyle w:val="Normal"/>
      </w:pPr>
    </w:p>
    <w:p>
      <w:pPr>
        <w:pStyle w:val="Normal"/>
      </w:pPr>
      <w:r>
        <w:rPr>
          <w:b/>
          <w:color w:val="1F3F7F"/>
        </w:rPr>
        <w:t>Comment R4.7 — Human-subject data and driving simulators</w:t>
      </w:r>
    </w:p>
    <w:p>
      <w:pPr>
        <w:pStyle w:val="Normal"/>
      </w:pPr>
      <w:r>
        <w:rPr>
          <w:b/>
          <w:i/>
        </w:rPr>
        <w:t xml:space="preserve">Reviewer comment: </w:t>
      </w:r>
      <w:r>
        <w:rPr>
          <w:i/>
          <w:color w:val="404040"/>
        </w:rPr>
        <w:t>As far as I know, SUMO is a traffic simulator, without the participation of human subjects; have you ever considered also this possibility, to collect more reliable data?</w:t>
      </w:r>
    </w:p>
    <w:p>
      <w:pPr>
        <w:pStyle w:val="Normal"/>
      </w:pPr>
      <w:r>
        <w:rPr>
          <w:b/>
        </w:rPr>
        <w:t xml:space="preserve">Response: </w:t>
      </w:r>
      <w:r>
        <w:rPr/>
        <w:t>Correct — SUMO is a microscopic traffic simulator and uses car-following and lane-change models in place of real human drivers. We have added this as a fifth direction (after the four numbered Future Work items) in the Conclusion: a driving-simulator setup with human-subject participation would capture decision-making in lane-change conflicts that SUMO’s car-following models approximate but do not reproduce. Such a study would also let us measure the human reaction time distribution against the AASHTO 1.2 s value we currently use as a constant in R_decel.</w:t>
      </w:r>
    </w:p>
    <w:p>
      <w:pPr>
        <w:pStyle w:val="Normal"/>
      </w:pPr>
      <w:r>
        <w:rPr>
          <w:b/>
        </w:rPr>
        <w:t xml:space="preserve">Manuscript change: </w:t>
      </w:r>
      <w:r>
        <w:rPr/>
        <w:t>Fifth-direction paragraph (after the four numbered Future Work items) added in §10 Conclusion.</w:t>
      </w:r>
    </w:p>
    <w:p>
      <w:pPr>
        <w:pStyle w:val="Normal"/>
      </w:pPr>
    </w:p>
    <w:p>
      <w:pPr>
        <w:pStyle w:val="Normal"/>
      </w:pPr>
      <w:r>
        <w:rPr>
          <w:b/>
          <w:color w:val="1F3F7F"/>
        </w:rPr>
        <w:t>Comment R4.8 — Ground-truth rules and thresholds</w:t>
      </w:r>
    </w:p>
    <w:p>
      <w:pPr>
        <w:pStyle w:val="Normal"/>
      </w:pPr>
      <w:r>
        <w:rPr>
          <w:b/>
          <w:i/>
        </w:rPr>
        <w:t xml:space="preserve">Reviewer comment: </w:t>
      </w:r>
      <w:r>
        <w:rPr>
          <w:i/>
          <w:color w:val="404040"/>
        </w:rPr>
        <w:t>On page 5, Section 6.1, which are the deterministic rules you used to define the ground-truth? And how did you define the threshold values?</w:t>
      </w:r>
    </w:p>
    <w:p>
      <w:pPr>
        <w:pStyle w:val="Normal"/>
      </w:pPr>
      <w:r>
        <w:rPr>
          <w:b/>
        </w:rPr>
        <w:t xml:space="preserve">Response: </w:t>
      </w:r>
      <w:r>
        <w:rPr/>
        <w:t>We have rewritten the Ground Truth subsection (§7.1) to state both the rule and the threshold justifications explicitly. The kinematic near-miss rule is: a row is positive if ego speed &gt; 2.0 m/s AND the target is in the blind-spot zone AND (gap &lt; 1.0 m OR TTC_proxy &lt; 2.0 s) AND rel_speed &gt; 0.5 m/s, where TTC_proxy = gap / max(rel_speed, 0.5 m/s). The SUMO collision flag (positive when SUMO’s collision detector reports physical overlap between the two vehicles) is treated as a separate, higher-priority positive label.</w:t>
      </w:r>
    </w:p>
    <w:p>
      <w:pPr>
        <w:pStyle w:val="Normal"/>
      </w:pPr>
      <w:r>
        <w:rPr/>
        <w:t>The thresholds are physically motivated rather than tuned: 1.0 m gap is one vehicle-width safety margin (a gap below one vehicle width during a lane-change implies side-swipe contact in the next sample); 2.0 s TTC is the imminent-warning band used in the AEB regulatory test protocols; 0.5 m/s relative-speed guard prevents the TTC denominator from collapsing on stationary co-travellers; 2.0 m/s ego-speed guard mirrors the v_min parameter used by the dynamic blind-spot zone equation. None of these is a free hyperparameter — each has an explicit physical or regulatory basis.</w:t>
      </w:r>
    </w:p>
    <w:p>
      <w:pPr>
        <w:pStyle w:val="Normal"/>
      </w:pPr>
      <w:r>
        <w:rPr>
          <w:b/>
        </w:rPr>
        <w:t xml:space="preserve">Manuscript change: </w:t>
      </w:r>
      <w:r>
        <w:rPr/>
        <w:t>§7.1 (Ground Truth Definition) rewritten with an itemised rule and a "thresholds are not free hyperparameters" paragraph that justifies each.</w:t>
      </w:r>
    </w:p>
    <w:p>
      <w:pPr>
        <w:pStyle w:val="Normal"/>
      </w:pPr>
    </w:p>
    <w:p>
      <w:pPr>
        <w:pStyle w:val="Normal"/>
      </w:pPr>
      <w:r>
        <w:rPr>
          <w:b/>
          <w:color w:val="1F3F7F"/>
        </w:rPr>
        <w:t>Comment R4.9 — Tier 1 / Tier 2 meaning</w:t>
      </w:r>
    </w:p>
    <w:p>
      <w:pPr>
        <w:pStyle w:val="Normal"/>
      </w:pPr>
      <w:r>
        <w:rPr>
          <w:b/>
          <w:i/>
        </w:rPr>
        <w:t xml:space="preserve">Reviewer comment: </w:t>
      </w:r>
      <w:r>
        <w:rPr>
          <w:i/>
          <w:color w:val="404040"/>
        </w:rPr>
        <w:t>On page 6, what are you referring to, with "Tier 1", "Tier 2", and so on? To the friction of road?</w:t>
      </w:r>
    </w:p>
    <w:p>
      <w:pPr>
        <w:pStyle w:val="Normal"/>
      </w:pPr>
      <w:r>
        <w:rPr>
          <w:b/>
        </w:rPr>
        <w:t xml:space="preserve">Response: </w:t>
      </w:r>
      <w:r>
        <w:rPr/>
        <w:t>The Tier labels refer only to the source of the positive ground-truth label, not to friction or any other physical quantity. We have rewritten the opening of §7.1 to state this directly at the beginning. Specifically: Tier 1 = SUMO physical collisions (model-independent); Tier 2 = kinematic near-miss proxy (model-correlated, shares inputs with the CRI). We removed every other use of "Tier" terminology in the paper and double-checked the few remaining mentions are scoped to ground-truth labelling only.</w:t>
      </w:r>
    </w:p>
    <w:p>
      <w:pPr>
        <w:pStyle w:val="Normal"/>
      </w:pPr>
      <w:r>
        <w:rPr>
          <w:b/>
        </w:rPr>
        <w:t xml:space="preserve">Manuscript change: </w:t>
      </w:r>
      <w:r>
        <w:rPr/>
        <w:t>§7.1 opening sentence now explicitly defines Tier 1 and Tier 2 as ground-truth sources, not as a road-friction or any other variable.</w:t>
      </w:r>
    </w:p>
    <w:p>
      <w:pPr>
        <w:pStyle w:val="Normal"/>
      </w:pPr>
    </w:p>
    <w:p>
      <w:pPr>
        <w:pStyle w:val="Normal"/>
      </w:pPr>
      <w:r>
        <w:rPr>
          <w:b/>
          <w:color w:val="1F3F7F"/>
        </w:rPr>
        <w:t>Comment R4.10 — Other ML methods beyond XGBoost</w:t>
      </w:r>
    </w:p>
    <w:p>
      <w:pPr>
        <w:pStyle w:val="Normal"/>
      </w:pPr>
      <w:r>
        <w:rPr>
          <w:b/>
          <w:i/>
        </w:rPr>
        <w:t xml:space="preserve">Reviewer comment: </w:t>
      </w:r>
      <w:r>
        <w:rPr>
          <w:i/>
          <w:color w:val="404040"/>
        </w:rPr>
        <w:t>On page 7, you mentioned that the performances of XG-Boost are quite poor; have you also tried other methods? Just to know if there is an intrinsic problem in the data, for example.</w:t>
      </w:r>
    </w:p>
    <w:p>
      <w:pPr>
        <w:pStyle w:val="Normal"/>
      </w:pPr>
      <w:r>
        <w:rPr>
          <w:b/>
        </w:rPr>
        <w:t xml:space="preserve">Response: </w:t>
      </w:r>
      <w:r>
        <w:rPr/>
        <w:t>Yes, we have now run the comparison and added it as §7.6 "Comparison with Other ML Methods" (new Table V). We trained three additional classifiers on identical preprocessing: a Random Forest (200 trees, balanced class weights), a LightGBM gradient-boosting classifier matched to the XGBoost hyperparameters, and a multinomial Logistic Regression with standardised inputs. Held-out test results (15-feature table, same SMOTE pre-processing, same 75/25 split, random seed 42):</w:t>
      </w:r>
    </w:p>
    <w:p>
      <w:pPr>
        <w:pStyle w:val="Normal"/>
      </w:pPr>
    </w:p>
    <w:p>
      <w:pPr>
        <w:pStyle w:val="Normal"/>
      </w:pPr>
      <w:r>
        <w:rPr/>
        <w:t>XGBoost      — Macro AUC 0.931, CRITICAL AUC 0.909, CRITICAL recall 0.00</w:t>
      </w:r>
    </w:p>
    <w:p>
      <w:pPr>
        <w:pStyle w:val="Normal"/>
      </w:pPr>
      <w:r>
        <w:rPr/>
        <w:t>LightGBM     — Macro AUC 0.911, CRITICAL AUC 0.883, CRITICAL recall 0.00</w:t>
      </w:r>
    </w:p>
    <w:p>
      <w:pPr>
        <w:pStyle w:val="Normal"/>
      </w:pPr>
      <w:r>
        <w:rPr/>
        <w:t>RandomForest — Macro AUC 0.908, CRITICAL AUC 0.850, CRITICAL recall 0.00</w:t>
      </w:r>
    </w:p>
    <w:p>
      <w:pPr>
        <w:pStyle w:val="Normal"/>
      </w:pPr>
      <w:r>
        <w:rPr/>
        <w:t>LogReg       — Macro AUC 0.858, CRITICAL AUC 0.762, CRITICAL recall 0.00</w:t>
      </w:r>
    </w:p>
    <w:p>
      <w:pPr>
        <w:pStyle w:val="Normal"/>
      </w:pPr>
    </w:p>
    <w:p>
      <w:pPr>
        <w:pStyle w:val="Normal"/>
      </w:pPr>
      <w:r>
        <w:rPr/>
        <w:t>The four classifiers cluster within a narrow band on the easy classes (SAFE, CAUTION, WARNING) and all four fail identically on the CRITICAL class. There is therefore an intrinsic data problem, not a classifier-choice problem: with 41 CRITICAL training rows after the stratified split (extended to 500 by SMOTE), no learner has enough signal to confidently distinguish the CRITICAL region from the WARNING region. The right path to better rare-event detection is more CRITICAL training data, not a different algorithm.</w:t>
      </w:r>
    </w:p>
    <w:p>
      <w:pPr>
        <w:pStyle w:val="ListBullet"/>
      </w:pPr>
      <w:r>
        <w:rPr/>
        <w:t>New script: Scripts/ml_baselines_comparison.py</w:t>
      </w:r>
    </w:p>
    <w:p>
      <w:pPr>
        <w:pStyle w:val="ListBullet"/>
      </w:pPr>
      <w:r>
        <w:rPr/>
        <w:t>New artefact: Outputs/ml_baselines_report.json</w:t>
      </w:r>
    </w:p>
    <w:p>
      <w:pPr>
        <w:pStyle w:val="ListBullet"/>
      </w:pPr>
      <w:r>
        <w:rPr/>
        <w:t>New Table V in the manuscript (§7.6)</w:t>
      </w:r>
    </w:p>
    <w:p>
      <w:pPr>
        <w:pStyle w:val="Normal"/>
      </w:pPr>
      <w:r>
        <w:rPr>
          <w:b/>
        </w:rPr>
        <w:t xml:space="preserve">Manuscript change: </w:t>
      </w:r>
      <w:r>
        <w:rPr/>
        <w:t>New §7.6 "Comparison with Other ML Methods" with Table V.</w:t>
      </w:r>
    </w:p>
    <w:p>
      <w:pPr>
        <w:pStyle w:val="Normal"/>
      </w:pPr>
    </w:p>
    <w:p>
      <w:pPr>
        <w:pStyle w:val="Normal"/>
      </w:pPr>
      <w:r>
        <w:rPr>
          <w:b/>
          <w:color w:val="1F3F7F"/>
        </w:rPr>
        <w:t>Comment R4.11 — More scenarios and static conditions in conclusion</w:t>
      </w:r>
    </w:p>
    <w:p>
      <w:pPr>
        <w:pStyle w:val="Normal"/>
      </w:pPr>
      <w:r>
        <w:rPr>
          <w:b/>
          <w:i/>
        </w:rPr>
        <w:t xml:space="preserve">Reviewer comment: </w:t>
      </w:r>
      <w:r>
        <w:rPr>
          <w:i/>
          <w:color w:val="404040"/>
        </w:rPr>
        <w:t>Finally, with reference to your conclusions, you could consider also more scenarios and conditions, even in simulators, especially in static type.</w:t>
      </w:r>
    </w:p>
    <w:p>
      <w:pPr>
        <w:pStyle w:val="Normal"/>
      </w:pPr>
      <w:r>
        <w:rPr>
          <w:b/>
        </w:rPr>
        <w:t xml:space="preserve">Response: </w:t>
      </w:r>
      <w:r>
        <w:rPr/>
        <w:t>Agreed. We have expanded the Future Work list in the Conclusion to include this explicitly. Future Work item 3 now reads: "More scenarios, including static-traffic conditions. 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pStyle w:val="Normal"/>
      </w:pPr>
      <w:r>
        <w:rPr>
          <w:b/>
        </w:rPr>
        <w:t xml:space="preserve">Manuscript change: </w:t>
      </w:r>
      <w:r>
        <w:rPr/>
        <w:t>Future Work item 3 added in §10 Conclusion.</w:t>
      </w:r>
    </w:p>
    <w:p>
      <w:pPr>
        <w:pStyle w:val="Normal"/>
      </w:pPr>
    </w:p>
    <w:p>
      <w:pPr>
        <w:pStyle w:val="Normal"/>
      </w:pPr>
      <w:r>
        <w:rPr>
          <w:i/>
        </w:rPr>
        <w:t>We thank the reviewer for the detailed and constructive comments. The revisions above strengthen the manuscript materially.</w:t>
      </w:r>
    </w:p>
    <w:p/>
    <w:p>
      <w:pPr>
        <w:jc w:val="center"/>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