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Reviewer Comments and Author Responses - Round 2 (Consolidated)</w:t>
      </w:r>
    </w:p>
    <w:p>
      <w:pPr>
        <w:jc w:val="center"/>
      </w:pPr>
      <w:r>
        <w:rPr>
          <w:i/>
          <w:sz w:val="20"/>
        </w:rPr>
        <w:t>Manuscript: Vehicle-to-Vehicle Communication for Blind Spot Detection and Accident Prevention Using Severity-Gated Collision Risk Indexing</w:t>
      </w:r>
    </w:p>
    <w:p>
      <w:pPr>
        <w:jc w:val="center"/>
      </w:pPr>
      <w:r>
        <w:rPr>
          <w:color w:val="555555"/>
          <w:sz w:val="20"/>
        </w:rPr>
        <w:t>Corresponding author: Deepali Vora (deepali.vora11@sitpune.edu.in)   |   14 August 2026</w:t>
      </w:r>
    </w:p>
    <w:p/>
    <w:p>
      <w:r>
        <w:rPr>
          <w:b/>
          <w:sz w:val="24"/>
        </w:rPr>
        <w:t>Summary of global changes in this revision</w:t>
      </w:r>
    </w:p>
    <w:p>
      <w:r>
        <w:t>This document consolidates the Round-2 reviewer comments (received after the first revision) and the authors' point-by-point responses. Three global changes apply across the revision: (1) the published 146,051-row dataset was restored from version control and every statistical analysis was re-run on it after an integrity audit prompted by Reviewer 4's advice (see R2.1 and R4.1), so several reported numbers changed slightly while all conclusions are unchanged; (2) all data figures were regenerated with a high-contrast colour-blind-safe palette (R1.6); (3) one figure and two tables were added (CRITICAL-class precision-recall frontier; notation table; cost-sensitive operating-point table), which shifts figure numbering by one from Fig. 15 onward and table numbering accordingly. In the revised manuscript with tracked changes (V2V_paper 14-08-26_changes_red.docx), red text marks exactly the content changed in Round 2.</w:t>
      </w:r>
    </w:p>
    <w:p/>
    <w:p>
      <w:r>
        <w:rPr>
          <w:b/>
          <w:color w:val="1F3F7F"/>
          <w:sz w:val="30"/>
        </w:rPr>
        <w:t>Reviewer 1</w:t>
      </w:r>
    </w:p>
    <w:p>
      <w:r>
        <w:rPr>
          <w:b/>
          <w:sz w:val="24"/>
        </w:rPr>
        <w:t>Original comments (Round 2, verbatim):</w:t>
      </w:r>
    </w:p>
    <w:p>
      <w:r>
        <w:t>Round 2 comments:</w:t>
      </w:r>
    </w:p>
    <w:p>
      <w:r>
        <w:t>1. It would be helpful to illustrate the lane-change maneuvers in the interaction scenario shown in Figure 1. Please add the driving directions and movement sequence to clearly show how the target vehicle travels from behind the truck to the right-front side of the truck at high speed.</w:t>
      </w:r>
    </w:p>
    <w:p>
      <w:r>
        <w:t>2. The formulas should be better organized and presented more clearly.</w:t>
      </w:r>
    </w:p>
    <w:p>
      <w:r>
        <w:t>3. When referring to the TTC threshold based on the NHTSA Forward Collision Warning band, please cite the relevant NHTSA reference. In addition, the original references for the TTC metric and all other metrics applied in the paper should also be cited.</w:t>
      </w:r>
    </w:p>
    <w:p>
      <w:r>
        <w:t>4. Since this paper uses SHAP, it is suggested to avoid using the term "feature importance," as SHAP serves a similar explanatory function.</w:t>
      </w:r>
    </w:p>
    <w:p>
      <w:r>
        <w:t>5. In the results section, it would be helpful to describe the purpose and function of each figure. The authors are encouraged to provide further explanations for other figures, especially Figure 12, 13, 14, 15, 16.</w:t>
      </w:r>
    </w:p>
    <w:p>
      <w:r>
        <w:t>6. It would be helpful to use high-contrast colors in the figures to improve readability and visual clarity.</w:t>
      </w:r>
    </w:p>
    <w:p/>
    <w:p>
      <w:r>
        <w:rPr>
          <w:b/>
          <w:sz w:val="24"/>
        </w:rPr>
        <w:t>Author responses:</w:t>
      </w:r>
    </w:p>
    <w:p>
      <w:r>
        <w:rPr>
          <w:b/>
          <w:sz w:val="23"/>
        </w:rPr>
        <w:t>Comment R1.1 - Lane-change maneuver illustration in Figure 1</w:t>
      </w:r>
    </w:p>
    <w:p>
      <w:r>
        <w:rPr>
          <w:b/>
        </w:rPr>
        <w:t xml:space="preserve">Reviewer comment: </w:t>
      </w:r>
      <w:r>
        <w:rPr>
          <w:i/>
        </w:rPr>
        <w:t>It would be helpful to illustrate the lane-change maneuvers in the interaction scenario shown in Figure 1. Please add the driving directions and movement sequence to clearly show how the target vehicle travels from behind the truck to the right-front side of the truck at high speed.</w:t>
      </w:r>
    </w:p>
    <w:p>
      <w:r>
        <w:rPr>
          <w:b/>
        </w:rPr>
        <w:t xml:space="preserve">Response: </w:t>
      </w:r>
      <w:r>
        <w:t>Figure 1 has been fully redrawn to make the manoeuvre explicit. The figure now contains: (i) two numbered ghost positions of the target plus its current position, tracing the movement sequence t0 -&gt; t1 -&gt; t2 - at t0 the target is behind the truck and occluded from the ego's sensors, at t1 it overtakes at 28 m/s in the adjacent lane, and at t2 it reaches the truck's right-front, which is exactly the ego's right blind spot, as the ego signals its lane change; (ii) a dashed trajectory arrow along the adjacent lane linking the three positions; (iii) per-vehicle driving-direction arrows annotated with speeds (truck 12 m/s, ego 15 m/s, target 28 m/s); (iv) a global direction-of-travel indicator under the road; and (v) an on-figure legend summarising the three-step sequence.</w:t>
      </w:r>
    </w:p>
    <w:p>
      <w:r>
        <w:rPr>
          <w:b/>
        </w:rPr>
        <w:t xml:space="preserve">Manuscript change: </w:t>
      </w:r>
      <w:r>
        <w:t>Fig. 1 replaced; its caption now walks through the movement sequence and the speeds (Section 1).</w:t>
      </w:r>
    </w:p>
    <w:p/>
    <w:p>
      <w:r>
        <w:rPr>
          <w:b/>
          <w:sz w:val="23"/>
        </w:rPr>
        <w:t>Comment R1.2 - Organisation and clarity of the formulas</w:t>
      </w:r>
    </w:p>
    <w:p>
      <w:r>
        <w:rPr>
          <w:b/>
        </w:rPr>
        <w:t xml:space="preserve">Reviewer comment: </w:t>
      </w:r>
      <w:r>
        <w:rPr>
          <w:i/>
        </w:rPr>
        <w:t>The formulas should be better organized and presented more clearly.</w:t>
      </w:r>
    </w:p>
    <w:p>
      <w:r>
        <w:rPr>
          <w:b/>
        </w:rPr>
        <w:t xml:space="preserve">Response: </w:t>
      </w:r>
      <w:r>
        <w:t>Section 4 (Mathematical Model) has been restructured. It now opens with a roadmap paragraph stating the bottom-up presentation order (heading recovery -&gt; ego-frame transform and blind-spot zone -&gt; zone-occupancy probability -&gt; dead reckoning and packet loss -&gt; the three risk components -&gt; the combined CRI), followed by a complete notation table (new Table 1) that collects every symbol used in the section with its meaning and unit. Key equations now carry labels and are cross-referenced from the text (e.g., the severity-gate discussion explicitly references the CRI equation), and every symbol is still defined in prose at its first use.</w:t>
      </w:r>
    </w:p>
    <w:p>
      <w:r>
        <w:rPr>
          <w:b/>
        </w:rPr>
        <w:t xml:space="preserve">Manuscript change: </w:t>
      </w:r>
      <w:r>
        <w:t>New Table 1 (notation); new roadmap paragraph at the head of Section 4; equation labels and cross-references added; the CRI subsection now names the sections each term comes from.</w:t>
      </w:r>
    </w:p>
    <w:p/>
    <w:p>
      <w:r>
        <w:rPr>
          <w:b/>
          <w:sz w:val="23"/>
        </w:rPr>
        <w:t>Comment R1.3 - NHTSA citation and original references for all metrics</w:t>
      </w:r>
    </w:p>
    <w:p>
      <w:r>
        <w:rPr>
          <w:b/>
        </w:rPr>
        <w:t xml:space="preserve">Reviewer comment: </w:t>
      </w:r>
      <w:r>
        <w:rPr>
          <w:i/>
        </w:rPr>
        <w:t>When referring to the TTC threshold based on the NHTSA Forward Collision Warning band, please cite the relevant NHTSA reference. In addition, the original references for the TTC metric and all other metrics applied in the paper should also be cited.</w:t>
      </w:r>
    </w:p>
    <w:p>
      <w:r>
        <w:rPr>
          <w:b/>
        </w:rPr>
        <w:t xml:space="preserve">Response: </w:t>
      </w:r>
      <w:r>
        <w:t>Seven references have been added and cited at the point of use: Hayward (1972) - the original TTC formulation - cited both in Related Work and where the TTC risk component is defined; Minderhoud &amp; Bovy (2001) for the extended TTC-based surrogate-safety family; the NHTSA Forward Collision Warning System Confirmation Test (2013), cited where the 4.0 s critical threshold invokes the NHTSA FCW band and again where the near-miss proxy uses the 2.0 s AEB band; Elliott (1963), completing the Gilbert-Elliott channel citation alongside Gilbert (1960); Fawcett (2006) for ROC analysis; Davis &amp; Goadrich (2006) for precision-recall analysis; and Efron &amp; Tibshirani (1993) for the bootstrap confidence intervals. The Euro NCAP LCAS protocol reference, already in the bibliography, is now actually cited at both places that invoke it.</w:t>
      </w:r>
    </w:p>
    <w:p>
      <w:r>
        <w:rPr>
          <w:b/>
        </w:rPr>
        <w:t xml:space="preserve">Manuscript change: </w:t>
      </w:r>
      <w:r>
        <w:t>References [19]-[25] added; citations inserted in Sections 2.2, 3, 4.6, 5.3, 7.1, 7.2, and 7.4. All in-text citations are now rendered as bracketed numbers in the Word version of the manuscript.</w:t>
      </w:r>
    </w:p>
    <w:p/>
    <w:p>
      <w:r>
        <w:rPr>
          <w:b/>
          <w:sz w:val="23"/>
        </w:rPr>
        <w:t>Comment R1.4 - Avoiding the term 'feature importance' alongside SHAP</w:t>
      </w:r>
    </w:p>
    <w:p>
      <w:r>
        <w:rPr>
          <w:b/>
        </w:rPr>
        <w:t xml:space="preserve">Reviewer comment: </w:t>
      </w:r>
      <w:r>
        <w:rPr>
          <w:i/>
        </w:rPr>
        <w:t>Since this paper uses SHAP, it is suggested to avoid using the term 'feature importance,' as SHAP serves a similar explanatory function.</w:t>
      </w:r>
    </w:p>
    <w:p>
      <w:r>
        <w:rPr>
          <w:b/>
        </w:rPr>
        <w:t xml:space="preserve">Response: </w:t>
      </w:r>
      <w:r>
        <w:t>Agreed - the two concepts were competing for the same word. The term 'feature importance' has been removed from the manuscript. The XGBoost tree-internal statistic is now consistently called the 'gain-based split contribution' (in the text, the figure axis label, and the caption of Fig. 11), and attribution language is reserved exclusively for the SHAP analysis. The text now states explicitly that the gain statistic is a model-internal training quantity, not a per-sample explanation.</w:t>
      </w:r>
    </w:p>
    <w:p>
      <w:r>
        <w:rPr>
          <w:b/>
        </w:rPr>
        <w:t xml:space="preserve">Manuscript change: </w:t>
      </w:r>
      <w:r>
        <w:t>Fig. 11 regenerated with new axis label and title; Section 7.5 rewritten; caption of Fig. 11 updated.</w:t>
      </w:r>
    </w:p>
    <w:p/>
    <w:p>
      <w:r>
        <w:rPr>
          <w:b/>
          <w:sz w:val="23"/>
        </w:rPr>
        <w:t>Comment R1.5 - Purpose and function of each results figure (esp. Figs. 12-16)</w:t>
      </w:r>
    </w:p>
    <w:p>
      <w:r>
        <w:rPr>
          <w:b/>
        </w:rPr>
        <w:t xml:space="preserve">Reviewer comment: </w:t>
      </w:r>
      <w:r>
        <w:rPr>
          <w:i/>
        </w:rPr>
        <w:t>In the results section, it would be helpful to describe the purpose and function of each figure. The authors are encouraged to provide further explanations for other figures, especially Figure 12, 13, 14, 15, 16.</w:t>
      </w:r>
    </w:p>
    <w:p>
      <w:r>
        <w:rPr>
          <w:b/>
        </w:rPr>
        <w:t xml:space="preserve">Response: </w:t>
      </w:r>
      <w:r>
        <w:t>Every figure in the results section now carries an explicit statement of its purpose and function in the surrounding text: the ROC figure (threshold-independent comparison of all four methods), the PR figure (what fraction of raised alerts would be true events at each recall level), the confusion matrix (where the CRITICAL mass is absorbed, not merely that recall is zero), the gain-contribution chart, the correlation heatmap (exposing input redundancy before any attribution is interpreted), the SHAP beeswarm (magnitude and direction of each feature's contribution per sample), the SHAP dependence plot (monotonicity and physical plausibility of the top feature), the speed-CRI scatter (a diagnostic that the risk surface behaves physically, including the low-speed HNR elevation), and the calibration plot (a reliability diagram testing the CRI as an approximately calibrated probability, not just a ranking score). Please note the figure numbers have shifted by one from Fig. 15 onward because a new figure (the CRITICAL-class precision-recall frontier, now Fig. 15) was added in response to Reviewer 2; the figures the reviewer numbered 12-16 are now Figs. 12, 13, 14, 16, and 17.</w:t>
      </w:r>
    </w:p>
    <w:p>
      <w:r>
        <w:rPr>
          <w:b/>
        </w:rPr>
        <w:t xml:space="preserve">Manuscript change: </w:t>
      </w:r>
      <w:r>
        <w:t>Purpose statements added in Sections 7.4-7.7 and 7.10.</w:t>
      </w:r>
    </w:p>
    <w:p/>
    <w:p>
      <w:r>
        <w:rPr>
          <w:b/>
          <w:sz w:val="23"/>
        </w:rPr>
        <w:t>Comment R1.6 - High-contrast colours in figures</w:t>
      </w:r>
    </w:p>
    <w:p>
      <w:r>
        <w:rPr>
          <w:b/>
        </w:rPr>
        <w:t xml:space="preserve">Reviewer comment: </w:t>
      </w:r>
      <w:r>
        <w:rPr>
          <w:i/>
        </w:rPr>
        <w:t>It would be helpful to use high-contrast colors in the figures to improve readability and visual clarity.</w:t>
      </w:r>
    </w:p>
    <w:p>
      <w:r>
        <w:rPr>
          <w:b/>
        </w:rPr>
        <w:t xml:space="preserve">Response: </w:t>
      </w:r>
      <w:r>
        <w:t>All data figures have been regenerated with a high-contrast, colour-blind-safe palette (Okabe-Ito hues), thicker line weights, distinct linestyles per series (so the curves remain distinguishable in grayscale print), darker threshold lines, and higher-opacity fills and scatter points. The scenario colour mapping is now identical across all per-scenario figures (previously the scenario-comparison and speed-scatter figures used two different colour assignments for the same three scenarios).</w:t>
      </w:r>
    </w:p>
    <w:p>
      <w:r>
        <w:rPr>
          <w:b/>
        </w:rPr>
        <w:t xml:space="preserve">Manuscript change: </w:t>
      </w:r>
      <w:r>
        <w:t>Figs. 3-18 regenerated; palette and linestyle changes applied in the figure-generation scripts committed to the repository.</w:t>
      </w:r>
    </w:p>
    <w:p/>
    <w:p>
      <w:pPr>
        <w:jc w:val="center"/>
      </w:pPr>
      <w:r>
        <w:t>------------------------------------------------------------</w:t>
      </w:r>
    </w:p>
    <w:p/>
    <w:p>
      <w:r>
        <w:rPr>
          <w:b/>
          <w:color w:val="1F3F7F"/>
          <w:sz w:val="30"/>
        </w:rPr>
        <w:t>Reviewer 2</w:t>
      </w:r>
    </w:p>
    <w:p>
      <w:r>
        <w:rPr>
          <w:b/>
          <w:sz w:val="24"/>
        </w:rPr>
        <w:t>Original comments (Round 2, verbatim):</w:t>
      </w:r>
    </w:p>
    <w:p>
      <w:r>
        <w:t>The authors have responded conscientiously to nearly every point. However, the central validation concern (circular/underpowered ground truth, simulation-only, single corridor) is only partially resolved.</w:t>
      </w:r>
    </w:p>
    <w:p>
      <w:r>
        <w:t>Drawbacks:</w:t>
      </w:r>
    </w:p>
    <w:p>
      <w:r>
        <w:t>1. The entire model-independent claim depends on 27 SUMO collisions; a bootstrap AUC CI on 27 positives is fragile, and SUMO collisions are themselves generated by the simulator's car-following/lane-change models and are correlated with the same gap/TTC quantities the CRI consumes, so independence is partial, not clean. No real-world or third-party-dataset validation is provided.</w:t>
      </w:r>
    </w:p>
    <w:p>
      <w:r>
        <w:t>2. The introduction still invokes "dense and mixed traffic in India," yet two-wheelers, pedestrians, and cyclists are excluded and deferred to future work.</w:t>
      </w:r>
    </w:p>
    <w:p>
      <w:r>
        <w:t>3. The SHAP analysis and the four-classifier comparison all rest on learners with 0% CRITICAL recall (13 test samples). SHAP on a model that never predicts the safety-critical class is a weak "consistency check" for the deployed physics engine.</w:t>
      </w:r>
    </w:p>
    <w:p/>
    <w:p>
      <w:r>
        <w:rPr>
          <w:b/>
          <w:sz w:val="24"/>
        </w:rPr>
        <w:t>Author responses:</w:t>
      </w:r>
    </w:p>
    <w:p>
      <w:r>
        <w:rPr>
          <w:b/>
          <w:sz w:val="23"/>
        </w:rPr>
        <w:t>Comment R2.1 - Fragile / partially-independent Tier-1 validation; no real-world data</w:t>
      </w:r>
    </w:p>
    <w:p>
      <w:r>
        <w:rPr>
          <w:b/>
        </w:rPr>
        <w:t xml:space="preserve">Reviewer comment: </w:t>
      </w:r>
      <w:r>
        <w:rPr>
          <w:i/>
        </w:rPr>
        <w:t>The entire model-independent claim depends on 27 SUMO collisions; a bootstrap AUC CI on 27 positives is fragile, and SUMO collisions are themselves generated by the simulator's car-following/lane-change models and are correlated with the same gap/TTC quantities the CRI consumes, so independence is partial, not clean. No real-world or third-party-dataset validation is provided.</w:t>
      </w:r>
    </w:p>
    <w:p>
      <w:r>
        <w:rPr>
          <w:b/>
        </w:rPr>
        <w:t xml:space="preserve">Response: </w:t>
      </w:r>
      <w:r>
        <w:t>We agree, and the manuscript now says so explicitly rather than implicitly. Three changes: (a) the Tier-1 definition (Section 7.1) now states that 'model-independent' means label-computation independence only - the collisions are generated by the same simulated traffic process whose dynamics are correlated with the gap/TTC quantities the CRI consumes, so the independence is partial, and only on-road or third-party data would provide a fully external test; it also states that with 27 positives the CI must be read as evidence of consistency, not a precise effect size. (b) The Limitations paragraph now makes the same point and adds that we regard the headline AUC values as simulation-internal evidence pending the on-road validation in future work. (c) The abstract wording was adjusted accordingly. Separately - and prompted by Reviewer 4's advice to check the data - we discovered that the Round-1 statistical additions (bootstrap CIs, calibration split, four-classifier comparison, SHAP) had inadvertently been computed on a post-publication decimated telemetry log (112,146 rows at 0.2 s logging) rather than the published 146,051-row dataset. We restored the exact published dataset from version control (verified: 146,051 rows, 27 collision rows, 49.6/31.0/19.3 scenario split, 54 CRITICAL rows) and re-ran every analysis on it. The affected numbers changed slightly and are all updated in the manuscript (e.g., Tier-1 physics AUC 0.971 -&gt; 0.958 [0.944, 0.970]); every conclusion is unchanged (physics model above every baseline on both tiers, paired bootstrap p &lt; 0.001), and all reported numbers are now exactly reproducible from the repository dataset. We have not added real-world or third-party validation in this revision and the paper now states that plainly instead of hedging.</w:t>
      </w:r>
    </w:p>
    <w:p>
      <w:r>
        <w:rPr>
          <w:b/>
        </w:rPr>
        <w:t xml:space="preserve">Manuscript change: </w:t>
      </w:r>
      <w:r>
        <w:t>Sections 7.1 (Tier-1 qualifications), 9 (Limitations), abstract, Tables 3-6, and all dependent numbers updated; dataset restored in the repository.</w:t>
      </w:r>
    </w:p>
    <w:p/>
    <w:p>
      <w:r>
        <w:rPr>
          <w:b/>
          <w:sz w:val="23"/>
        </w:rPr>
        <w:t>Comment R2.2 - 'Dense and mixed traffic in India' vs. excluded road users</w:t>
      </w:r>
    </w:p>
    <w:p>
      <w:r>
        <w:rPr>
          <w:b/>
        </w:rPr>
        <w:t xml:space="preserve">Reviewer comment: </w:t>
      </w:r>
      <w:r>
        <w:rPr>
          <w:i/>
        </w:rPr>
        <w:t>The introduction still invokes 'dense and mixed traffic in India,' yet two-wheelers, pedestrians, and cyclists are excluded and deferred to future work.</w:t>
      </w:r>
    </w:p>
    <w:p>
      <w:r>
        <w:rPr>
          <w:b/>
        </w:rPr>
        <w:t xml:space="preserve">Response: </w:t>
      </w:r>
      <w:r>
        <w:t>The introduction now carries an explicit scope statement immediately after the motivation: the system addresses the motorised four-wheeled subset of that traffic (passenger cars, SUVs, and trucks exchanging V2V messages), and vulnerable road users - although a dominant component of Indian urban traffic - broadcast no Basic Safety Message and would require Personal Safety Message handling and non-vehicular dynamics models outside the 5-field pipeline studied here. They are deferred to future work explicitly rather than silently excluded. The motivation is thus retained but honestly scoped at the point where it is first invoked, not only in the Limitations.</w:t>
      </w:r>
    </w:p>
    <w:p>
      <w:r>
        <w:rPr>
          <w:b/>
        </w:rPr>
        <w:t xml:space="preserve">Manuscript change: </w:t>
      </w:r>
      <w:r>
        <w:t>Introduction, first paragraph (Section 1); cross-reference to the VRU item in Future Work.</w:t>
      </w:r>
    </w:p>
    <w:p/>
    <w:p>
      <w:r>
        <w:rPr>
          <w:b/>
          <w:sz w:val="23"/>
        </w:rPr>
        <w:t>Comment R2.3 - SHAP and the classifier comparison rest on learners with 0% CRITICAL recall</w:t>
      </w:r>
    </w:p>
    <w:p>
      <w:r>
        <w:rPr>
          <w:b/>
        </w:rPr>
        <w:t xml:space="preserve">Reviewer comment: </w:t>
      </w:r>
      <w:r>
        <w:rPr>
          <w:i/>
        </w:rPr>
        <w:t>The SHAP analysis and the four-classifier comparison all rest on learners with 0% CRITICAL recall (13 test samples). SHAP on a model that never predicts the safety-critical class is a weak 'consistency check' for the deployed physics engine.</w:t>
      </w:r>
    </w:p>
    <w:p>
      <w:r>
        <w:rPr>
          <w:b/>
        </w:rPr>
        <w:t xml:space="preserve">Response: </w:t>
      </w:r>
      <w:r>
        <w:t>We took this as a request to quantify exactly how much of the 0% recall is an argmax artefact - and the answer sharpens the paper. A new cost-sensitive operating-point analysis (Section 7.6, new Table 7 and new Fig. 15) tunes a decision threshold on the continuous CRITICAL probability using a validation split carved out of the training partition (synthetic CRITICAL rows excluded from threshold tuning), freezes it, and applies it to the untouched test set. Result: at the F1-optimal threshold, test recall stays at zero for the three tree-based learners, while Logistic Regression reaches recall 0.54 there but only at a precision of 0.001 - its F1-optimal threshold already behaves like a screening rule; at a deliberately recall-priority screening threshold, XGBoost recovers 11 of the 13 test CRITICAL events (recall 0.85) - direct evidence of genuine ranking signal, consistent with its 0.900 CRITICAL-binary AUC - but at a precision of 0.002, i.e., roughly 500 false alarms per true event. The new Fig. 15 shows the full precision-recall frontier: no threshold exists at which any learner is simultaneously sensitive and precise at the 0.036% prevalence. This is the quantitative form of the reviewer's point, and it is also the quantitative justification for the paper's architecture: the learners are exploratory baselines and the physics engine is the sole decision-maker. The SHAP subsection was reframed accordingly: it now explains that SHAP is computed on the continuous CRITICAL log-odds (not the argmax label), that the explained score does carry CRITICAL-relevant ranking signal but cannot be converted into a usable detector, and that SHAP is presented strictly as an interpretability check on the exploratory learners with no claim about the physics engine's validity. The Discussion carries the same caveat.</w:t>
      </w:r>
    </w:p>
    <w:p>
      <w:r>
        <w:rPr>
          <w:b/>
        </w:rPr>
        <w:t xml:space="preserve">Manuscript change: </w:t>
      </w:r>
      <w:r>
        <w:t>New paragraph 'Cost-sensitive operating points' in Section 7.6, new Table 7, new Fig. 15; SHAP subsection within Section 7.5 reframed; Discussion updated.</w:t>
      </w:r>
    </w:p>
    <w:p/>
    <w:p>
      <w:pPr>
        <w:jc w:val="center"/>
      </w:pPr>
      <w:r>
        <w:t>------------------------------------------------------------</w:t>
      </w:r>
    </w:p>
    <w:p/>
    <w:p>
      <w:r>
        <w:rPr>
          <w:b/>
          <w:color w:val="1F3F7F"/>
          <w:sz w:val="30"/>
        </w:rPr>
        <w:t>Reviewer 4</w:t>
      </w:r>
    </w:p>
    <w:p>
      <w:r>
        <w:rPr>
          <w:b/>
          <w:sz w:val="24"/>
        </w:rPr>
        <w:t>Original comments (Round 2, verbatim):</w:t>
      </w:r>
    </w:p>
    <w:p>
      <w:r>
        <w:t>Dear authors,</w:t>
      </w:r>
    </w:p>
    <w:p>
      <w:r>
        <w:t>Thanks a lot for addressing all my comments. Just the advice to check carefully the data you select, because there can be intrinsic problems.</w:t>
      </w:r>
    </w:p>
    <w:p/>
    <w:p>
      <w:r>
        <w:rPr>
          <w:b/>
          <w:sz w:val="24"/>
        </w:rPr>
        <w:t>Author responses:</w:t>
      </w:r>
    </w:p>
    <w:p>
      <w:r>
        <w:rPr>
          <w:b/>
          <w:sz w:val="23"/>
        </w:rPr>
        <w:t>Comment R4.1 - 'Check carefully the data you select, because there can be intrinsic problems'</w:t>
      </w:r>
    </w:p>
    <w:p>
      <w:r>
        <w:rPr>
          <w:b/>
        </w:rPr>
        <w:t xml:space="preserve">Reviewer comment: </w:t>
      </w:r>
      <w:r>
        <w:rPr>
          <w:i/>
        </w:rPr>
        <w:t>Thanks a lot for addressing all my comments. Just the advice to check carefully the data you select, because there can be intrinsic problems.</w:t>
      </w:r>
    </w:p>
    <w:p>
      <w:r>
        <w:rPr>
          <w:b/>
        </w:rPr>
        <w:t xml:space="preserve">Response: </w:t>
      </w:r>
      <w:r>
        <w:t>We thank the reviewer for this advice - acting on it proved genuinely consequential. We built an automated dataset integrity audit (dataset_integrity_audit.py, committed to the repository together with its JSON report) that checks for missing and non-finite values, duplicated rows, per-vehicle timestep monotonicity, physical range violations in the principal kinematic and risk columns, and reconciliation of the published class proportions against the raw file. The audit immediately surfaced a real intrinsic problem: the telemetry CSV in the working tree was a post-publication re-run with decimated logging (112,146 rows) that did not match the published row count, collision count, or CRITICAL count - and the Round-1 statistical additions had been computed on it. We restored the exact published 146,051-row dataset from version control (verified: 27 collision rows, scenario split 49.6/31.0/19.3, 54 CRITICAL rows, gain statistics matching the published figure) and re-ran the XGBoost training and every statistical analysis on the restored data; all affected numbers in the manuscript were updated (see response R2.1). On the restored dataset the audit passes; two deliberate encoding properties are documented in the audit report rather than silently accepted (the longitudinal gap is signed and negative while a target is alongside the ego - precisely the blind-spot geometry - and 44 of 146,051 rows above 60 m/s belong to deliberately injected aggressive scenario vehicles). The Dataset Description (Section 6.1) now describes the audit.</w:t>
      </w:r>
    </w:p>
    <w:p>
      <w:r>
        <w:rPr>
          <w:b/>
        </w:rPr>
        <w:t xml:space="preserve">Manuscript change: </w:t>
      </w:r>
      <w:r>
        <w:t>New script dataset_integrity_audit.py + Outputs/dataset_integrity_report.json; Section 6.1 extended; dataset restored; all dependent numbers re-derived from the audited dataset.</w:t>
      </w:r>
    </w:p>
    <w:p/>
    <w:p>
      <w:pPr>
        <w:jc w:val="center"/>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