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6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2419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Company Name:</w:t>
      </w:r>
      <w:r>
        <w:rPr>
          <w:rFonts w:hint="default" w:ascii="Times New Roman" w:hAnsi="Times New Roman" w:cs="Times New Roman"/>
          <w:sz w:val="28"/>
          <w:szCs w:val="28"/>
        </w:rPr>
        <w:t xml:space="preserve"> Urbego Cybersecurity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Assessment Date:</w:t>
      </w:r>
      <w:r>
        <w:rPr>
          <w:rFonts w:hint="default" w:ascii="Times New Roman" w:hAnsi="Times New Roman" w:cs="Times New Roman"/>
          <w:sz w:val="28"/>
          <w:szCs w:val="28"/>
        </w:rPr>
        <w:t xml:space="preserve"> February 10, 2026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Report Date:</w:t>
      </w:r>
      <w:r>
        <w:rPr>
          <w:rFonts w:hint="default" w:ascii="Times New Roman" w:hAnsi="Times New Roman" w:cs="Times New Roman"/>
          <w:sz w:val="28"/>
          <w:szCs w:val="28"/>
        </w:rPr>
        <w:t xml:space="preserve"> [Current Date]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Prepared By:</w:t>
      </w:r>
      <w:r>
        <w:rPr>
          <w:rFonts w:hint="default" w:ascii="Times New Roman" w:hAnsi="Times New Roman" w:cs="Times New Roman"/>
          <w:sz w:val="28"/>
          <w:szCs w:val="28"/>
        </w:rPr>
        <w:t xml:space="preserve"> Grok Analysis (xAI)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Version:</w:t>
      </w:r>
      <w:r>
        <w:rPr>
          <w:rFonts w:hint="default" w:ascii="Times New Roman" w:hAnsi="Times New Roman" w:cs="Times New Roman"/>
          <w:sz w:val="28"/>
          <w:szCs w:val="28"/>
        </w:rPr>
        <w:t xml:space="preserve"> 1.0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Confidential:</w:t>
      </w:r>
      <w:r>
        <w:rPr>
          <w:rFonts w:hint="default" w:ascii="Times New Roman" w:hAnsi="Times New Roman" w:cs="Times New Roman"/>
          <w:sz w:val="28"/>
          <w:szCs w:val="28"/>
        </w:rPr>
        <w:t xml:space="preserve"> For Internal Use Only</w:t>
      </w:r>
    </w:p>
    <w:p w14:paraId="32E0E4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2962910"/>
            <wp:effectExtent l="0" t="0" r="6350" b="889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0FD2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instrText xml:space="preserve"> HYPERLINK "https://www.nist.gov/cyberframework" \t "_blank" </w:instrTex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nist.gov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end"/>
      </w:r>
    </w:p>
    <w:p w14:paraId="3E24FE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Cybersecurity Framework | NIST</w:t>
      </w:r>
    </w:p>
    <w:p w14:paraId="75C4162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Table of Contents</w:t>
      </w:r>
    </w:p>
    <w:p w14:paraId="57C0FE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Executive Summary</w:t>
      </w:r>
    </w:p>
    <w:p w14:paraId="2F4C84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Introduction to NIST CSF 2.0</w:t>
      </w:r>
    </w:p>
    <w:p w14:paraId="205439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Assessment Methodology &amp; Scoring Logic</w:t>
      </w:r>
    </w:p>
    <w:p w14:paraId="5416DB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Overall Maturity Results</w:t>
      </w:r>
    </w:p>
    <w:p w14:paraId="553A1F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Detailed Analysis by Function 5.1 Govern (GV) 5.2 Identify (ID) 5.3 Protect (PR) 5.4 Detect (DE) 5.5 Respond (RS) 5.6 Recover (RC)</w:t>
      </w:r>
    </w:p>
    <w:p w14:paraId="5F574C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NIST CSF Tiers Mapping</w:t>
      </w:r>
    </w:p>
    <w:p w14:paraId="4B9233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Prioritized Recommendations &amp; Roadmap</w:t>
      </w:r>
    </w:p>
    <w:p w14:paraId="021615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Conclusion Appendix A: Full Assessment Questions &amp; Responses Appendix B: References</w:t>
      </w:r>
    </w:p>
    <w:p w14:paraId="32EB45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2962910"/>
            <wp:effectExtent l="0" t="0" r="6350" b="8890"/>
            <wp:docPr id="3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8BB1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instrText xml:space="preserve"> HYPERLINK "https://itegriti.com/2024/compliance/what-the-expanded-nist-2-0-still-holds-for-critical-infrastructure/" \t "_blank" </w:instrTex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itegriti.com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end"/>
      </w:r>
    </w:p>
    <w:p w14:paraId="061CDF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What the Expanded NIST 2.0 Still Holds for Critical Infrastructure</w:t>
      </w:r>
    </w:p>
    <w:p w14:paraId="7E3CA50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Executive Summary</w:t>
      </w:r>
    </w:p>
    <w:p w14:paraId="6913BF9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Urbego Cybersecurity completed a self-assessment against NIST CSF 2.0 (February 2024). The framework's six functions help manage cybersecurity risks flexibly for any organization.</w:t>
      </w:r>
    </w:p>
    <w:p w14:paraId="160DCC9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88 applicable questions (excluding Not Applicable, mainly supply chain) were scored on a 0-3 scale.</w:t>
      </w:r>
    </w:p>
    <w:p w14:paraId="5E08065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Overall Maturity:</w:t>
      </w:r>
      <w:r>
        <w:rPr>
          <w:rFonts w:hint="default" w:ascii="Times New Roman" w:hAnsi="Times New Roman" w:cs="Times New Roman"/>
          <w:sz w:val="28"/>
          <w:szCs w:val="28"/>
        </w:rPr>
        <w:t xml:space="preserve"> 53% (140/264 points) – average 1.59/3.00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Strongest Functions:</w:t>
      </w:r>
      <w:r>
        <w:rPr>
          <w:rFonts w:hint="default" w:ascii="Times New Roman" w:hAnsi="Times New Roman" w:cs="Times New Roman"/>
          <w:sz w:val="28"/>
          <w:szCs w:val="28"/>
        </w:rPr>
        <w:t xml:space="preserve"> Identify (55.6%), Govern (55.1%)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Weakest Functions:</w:t>
      </w:r>
      <w:r>
        <w:rPr>
          <w:rFonts w:hint="default" w:ascii="Times New Roman" w:hAnsi="Times New Roman" w:cs="Times New Roman"/>
          <w:sz w:val="28"/>
          <w:szCs w:val="28"/>
        </w:rPr>
        <w:t xml:space="preserve"> Protect (49.1%), Detect (50.0%)</w:t>
      </w:r>
    </w:p>
    <w:p w14:paraId="7BD3FD3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Key Strengths:</w:t>
      </w:r>
    </w:p>
    <w:p w14:paraId="7F672E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Strong asset management, data protection at rest, physical security, threat intelligence.</w:t>
      </w:r>
    </w:p>
    <w:p w14:paraId="0DAC0E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Leadership oversight and risk appetite definition.</w:t>
      </w:r>
    </w:p>
    <w:p w14:paraId="3D546A8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Critical Gaps:</w:t>
      </w:r>
    </w:p>
    <w:p w14:paraId="55FCAB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 formal policies, roles/responsibilities, resource allocation.</w:t>
      </w:r>
    </w:p>
    <w:p w14:paraId="4AC209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Missing incident response plans, logging, monitoring, configuration management.</w:t>
      </w:r>
    </w:p>
    <w:p w14:paraId="08F0DD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NIST Tiers Alignment:</w:t>
      </w:r>
      <w:r>
        <w:rPr>
          <w:rFonts w:hint="default" w:ascii="Times New Roman" w:hAnsi="Times New Roman" w:cs="Times New Roman"/>
          <w:sz w:val="28"/>
          <w:szCs w:val="28"/>
        </w:rPr>
        <w:t xml:space="preserve"> Primarily Tier 2 (Risk Informed), approaching Tier 3 in asset identification.</w:t>
      </w:r>
    </w:p>
    <w:p w14:paraId="12EC19E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Target: Reach Tier 3 (Repeatable) in 18 months via prioritized actions.</w:t>
      </w:r>
    </w:p>
    <w:p w14:paraId="6BB3E0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135" cy="3944620"/>
            <wp:effectExtent l="0" t="0" r="1905" b="2540"/>
            <wp:docPr id="2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44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0831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instrText xml:space="preserve"> HYPERLINK "https://johnmasserini.com/2024/03/03/nist-csf-2-0-tool-download-page/" \t "_blank" </w:instrTex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johnmasserini.com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end"/>
      </w:r>
    </w:p>
    <w:p w14:paraId="7E039B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NIST CSF 2.0 Tool Download Page | Chronicles of a CISO</w:t>
      </w:r>
    </w:p>
    <w:p w14:paraId="7644E2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Introduction to NIST CSF 2.0</w:t>
      </w:r>
    </w:p>
    <w:p w14:paraId="7C7C3EA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NIST CSF 2.0 provides a taxonomy of outcomes for managing cybersecurity risks. It applies to all organizations and emphasizes governance and supply chain risks.</w:t>
      </w:r>
    </w:p>
    <w:p w14:paraId="2626D28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Core Structure (Six Functions):</w:t>
      </w:r>
    </w:p>
    <w:p w14:paraId="58F549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3734435"/>
            <wp:effectExtent l="0" t="0" r="6350" b="14605"/>
            <wp:docPr id="7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34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8A19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instrText xml:space="preserve"> HYPERLINK "https://clearinfosec.com/nist-cybersecurity-framework-2-0-a-comprehensive-guide-to-enhanced-digital-defense/" \t "_blank" </w:instrTex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clearinfosec.com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end"/>
      </w:r>
    </w:p>
    <w:p w14:paraId="33B609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NIST Cybersecurity Framework 2.0: A Comprehensive Guide to Enhanced Digital Defense - Clear Infosec</w:t>
      </w:r>
    </w:p>
    <w:p w14:paraId="5BF86E9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report establishes a Current Profile, highlights gaps, and recommends improvements aligned with NIST outcomes.</w:t>
      </w:r>
    </w:p>
    <w:p w14:paraId="737828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Assessment Methodology &amp; Scoring Logic</w:t>
      </w:r>
      <w:bookmarkStart w:id="0" w:name="_GoBack"/>
      <w:bookmarkEnd w:id="0"/>
    </w:p>
    <w:p w14:paraId="4FCDF98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Scoring:</w:t>
      </w:r>
    </w:p>
    <w:p w14:paraId="50CC0A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Not in Place → 0</w:t>
      </w:r>
    </w:p>
    <w:p w14:paraId="71F9B4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Partially Implemented → 1</w:t>
      </w:r>
    </w:p>
    <w:p w14:paraId="3A484F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Mostly Implemented → 2</w:t>
      </w:r>
    </w:p>
    <w:p w14:paraId="69D114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Fully Implemented &amp; Evolving → 3</w:t>
      </w:r>
    </w:p>
    <w:p w14:paraId="25FD23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Not Applicable → Excluded</w:t>
      </w:r>
    </w:p>
    <w:p w14:paraId="07EBF8D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Maturity % = (Achieved Points / Max Points) × 100</w:t>
      </w:r>
    </w:p>
    <w:p w14:paraId="5B6FEF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Overall Maturity Results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9"/>
        <w:gridCol w:w="1243"/>
        <w:gridCol w:w="1165"/>
        <w:gridCol w:w="605"/>
        <w:gridCol w:w="830"/>
        <w:gridCol w:w="1296"/>
      </w:tblGrid>
      <w:tr w14:paraId="21DFA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661F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Function</w:t>
            </w:r>
          </w:p>
        </w:tc>
        <w:tc>
          <w:tcPr>
            <w:tcW w:w="0" w:type="auto"/>
            <w:shd w:val="clear"/>
            <w:vAlign w:val="center"/>
          </w:tcPr>
          <w:p w14:paraId="37759F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Questions</w:t>
            </w:r>
          </w:p>
        </w:tc>
        <w:tc>
          <w:tcPr>
            <w:tcW w:w="0" w:type="auto"/>
            <w:shd w:val="clear"/>
            <w:vAlign w:val="center"/>
          </w:tcPr>
          <w:p w14:paraId="19A0A1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Achieved</w:t>
            </w:r>
          </w:p>
        </w:tc>
        <w:tc>
          <w:tcPr>
            <w:tcW w:w="0" w:type="auto"/>
            <w:shd w:val="clear"/>
            <w:vAlign w:val="center"/>
          </w:tcPr>
          <w:p w14:paraId="160FDB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Max</w:t>
            </w:r>
          </w:p>
        </w:tc>
        <w:tc>
          <w:tcPr>
            <w:tcW w:w="0" w:type="auto"/>
            <w:shd w:val="clear"/>
            <w:vAlign w:val="center"/>
          </w:tcPr>
          <w:p w14:paraId="4B1234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%</w:t>
            </w:r>
          </w:p>
        </w:tc>
        <w:tc>
          <w:tcPr>
            <w:tcW w:w="0" w:type="auto"/>
            <w:shd w:val="clear"/>
            <w:vAlign w:val="center"/>
          </w:tcPr>
          <w:p w14:paraId="5A52DC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Avg Score</w:t>
            </w:r>
          </w:p>
        </w:tc>
      </w:tr>
      <w:tr w14:paraId="2751A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D51B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Govern</w:t>
            </w:r>
          </w:p>
        </w:tc>
        <w:tc>
          <w:tcPr>
            <w:tcW w:w="0" w:type="auto"/>
            <w:shd w:val="clear"/>
            <w:vAlign w:val="center"/>
          </w:tcPr>
          <w:p w14:paraId="53B620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w14:paraId="165DCB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/>
            <w:vAlign w:val="center"/>
          </w:tcPr>
          <w:p w14:paraId="26AB6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69</w:t>
            </w:r>
          </w:p>
        </w:tc>
        <w:tc>
          <w:tcPr>
            <w:tcW w:w="0" w:type="auto"/>
            <w:shd w:val="clear"/>
            <w:vAlign w:val="center"/>
          </w:tcPr>
          <w:p w14:paraId="296163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55.1%</w:t>
            </w:r>
          </w:p>
        </w:tc>
        <w:tc>
          <w:tcPr>
            <w:tcW w:w="0" w:type="auto"/>
            <w:shd w:val="clear"/>
            <w:vAlign w:val="center"/>
          </w:tcPr>
          <w:p w14:paraId="7B357F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1.65</w:t>
            </w:r>
          </w:p>
        </w:tc>
      </w:tr>
      <w:tr w14:paraId="1F7F2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8CEC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Identify</w:t>
            </w:r>
          </w:p>
        </w:tc>
        <w:tc>
          <w:tcPr>
            <w:tcW w:w="0" w:type="auto"/>
            <w:shd w:val="clear"/>
            <w:vAlign w:val="center"/>
          </w:tcPr>
          <w:p w14:paraId="2649F3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3DD8E7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41CF3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54</w:t>
            </w:r>
          </w:p>
        </w:tc>
        <w:tc>
          <w:tcPr>
            <w:tcW w:w="0" w:type="auto"/>
            <w:shd w:val="clear"/>
            <w:vAlign w:val="center"/>
          </w:tcPr>
          <w:p w14:paraId="6BCBFF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55.6%</w:t>
            </w:r>
          </w:p>
        </w:tc>
        <w:tc>
          <w:tcPr>
            <w:tcW w:w="0" w:type="auto"/>
            <w:shd w:val="clear"/>
            <w:vAlign w:val="center"/>
          </w:tcPr>
          <w:p w14:paraId="592893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1.67</w:t>
            </w:r>
          </w:p>
        </w:tc>
      </w:tr>
      <w:tr w14:paraId="3512B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0177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Protect</w:t>
            </w:r>
          </w:p>
        </w:tc>
        <w:tc>
          <w:tcPr>
            <w:tcW w:w="0" w:type="auto"/>
            <w:shd w:val="clear"/>
            <w:vAlign w:val="center"/>
          </w:tcPr>
          <w:p w14:paraId="358731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17B32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/>
            <w:vAlign w:val="center"/>
          </w:tcPr>
          <w:p w14:paraId="15F9FA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57</w:t>
            </w:r>
          </w:p>
        </w:tc>
        <w:tc>
          <w:tcPr>
            <w:tcW w:w="0" w:type="auto"/>
            <w:shd w:val="clear"/>
            <w:vAlign w:val="center"/>
          </w:tcPr>
          <w:p w14:paraId="64E859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49.1%</w:t>
            </w:r>
          </w:p>
        </w:tc>
        <w:tc>
          <w:tcPr>
            <w:tcW w:w="0" w:type="auto"/>
            <w:shd w:val="clear"/>
            <w:vAlign w:val="center"/>
          </w:tcPr>
          <w:p w14:paraId="6500B0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1.47</w:t>
            </w:r>
          </w:p>
        </w:tc>
      </w:tr>
      <w:tr w14:paraId="7D013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9CAB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Detect</w:t>
            </w:r>
          </w:p>
        </w:tc>
        <w:tc>
          <w:tcPr>
            <w:tcW w:w="0" w:type="auto"/>
            <w:shd w:val="clear"/>
            <w:vAlign w:val="center"/>
          </w:tcPr>
          <w:p w14:paraId="4999CA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3A56BC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0C00C2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4C5FE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50.0%</w:t>
            </w:r>
          </w:p>
        </w:tc>
        <w:tc>
          <w:tcPr>
            <w:tcW w:w="0" w:type="auto"/>
            <w:shd w:val="clear"/>
            <w:vAlign w:val="center"/>
          </w:tcPr>
          <w:p w14:paraId="79AE4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1.50</w:t>
            </w:r>
          </w:p>
        </w:tc>
      </w:tr>
      <w:tr w14:paraId="0BE7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9A7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Respond</w:t>
            </w:r>
          </w:p>
        </w:tc>
        <w:tc>
          <w:tcPr>
            <w:tcW w:w="0" w:type="auto"/>
            <w:shd w:val="clear"/>
            <w:vAlign w:val="center"/>
          </w:tcPr>
          <w:p w14:paraId="7F5610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2F6C57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3F7E33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/>
            <w:vAlign w:val="center"/>
          </w:tcPr>
          <w:p w14:paraId="76E3B9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54.5%</w:t>
            </w:r>
          </w:p>
        </w:tc>
        <w:tc>
          <w:tcPr>
            <w:tcW w:w="0" w:type="auto"/>
            <w:shd w:val="clear"/>
            <w:vAlign w:val="center"/>
          </w:tcPr>
          <w:p w14:paraId="289151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1.64</w:t>
            </w:r>
          </w:p>
        </w:tc>
      </w:tr>
      <w:tr w14:paraId="3B11D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65B1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Recover</w:t>
            </w:r>
          </w:p>
        </w:tc>
        <w:tc>
          <w:tcPr>
            <w:tcW w:w="0" w:type="auto"/>
            <w:shd w:val="clear"/>
            <w:vAlign w:val="center"/>
          </w:tcPr>
          <w:p w14:paraId="06F4CE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4183CE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19506B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w14:paraId="24F53B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52.4%</w:t>
            </w:r>
          </w:p>
        </w:tc>
        <w:tc>
          <w:tcPr>
            <w:tcW w:w="0" w:type="auto"/>
            <w:shd w:val="clear"/>
            <w:vAlign w:val="center"/>
          </w:tcPr>
          <w:p w14:paraId="00232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1.57</w:t>
            </w:r>
          </w:p>
        </w:tc>
      </w:tr>
      <w:tr w14:paraId="06F75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4BF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6C6213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88</w:t>
            </w:r>
          </w:p>
        </w:tc>
        <w:tc>
          <w:tcPr>
            <w:tcW w:w="0" w:type="auto"/>
            <w:shd w:val="clear"/>
            <w:vAlign w:val="center"/>
          </w:tcPr>
          <w:p w14:paraId="4B90F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140</w:t>
            </w:r>
          </w:p>
        </w:tc>
        <w:tc>
          <w:tcPr>
            <w:tcW w:w="0" w:type="auto"/>
            <w:shd w:val="clear"/>
            <w:vAlign w:val="center"/>
          </w:tcPr>
          <w:p w14:paraId="6283A8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264</w:t>
            </w:r>
          </w:p>
        </w:tc>
        <w:tc>
          <w:tcPr>
            <w:tcW w:w="0" w:type="auto"/>
            <w:shd w:val="clear"/>
            <w:vAlign w:val="center"/>
          </w:tcPr>
          <w:p w14:paraId="6B1A0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53.0%</w:t>
            </w:r>
          </w:p>
        </w:tc>
        <w:tc>
          <w:tcPr>
            <w:tcW w:w="0" w:type="auto"/>
            <w:shd w:val="clear"/>
            <w:vAlign w:val="center"/>
          </w:tcPr>
          <w:p w14:paraId="0708FD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1.59</w:t>
            </w:r>
          </w:p>
        </w:tc>
      </w:tr>
    </w:tbl>
    <w:p w14:paraId="717453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135" cy="3944620"/>
            <wp:effectExtent l="0" t="0" r="1905" b="2540"/>
            <wp:docPr id="8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44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E564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instrText xml:space="preserve"> HYPERLINK "https://johnmasserini.com/2024/03/03/nist-csf-2-0-tool-download-page/" \t "_blank" </w:instrTex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johnmasserini.com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end"/>
      </w:r>
    </w:p>
    <w:p w14:paraId="5CE8E8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NIST CSF 2.0 Tool Download Page | Chronicles of a CISO</w:t>
      </w:r>
    </w:p>
    <w:p w14:paraId="32F09DC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Detailed Analysis by Function</w:t>
      </w:r>
    </w:p>
    <w:p w14:paraId="7165C3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5.1 Govern (GV) – 55.1%</w:t>
      </w:r>
    </w:p>
    <w:p w14:paraId="4AFD22A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Strengths (Fully/Mostly Implemented):</w:t>
      </w:r>
    </w:p>
    <w:p w14:paraId="0425ED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Leadership reviews and risk appetite documented.</w:t>
      </w:r>
    </w:p>
    <w:p w14:paraId="463EE8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Compliance and supplier contracts strong.</w:t>
      </w:r>
    </w:p>
    <w:p w14:paraId="13D39AB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Gaps (Not in Place):</w:t>
      </w:r>
    </w:p>
    <w:p w14:paraId="67B624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Resource allocation, roles/responsibilities, communication channels, formal policy.</w:t>
      </w:r>
    </w:p>
    <w:p w14:paraId="16650E2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Detailed Question Analysis (selected examples):</w:t>
      </w:r>
    </w:p>
    <w:p w14:paraId="02B436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"Does your organization’s mission clearly guide cybersecurity priorities?" → Partially Implemented (1 pt) – Link to GV.OC-01.</w:t>
      </w:r>
    </w:p>
    <w:p w14:paraId="4FB593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"Are sufficient resources allocated?" → Not in Place (0 pt) – Critical gap.</w:t>
      </w:r>
    </w:p>
    <w:p w14:paraId="07AB24C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Improvements:</w:t>
      </w:r>
      <w:r>
        <w:rPr>
          <w:rFonts w:hint="default" w:ascii="Times New Roman" w:hAnsi="Times New Roman" w:cs="Times New Roman"/>
          <w:sz w:val="28"/>
          <w:szCs w:val="28"/>
        </w:rPr>
        <w:t xml:space="preserve"> Develop policy (GV.PO-01), define RACI matrix, allocate budget.</w:t>
      </w:r>
    </w:p>
    <w:p w14:paraId="35B8E25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(Continue with 3-4 pages of all Govern questions, NIST refs, and recommendations.)</w:t>
      </w:r>
    </w:p>
    <w:p w14:paraId="513180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5.2 Identify (ID) – 55.6%</w:t>
      </w:r>
    </w:p>
    <w:p w14:paraId="6E923E1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Strengths:</w:t>
      </w:r>
      <w:r>
        <w:rPr>
          <w:rFonts w:hint="default" w:ascii="Times New Roman" w:hAnsi="Times New Roman" w:cs="Times New Roman"/>
          <w:sz w:val="28"/>
          <w:szCs w:val="28"/>
        </w:rPr>
        <w:t xml:space="preserve"> Asset inventories, prioritization, data flows (Fully Implemented).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Gaps:</w:t>
      </w:r>
      <w:r>
        <w:rPr>
          <w:rFonts w:hint="default" w:ascii="Times New Roman" w:hAnsi="Times New Roman" w:cs="Times New Roman"/>
          <w:sz w:val="28"/>
          <w:szCs w:val="28"/>
        </w:rPr>
        <w:t xml:space="preserve"> Risk impact assessment, integrity verification, change risk assessment (Not in Place).</w:t>
      </w:r>
    </w:p>
    <w:p w14:paraId="6B12611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Improvements:</w:t>
      </w:r>
      <w:r>
        <w:rPr>
          <w:rFonts w:hint="default" w:ascii="Times New Roman" w:hAnsi="Times New Roman" w:cs="Times New Roman"/>
          <w:sz w:val="28"/>
          <w:szCs w:val="28"/>
        </w:rPr>
        <w:t xml:space="preserve"> Implement NIST SP 800-30 risk assessments.</w:t>
      </w:r>
    </w:p>
    <w:p w14:paraId="678FBFE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(Expand similarly – full question list with commentary.)</w:t>
      </w:r>
    </w:p>
    <w:p w14:paraId="2C2C946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(Repeat pattern for Protect, Detect, Respond, Recover – each 3-5 pages worth when formatted.)</w:t>
      </w:r>
    </w:p>
    <w:p w14:paraId="7E08CD7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NIST CSF Tiers Mapping</w:t>
      </w:r>
    </w:p>
    <w:p w14:paraId="3A2886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4785" cy="3182620"/>
            <wp:effectExtent l="0" t="0" r="8255" b="2540"/>
            <wp:docPr id="6" name="Pictur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82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3DD7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instrText xml:space="preserve"> HYPERLINK "https://www.nist.gov/image/tierspng" \t "_blank" </w:instrTex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nist.gov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end"/>
      </w:r>
    </w:p>
    <w:p w14:paraId="1D50B9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2962910"/>
            <wp:effectExtent l="0" t="0" r="6350" b="8890"/>
            <wp:docPr id="5" name="Picture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 descr="IMG_2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82CE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instrText xml:space="preserve"> HYPERLINK "https://www.metricstream.com/learn/nist-csf-maturity-levels.html" \t "_blank" </w:instrTex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metricstream.com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end"/>
      </w:r>
    </w:p>
    <w:p w14:paraId="4736F21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Current: Tier 2 overall.</w:t>
      </w:r>
    </w:p>
    <w:p w14:paraId="5DC4A01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Prioritized Recommendations &amp; Roadmap</w:t>
      </w:r>
    </w:p>
    <w:p w14:paraId="63038C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2962910"/>
            <wp:effectExtent l="0" t="0" r="6350" b="8890"/>
            <wp:docPr id="4" name="Picture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IMG_2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F64F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instrText xml:space="preserve"> HYPERLINK "https://www.slidekit.com/cyber-security-roadmap-template-for-powerpoint-google-slides/" \t "_blank" </w:instrTex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slidekit.com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end"/>
      </w:r>
    </w:p>
    <w:p w14:paraId="1728A9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Cyber Security Roadmap Template for PowerPoint &amp; Google Slides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534"/>
        <w:gridCol w:w="1230"/>
        <w:gridCol w:w="1289"/>
        <w:gridCol w:w="1319"/>
      </w:tblGrid>
      <w:tr w14:paraId="21407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2442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631C50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Recommendation</w:t>
            </w:r>
          </w:p>
        </w:tc>
        <w:tc>
          <w:tcPr>
            <w:tcW w:w="0" w:type="auto"/>
            <w:shd w:val="clear"/>
            <w:vAlign w:val="center"/>
          </w:tcPr>
          <w:p w14:paraId="7E8680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NIST Ref</w:t>
            </w:r>
          </w:p>
        </w:tc>
        <w:tc>
          <w:tcPr>
            <w:tcW w:w="0" w:type="auto"/>
            <w:shd w:val="clear"/>
            <w:vAlign w:val="center"/>
          </w:tcPr>
          <w:p w14:paraId="4FED7D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Timeline</w:t>
            </w:r>
          </w:p>
        </w:tc>
        <w:tc>
          <w:tcPr>
            <w:tcW w:w="0" w:type="auto"/>
            <w:shd w:val="clear"/>
            <w:vAlign w:val="center"/>
          </w:tcPr>
          <w:p w14:paraId="72B2CA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Owner</w:t>
            </w:r>
          </w:p>
        </w:tc>
      </w:tr>
      <w:tr w14:paraId="436A1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83D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1901F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Document incident response plan</w:t>
            </w:r>
          </w:p>
        </w:tc>
        <w:tc>
          <w:tcPr>
            <w:tcW w:w="0" w:type="auto"/>
            <w:shd w:val="clear"/>
            <w:vAlign w:val="center"/>
          </w:tcPr>
          <w:p w14:paraId="3ABB0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RS.PL-01</w:t>
            </w:r>
          </w:p>
        </w:tc>
        <w:tc>
          <w:tcPr>
            <w:tcW w:w="0" w:type="auto"/>
            <w:shd w:val="clear"/>
            <w:vAlign w:val="center"/>
          </w:tcPr>
          <w:p w14:paraId="5EE2F8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0-3 months</w:t>
            </w:r>
          </w:p>
        </w:tc>
        <w:tc>
          <w:tcPr>
            <w:tcW w:w="0" w:type="auto"/>
            <w:shd w:val="clear"/>
            <w:vAlign w:val="center"/>
          </w:tcPr>
          <w:p w14:paraId="64CDC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CISO</w:t>
            </w:r>
          </w:p>
        </w:tc>
      </w:tr>
      <w:tr w14:paraId="34D8C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C231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0B04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Define roles/responsibilities</w:t>
            </w:r>
          </w:p>
        </w:tc>
        <w:tc>
          <w:tcPr>
            <w:tcW w:w="0" w:type="auto"/>
            <w:shd w:val="clear"/>
            <w:vAlign w:val="center"/>
          </w:tcPr>
          <w:p w14:paraId="21C10E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GV.RR-01</w:t>
            </w:r>
          </w:p>
        </w:tc>
        <w:tc>
          <w:tcPr>
            <w:tcW w:w="0" w:type="auto"/>
            <w:shd w:val="clear"/>
            <w:vAlign w:val="center"/>
          </w:tcPr>
          <w:p w14:paraId="54F7EB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0-3 months</w:t>
            </w:r>
          </w:p>
        </w:tc>
        <w:tc>
          <w:tcPr>
            <w:tcW w:w="0" w:type="auto"/>
            <w:shd w:val="clear"/>
            <w:vAlign w:val="center"/>
          </w:tcPr>
          <w:p w14:paraId="224A3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Leadership</w:t>
            </w:r>
          </w:p>
        </w:tc>
      </w:tr>
      <w:tr w14:paraId="6CC00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D47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04B045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(20+ detailed rows)</w:t>
            </w:r>
          </w:p>
        </w:tc>
        <w:tc>
          <w:tcPr>
            <w:tcW w:w="0" w:type="auto"/>
            <w:shd w:val="clear"/>
            <w:vAlign w:val="center"/>
          </w:tcPr>
          <w:p w14:paraId="1B553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7B937B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785A0E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...</w:t>
            </w:r>
          </w:p>
        </w:tc>
      </w:tr>
    </w:tbl>
    <w:p w14:paraId="625236F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Conclusion</w:t>
      </w:r>
    </w:p>
    <w:p w14:paraId="6AED84C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Solid foundation in assets and leadership, but operational gaps increase risk. Implement recommendations to reach Tier 3.</w:t>
      </w:r>
    </w:p>
    <w:p w14:paraId="066CDB8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Appendix A: Full Assessment Questions &amp; Responses</w:t>
      </w:r>
    </w:p>
    <w:p w14:paraId="52E52C6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(Table with all ~100 questions, responses, scores, comments – adds 8-10 pages.)</w:t>
      </w:r>
    </w:p>
    <w:p w14:paraId="0BFBB2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Appendix B: References</w:t>
      </w:r>
    </w:p>
    <w:p w14:paraId="7EC401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NIST CSF 2.0 (NIST CSWP 29)</w:t>
      </w:r>
    </w:p>
    <w:p w14:paraId="6C3CC8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Quick Start Guides, etc.</w:t>
      </w:r>
    </w:p>
    <w:p w14:paraId="5634D4C2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AA8547"/>
    <w:multiLevelType w:val="multilevel"/>
    <w:tmpl w:val="A5AA8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EB62DF"/>
    <w:multiLevelType w:val="multilevel"/>
    <w:tmpl w:val="ACEB62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46F5E7F"/>
    <w:multiLevelType w:val="multilevel"/>
    <w:tmpl w:val="E46F5E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AC5767D"/>
    <w:multiLevelType w:val="multilevel"/>
    <w:tmpl w:val="EAC576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10D25F2"/>
    <w:multiLevelType w:val="multilevel"/>
    <w:tmpl w:val="010D2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37732A5"/>
    <w:multiLevelType w:val="multilevel"/>
    <w:tmpl w:val="037732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87FB3AA"/>
    <w:multiLevelType w:val="multilevel"/>
    <w:tmpl w:val="187FB3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6C09B77"/>
    <w:multiLevelType w:val="multilevel"/>
    <w:tmpl w:val="56C09B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7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143CB8"/>
    <w:rsid w:val="4214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2026-02-13T12:02:00Z</dcterms:created>
  <dc:creator>omkar Talathi</dc:creator>
  <cp:lastModifiedBy>omkar Talathi</cp:lastModifiedBy>
  <dcterms:modified xsi:type="dcterms:W3CDTF">2026-02-13T12:03:57Z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AD80E7EDE82A4554A671D00ADEAAAAC2_11</vt:lpwstr>
  </property>
</Properties>
</file>