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007B7F"/>
          <w:sz w:val="28"/>
        </w:rPr>
        <w:t>━━━━━━━━━━━━━━━━━━━━━━━━━━━━━━━━━━━━━━━━━━━━━━━━━━</w:t>
      </w:r>
    </w:p>
    <w:p/>
    <w:p>
      <w:pPr>
        <w:jc w:val="center"/>
      </w:pPr>
      <w:r>
        <w:rPr>
          <w:rFonts w:ascii="Calibri" w:hAnsi="Calibri"/>
          <w:b/>
          <w:color w:val="002B5C"/>
          <w:sz w:val="64"/>
        </w:rPr>
        <w:t>NIST CYBERSECURITY FRAMEWORK 2.0</w:t>
      </w:r>
    </w:p>
    <w:p>
      <w:pPr>
        <w:jc w:val="center"/>
      </w:pPr>
      <w:r>
        <w:rPr>
          <w:rFonts w:ascii="Calibri" w:hAnsi="Calibri"/>
          <w:b/>
          <w:color w:val="007B7F"/>
          <w:sz w:val="36"/>
        </w:rPr>
        <w:t>COMPREHENSIVE AUDIT REPORT</w:t>
      </w:r>
    </w:p>
    <w:p>
      <w:pPr>
        <w:jc w:val="center"/>
      </w:pPr>
      <w:r>
        <w:rPr>
          <w:color w:val="007B7F"/>
          <w:sz w:val="28"/>
        </w:rPr>
        <w:t>━━━━━━━━━━━━━━━━━━━━━━━━━━━━━━━━━━━━━━━━━━━━━━━━━━</w:t>
      </w:r>
    </w:p>
    <w:p/>
    <w:p/>
    <w:p>
      <w:pPr>
        <w:jc w:val="center"/>
      </w:pPr>
      <w:r>
        <w:rPr>
          <w:rFonts w:ascii="Calibri" w:hAnsi="Calibri"/>
          <w:color w:val="1A3C6E"/>
          <w:sz w:val="44"/>
        </w:rPr>
        <w:t>Urbego Cybersecurity</w:t>
      </w:r>
    </w:p>
    <w:p/>
    <w:p>
      <w:pPr>
        <w:jc w:val="center"/>
      </w:pPr>
      <w:r>
        <w:rPr>
          <w:rFonts w:ascii="Calibri" w:hAnsi="Calibri"/>
          <w:color w:val="666666"/>
          <w:sz w:val="26"/>
        </w:rPr>
        <w:t>Assessment Date: February 24, 2026</w:t>
      </w:r>
    </w:p>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Field</w:t>
            </w:r>
          </w:p>
        </w:tc>
        <w:tc>
          <w:tcPr>
            <w:tcW w:type="dxa" w:w="4680"/>
            <w:shd w:fill="002B5C" w:val="clear"/>
          </w:tcPr>
          <w:p>
            <w:pPr>
              <w:jc w:val="center"/>
            </w:pPr>
            <w:r/>
            <w:r>
              <w:rPr>
                <w:rFonts w:ascii="Calibri" w:hAnsi="Calibri"/>
                <w:b/>
                <w:color w:val="FFFFFF"/>
                <w:sz w:val="20"/>
              </w:rPr>
              <w:t>Details</w:t>
            </w:r>
          </w:p>
        </w:tc>
      </w:tr>
      <w:tr>
        <w:tc>
          <w:tcPr>
            <w:tcW w:type="dxa" w:w="4680"/>
          </w:tcPr>
          <w:p>
            <w:r/>
            <w:r>
              <w:rPr>
                <w:rFonts w:ascii="Calibri" w:hAnsi="Calibri"/>
                <w:color w:val="333333"/>
                <w:sz w:val="20"/>
              </w:rPr>
              <w:t>Report ID</w:t>
            </w:r>
          </w:p>
        </w:tc>
        <w:tc>
          <w:tcPr>
            <w:tcW w:type="dxa" w:w="4680"/>
          </w:tcPr>
          <w:p>
            <w:r/>
            <w:r>
              <w:rPr>
                <w:rFonts w:ascii="Calibri" w:hAnsi="Calibri"/>
                <w:color w:val="333333"/>
                <w:sz w:val="20"/>
              </w:rPr>
              <w:t>NIST-CSF-2026-001</w:t>
            </w:r>
          </w:p>
        </w:tc>
      </w:tr>
      <w:tr>
        <w:tc>
          <w:tcPr>
            <w:tcW w:type="dxa" w:w="4680"/>
            <w:shd w:fill="F2F2F2" w:val="clear"/>
          </w:tcPr>
          <w:p>
            <w:r/>
            <w:r>
              <w:rPr>
                <w:rFonts w:ascii="Calibri" w:hAnsi="Calibri"/>
                <w:color w:val="333333"/>
                <w:sz w:val="20"/>
              </w:rPr>
              <w:t>Implementation Tier</w:t>
            </w:r>
          </w:p>
        </w:tc>
        <w:tc>
          <w:tcPr>
            <w:tcW w:type="dxa" w:w="4680"/>
            <w:shd w:fill="F2F2F2" w:val="clear"/>
          </w:tcPr>
          <w:p>
            <w:r/>
            <w:r>
              <w:rPr>
                <w:rFonts w:ascii="Calibri" w:hAnsi="Calibri"/>
                <w:color w:val="333333"/>
                <w:sz w:val="20"/>
              </w:rPr>
              <w:t>Tier 2 – Risk Informed</w:t>
            </w:r>
          </w:p>
        </w:tc>
      </w:tr>
      <w:tr>
        <w:tc>
          <w:tcPr>
            <w:tcW w:type="dxa" w:w="4680"/>
          </w:tcPr>
          <w:p>
            <w:r/>
            <w:r>
              <w:rPr>
                <w:rFonts w:ascii="Calibri" w:hAnsi="Calibri"/>
                <w:color w:val="333333"/>
                <w:sz w:val="20"/>
              </w:rPr>
              <w:t>Prepared By</w:t>
            </w:r>
          </w:p>
        </w:tc>
        <w:tc>
          <w:tcPr>
            <w:tcW w:type="dxa" w:w="4680"/>
          </w:tcPr>
          <w:p>
            <w:r/>
            <w:r>
              <w:rPr>
                <w:rFonts w:ascii="Calibri" w:hAnsi="Calibri"/>
                <w:color w:val="333333"/>
                <w:sz w:val="20"/>
              </w:rPr>
              <w:t>Internal Audit Team</w:t>
            </w:r>
          </w:p>
        </w:tc>
      </w:tr>
      <w:tr>
        <w:tc>
          <w:tcPr>
            <w:tcW w:type="dxa" w:w="4680"/>
            <w:shd w:fill="F2F2F2" w:val="clear"/>
          </w:tcPr>
          <w:p>
            <w:r/>
            <w:r>
              <w:rPr>
                <w:rFonts w:ascii="Calibri" w:hAnsi="Calibri"/>
                <w:color w:val="333333"/>
                <w:sz w:val="20"/>
              </w:rPr>
              <w:t>Approved By</w:t>
            </w:r>
          </w:p>
        </w:tc>
        <w:tc>
          <w:tcPr>
            <w:tcW w:type="dxa" w:w="4680"/>
            <w:shd w:fill="F2F2F2" w:val="clear"/>
          </w:tcPr>
          <w:p>
            <w:r/>
            <w:r>
              <w:rPr>
                <w:rFonts w:ascii="Calibri" w:hAnsi="Calibri"/>
                <w:color w:val="333333"/>
                <w:sz w:val="20"/>
              </w:rPr>
              <w:t>CISO</w:t>
            </w:r>
          </w:p>
        </w:tc>
      </w:tr>
    </w:tbl>
    <w:p/>
    <w:p/>
    <w:p>
      <w:pPr>
        <w:jc w:val="center"/>
      </w:pPr>
      <w:r>
        <w:rPr>
          <w:rFonts w:ascii="Calibri" w:hAnsi="Calibri"/>
          <w:b/>
          <w:color w:val="C0392B"/>
          <w:sz w:val="24"/>
        </w:rPr>
        <w:t>🔒  CONFIDENTIAL  🔒</w:t>
      </w:r>
    </w:p>
    <w:p>
      <w:r>
        <w:br w:type="page"/>
      </w:r>
    </w:p>
    <w:p>
      <w:pPr>
        <w:pStyle w:val="Heading1"/>
        <w:jc w:val="center"/>
      </w:pPr>
      <w:r>
        <w:rPr>
          <w:rFonts w:ascii="Calibri" w:hAnsi="Calibri"/>
          <w:b/>
          <w:color w:val="002B5C"/>
          <w:sz w:val="44"/>
        </w:rPr>
        <w:t>TABLE OF CONTENTS</w:t>
      </w:r>
    </w:p>
    <w:p>
      <w:pPr>
        <w:spacing w:before="40" w:after="160"/>
        <w:pBdr>
          <w:bottom w:val="single" w:sz="6" w:space="1" w:color="007B7F"/>
        </w:pBdr>
      </w:pPr>
    </w:p>
    <w:p>
      <w:pPr>
        <w:spacing w:after="40" w:before="120"/>
      </w:pPr>
      <w:r>
        <w:rPr>
          <w:rFonts w:ascii="Calibri" w:hAnsi="Calibri"/>
          <w:b/>
          <w:color w:val="007B7F"/>
          <w:sz w:val="26"/>
        </w:rPr>
        <w:t xml:space="preserve">1.  </w:t>
      </w:r>
      <w:r>
        <w:rPr>
          <w:rFonts w:ascii="Calibri" w:hAnsi="Calibri"/>
          <w:b/>
          <w:color w:val="002B5C"/>
          <w:sz w:val="26"/>
        </w:rPr>
        <w:t>INTRODUCTION</w:t>
      </w:r>
    </w:p>
    <w:p>
      <w:pPr>
        <w:spacing w:after="20" w:before="20"/>
        <w:ind w:left="720"/>
      </w:pPr>
      <w:r>
        <w:rPr>
          <w:rFonts w:ascii="Calibri" w:hAnsi="Calibri"/>
          <w:color w:val="333333"/>
          <w:sz w:val="22"/>
        </w:rPr>
        <w:t xml:space="preserve">  1.1  Purpose of the Audit</w:t>
      </w:r>
    </w:p>
    <w:p>
      <w:pPr>
        <w:spacing w:after="20" w:before="20"/>
        <w:ind w:left="720"/>
      </w:pPr>
      <w:r>
        <w:rPr>
          <w:rFonts w:ascii="Calibri" w:hAnsi="Calibri"/>
          <w:color w:val="333333"/>
          <w:sz w:val="22"/>
        </w:rPr>
        <w:t xml:space="preserve">  1.2  Scope of Assessment</w:t>
      </w:r>
    </w:p>
    <w:p>
      <w:pPr>
        <w:spacing w:after="20" w:before="20"/>
        <w:ind w:left="720"/>
      </w:pPr>
      <w:r>
        <w:rPr>
          <w:rFonts w:ascii="Calibri" w:hAnsi="Calibri"/>
          <w:color w:val="333333"/>
          <w:sz w:val="22"/>
        </w:rPr>
        <w:t xml:space="preserve">  1.3  Overview of NIST CSF 2.0</w:t>
      </w:r>
    </w:p>
    <w:p>
      <w:pPr>
        <w:spacing w:after="20" w:before="20"/>
        <w:ind w:left="720"/>
      </w:pPr>
      <w:r>
        <w:rPr>
          <w:rFonts w:ascii="Calibri" w:hAnsi="Calibri"/>
          <w:color w:val="333333"/>
          <w:sz w:val="22"/>
        </w:rPr>
        <w:t xml:space="preserve">  1.4  Regulatory &amp; Framework Alignment</w:t>
      </w:r>
    </w:p>
    <w:p>
      <w:pPr>
        <w:spacing w:after="20" w:before="20"/>
        <w:ind w:left="720"/>
      </w:pPr>
      <w:r>
        <w:rPr>
          <w:rFonts w:ascii="Calibri" w:hAnsi="Calibri"/>
          <w:color w:val="333333"/>
          <w:sz w:val="22"/>
        </w:rPr>
        <w:t xml:space="preserve">  1.5  Audit Methodology</w:t>
      </w:r>
    </w:p>
    <w:p>
      <w:pPr>
        <w:spacing w:after="20" w:before="20"/>
        <w:ind w:left="720"/>
      </w:pPr>
      <w:r>
        <w:rPr>
          <w:rFonts w:ascii="Calibri" w:hAnsi="Calibri"/>
          <w:color w:val="333333"/>
          <w:sz w:val="22"/>
        </w:rPr>
        <w:t xml:space="preserve">  1.6  Assumptions &amp; Limitations</w:t>
      </w:r>
    </w:p>
    <w:p>
      <w:pPr>
        <w:spacing w:after="40" w:before="120"/>
      </w:pPr>
      <w:r>
        <w:rPr>
          <w:rFonts w:ascii="Calibri" w:hAnsi="Calibri"/>
          <w:b/>
          <w:color w:val="007B7F"/>
          <w:sz w:val="26"/>
        </w:rPr>
        <w:t xml:space="preserve">2.  </w:t>
      </w:r>
      <w:r>
        <w:rPr>
          <w:rFonts w:ascii="Calibri" w:hAnsi="Calibri"/>
          <w:b/>
          <w:color w:val="002B5C"/>
          <w:sz w:val="26"/>
        </w:rPr>
        <w:t>RISK &amp; MATURITY METHODOLOGY</w:t>
      </w:r>
    </w:p>
    <w:p>
      <w:pPr>
        <w:spacing w:after="20" w:before="20"/>
        <w:ind w:left="720"/>
      </w:pPr>
      <w:r>
        <w:rPr>
          <w:rFonts w:ascii="Calibri" w:hAnsi="Calibri"/>
          <w:color w:val="333333"/>
          <w:sz w:val="22"/>
        </w:rPr>
        <w:t xml:space="preserve">  2.1  Risk Assessment Model</w:t>
      </w:r>
    </w:p>
    <w:p>
      <w:pPr>
        <w:spacing w:after="20" w:before="20"/>
        <w:ind w:left="720"/>
      </w:pPr>
      <w:r>
        <w:rPr>
          <w:rFonts w:ascii="Calibri" w:hAnsi="Calibri"/>
          <w:color w:val="333333"/>
          <w:sz w:val="22"/>
        </w:rPr>
        <w:t xml:space="preserve">  2.2  Definitions</w:t>
      </w:r>
    </w:p>
    <w:p>
      <w:pPr>
        <w:spacing w:after="20" w:before="20"/>
        <w:ind w:left="720"/>
      </w:pPr>
      <w:r>
        <w:rPr>
          <w:rFonts w:ascii="Calibri" w:hAnsi="Calibri"/>
          <w:color w:val="333333"/>
          <w:sz w:val="22"/>
        </w:rPr>
        <w:t xml:space="preserve">  2.3  Asset Criticality Method</w:t>
      </w:r>
    </w:p>
    <w:p>
      <w:pPr>
        <w:spacing w:after="20" w:before="20"/>
        <w:ind w:left="720"/>
      </w:pPr>
      <w:r>
        <w:rPr>
          <w:rFonts w:ascii="Calibri" w:hAnsi="Calibri"/>
          <w:color w:val="333333"/>
          <w:sz w:val="22"/>
        </w:rPr>
        <w:t xml:space="preserve">  2.4  Likelihood &amp; Impact Criteria</w:t>
      </w:r>
    </w:p>
    <w:p>
      <w:pPr>
        <w:spacing w:after="20" w:before="20"/>
        <w:ind w:left="720"/>
      </w:pPr>
      <w:r>
        <w:rPr>
          <w:rFonts w:ascii="Calibri" w:hAnsi="Calibri"/>
          <w:color w:val="333333"/>
          <w:sz w:val="22"/>
        </w:rPr>
        <w:t xml:space="preserve">  2.5  Risk Rating &amp; Heat Map</w:t>
      </w:r>
    </w:p>
    <w:p>
      <w:pPr>
        <w:spacing w:after="20" w:before="20"/>
        <w:ind w:left="720"/>
      </w:pPr>
      <w:r>
        <w:rPr>
          <w:rFonts w:ascii="Calibri" w:hAnsi="Calibri"/>
          <w:color w:val="333333"/>
          <w:sz w:val="22"/>
        </w:rPr>
        <w:t xml:space="preserve">  2.6  Implementation Tier Evaluation</w:t>
      </w:r>
    </w:p>
    <w:p>
      <w:pPr>
        <w:spacing w:after="20" w:before="20"/>
        <w:ind w:left="720"/>
      </w:pPr>
      <w:r>
        <w:rPr>
          <w:rFonts w:ascii="Calibri" w:hAnsi="Calibri"/>
          <w:color w:val="333333"/>
          <w:sz w:val="22"/>
        </w:rPr>
        <w:t xml:space="preserve">  2.7  Maturity Scoring Model</w:t>
      </w:r>
    </w:p>
    <w:p>
      <w:pPr>
        <w:spacing w:after="40" w:before="120"/>
      </w:pPr>
      <w:r>
        <w:rPr>
          <w:rFonts w:ascii="Calibri" w:hAnsi="Calibri"/>
          <w:b/>
          <w:color w:val="007B7F"/>
          <w:sz w:val="26"/>
        </w:rPr>
        <w:t xml:space="preserve">3.  </w:t>
      </w:r>
      <w:r>
        <w:rPr>
          <w:rFonts w:ascii="Calibri" w:hAnsi="Calibri"/>
          <w:b/>
          <w:color w:val="002B5C"/>
          <w:sz w:val="26"/>
        </w:rPr>
        <w:t>EXECUTIVE SUMMARY</w:t>
      </w:r>
    </w:p>
    <w:p>
      <w:pPr>
        <w:spacing w:after="20" w:before="20"/>
        <w:ind w:left="720"/>
      </w:pPr>
      <w:r>
        <w:rPr>
          <w:rFonts w:ascii="Calibri" w:hAnsi="Calibri"/>
          <w:color w:val="333333"/>
          <w:sz w:val="22"/>
        </w:rPr>
        <w:t xml:space="preserve">  3.1  Overall Cybersecurity Posture</w:t>
      </w:r>
    </w:p>
    <w:p>
      <w:pPr>
        <w:spacing w:after="20" w:before="20"/>
        <w:ind w:left="720"/>
      </w:pPr>
      <w:r>
        <w:rPr>
          <w:rFonts w:ascii="Calibri" w:hAnsi="Calibri"/>
          <w:color w:val="333333"/>
          <w:sz w:val="22"/>
        </w:rPr>
        <w:t xml:space="preserve">  3.2  Current vs Target Profile Overview</w:t>
      </w:r>
    </w:p>
    <w:p>
      <w:pPr>
        <w:spacing w:after="20" w:before="20"/>
        <w:ind w:left="720"/>
      </w:pPr>
      <w:r>
        <w:rPr>
          <w:rFonts w:ascii="Calibri" w:hAnsi="Calibri"/>
          <w:color w:val="333333"/>
          <w:sz w:val="22"/>
        </w:rPr>
        <w:t xml:space="preserve">  3.3  Implementation Tier Justification</w:t>
      </w:r>
    </w:p>
    <w:p>
      <w:pPr>
        <w:spacing w:after="20" w:before="20"/>
        <w:ind w:left="720"/>
      </w:pPr>
      <w:r>
        <w:rPr>
          <w:rFonts w:ascii="Calibri" w:hAnsi="Calibri"/>
          <w:color w:val="333333"/>
          <w:sz w:val="22"/>
        </w:rPr>
        <w:t xml:space="preserve">  3.4  Overall Risk &amp; Maturity Rating</w:t>
      </w:r>
    </w:p>
    <w:p>
      <w:pPr>
        <w:spacing w:after="20" w:before="20"/>
        <w:ind w:left="720"/>
      </w:pPr>
      <w:r>
        <w:rPr>
          <w:rFonts w:ascii="Calibri" w:hAnsi="Calibri"/>
          <w:color w:val="333333"/>
          <w:sz w:val="22"/>
        </w:rPr>
        <w:t xml:space="preserve">  3.5  Key Strengths</w:t>
      </w:r>
    </w:p>
    <w:p>
      <w:pPr>
        <w:spacing w:after="20" w:before="20"/>
        <w:ind w:left="720"/>
      </w:pPr>
      <w:r>
        <w:rPr>
          <w:rFonts w:ascii="Calibri" w:hAnsi="Calibri"/>
          <w:color w:val="333333"/>
          <w:sz w:val="22"/>
        </w:rPr>
        <w:t xml:space="preserve">  3.6  High-Risk Findings &amp; Key Recommendations</w:t>
      </w:r>
    </w:p>
    <w:p>
      <w:pPr>
        <w:spacing w:after="20" w:before="20"/>
        <w:ind w:left="720"/>
      </w:pPr>
      <w:r>
        <w:rPr>
          <w:rFonts w:ascii="Calibri" w:hAnsi="Calibri"/>
          <w:color w:val="333333"/>
          <w:sz w:val="22"/>
        </w:rPr>
        <w:t xml:space="preserve">  3.7  Strategic Roadmap Overview</w:t>
      </w:r>
    </w:p>
    <w:p>
      <w:pPr>
        <w:spacing w:after="40" w:before="120"/>
      </w:pPr>
      <w:r>
        <w:rPr>
          <w:rFonts w:ascii="Calibri" w:hAnsi="Calibri"/>
          <w:b/>
          <w:color w:val="007B7F"/>
          <w:sz w:val="26"/>
        </w:rPr>
        <w:t xml:space="preserve">4.  </w:t>
      </w:r>
      <w:r>
        <w:rPr>
          <w:rFonts w:ascii="Calibri" w:hAnsi="Calibri"/>
          <w:b/>
          <w:color w:val="002B5C"/>
          <w:sz w:val="26"/>
        </w:rPr>
        <w:t>CSF FUNCTION ASSESSMENTS</w:t>
      </w:r>
    </w:p>
    <w:p>
      <w:pPr>
        <w:spacing w:after="20" w:before="20"/>
        <w:ind w:left="720"/>
      </w:pPr>
      <w:r>
        <w:rPr>
          <w:rFonts w:ascii="Calibri" w:hAnsi="Calibri"/>
          <w:color w:val="333333"/>
          <w:sz w:val="22"/>
        </w:rPr>
        <w:t xml:space="preserve">  4.1  GOVERN (GV)</w:t>
      </w:r>
    </w:p>
    <w:p>
      <w:pPr>
        <w:spacing w:after="20" w:before="20"/>
        <w:ind w:left="720"/>
      </w:pPr>
      <w:r>
        <w:rPr>
          <w:rFonts w:ascii="Calibri" w:hAnsi="Calibri"/>
          <w:color w:val="333333"/>
          <w:sz w:val="22"/>
        </w:rPr>
        <w:t xml:space="preserve">  4.2  IDENTIFY (ID)</w:t>
      </w:r>
    </w:p>
    <w:p>
      <w:pPr>
        <w:spacing w:after="20" w:before="20"/>
        <w:ind w:left="720"/>
      </w:pPr>
      <w:r>
        <w:rPr>
          <w:rFonts w:ascii="Calibri" w:hAnsi="Calibri"/>
          <w:color w:val="333333"/>
          <w:sz w:val="22"/>
        </w:rPr>
        <w:t xml:space="preserve">  4.3  PROTECT (PR)</w:t>
      </w:r>
    </w:p>
    <w:p>
      <w:pPr>
        <w:spacing w:after="20" w:before="20"/>
        <w:ind w:left="720"/>
      </w:pPr>
      <w:r>
        <w:rPr>
          <w:rFonts w:ascii="Calibri" w:hAnsi="Calibri"/>
          <w:color w:val="333333"/>
          <w:sz w:val="22"/>
        </w:rPr>
        <w:t xml:space="preserve">  4.4  DETECT (DE)</w:t>
      </w:r>
    </w:p>
    <w:p>
      <w:pPr>
        <w:spacing w:after="20" w:before="20"/>
        <w:ind w:left="720"/>
      </w:pPr>
      <w:r>
        <w:rPr>
          <w:rFonts w:ascii="Calibri" w:hAnsi="Calibri"/>
          <w:color w:val="333333"/>
          <w:sz w:val="22"/>
        </w:rPr>
        <w:t xml:space="preserve">  4.5  RESPOND (RS)</w:t>
      </w:r>
    </w:p>
    <w:p>
      <w:pPr>
        <w:spacing w:after="20" w:before="20"/>
        <w:ind w:left="720"/>
      </w:pPr>
      <w:r>
        <w:rPr>
          <w:rFonts w:ascii="Calibri" w:hAnsi="Calibri"/>
          <w:color w:val="333333"/>
          <w:sz w:val="22"/>
        </w:rPr>
        <w:t xml:space="preserve">  4.6  RECOVER (RC)</w:t>
      </w:r>
    </w:p>
    <w:p>
      <w:pPr>
        <w:spacing w:after="40" w:before="120"/>
      </w:pPr>
      <w:r>
        <w:rPr>
          <w:rFonts w:ascii="Calibri" w:hAnsi="Calibri"/>
          <w:b/>
          <w:color w:val="007B7F"/>
          <w:sz w:val="26"/>
        </w:rPr>
        <w:t xml:space="preserve">5.  </w:t>
      </w:r>
      <w:r>
        <w:rPr>
          <w:rFonts w:ascii="Calibri" w:hAnsi="Calibri"/>
          <w:b/>
          <w:color w:val="002B5C"/>
          <w:sz w:val="26"/>
        </w:rPr>
        <w:t>CONCLUSION</w:t>
      </w:r>
    </w:p>
    <w:p>
      <w:pPr>
        <w:spacing w:after="20" w:before="20"/>
        <w:ind w:left="720"/>
      </w:pPr>
      <w:r>
        <w:rPr>
          <w:rFonts w:ascii="Calibri" w:hAnsi="Calibri"/>
          <w:color w:val="333333"/>
          <w:sz w:val="22"/>
        </w:rPr>
        <w:t xml:space="preserve">  5.1  Overall Assessment Statement</w:t>
      </w:r>
    </w:p>
    <w:p>
      <w:pPr>
        <w:spacing w:after="20" w:before="20"/>
        <w:ind w:left="720"/>
      </w:pPr>
      <w:r>
        <w:rPr>
          <w:rFonts w:ascii="Calibri" w:hAnsi="Calibri"/>
          <w:color w:val="333333"/>
          <w:sz w:val="22"/>
        </w:rPr>
        <w:t xml:space="preserve">  5.2  Implementation Tier Determination</w:t>
      </w:r>
    </w:p>
    <w:p>
      <w:pPr>
        <w:spacing w:after="20" w:before="20"/>
        <w:ind w:left="720"/>
      </w:pPr>
      <w:r>
        <w:rPr>
          <w:rFonts w:ascii="Calibri" w:hAnsi="Calibri"/>
          <w:color w:val="333333"/>
          <w:sz w:val="22"/>
        </w:rPr>
        <w:t xml:space="preserve">  5.3  Continuous Monitoring &amp; Annual Review Plan</w:t>
      </w:r>
    </w:p>
    <w:p>
      <w:pPr>
        <w:spacing w:after="40" w:before="120"/>
      </w:pPr>
      <w:r>
        <w:rPr>
          <w:rFonts w:ascii="Calibri" w:hAnsi="Calibri"/>
          <w:b/>
          <w:color w:val="007B7F"/>
          <w:sz w:val="26"/>
        </w:rPr>
        <w:t xml:space="preserve">6.  </w:t>
      </w:r>
      <w:r>
        <w:rPr>
          <w:rFonts w:ascii="Calibri" w:hAnsi="Calibri"/>
          <w:b/>
          <w:color w:val="002B5C"/>
          <w:sz w:val="26"/>
        </w:rPr>
        <w:t>REFERENCES</w:t>
      </w:r>
    </w:p>
    <w:p>
      <w:pPr>
        <w:spacing w:after="40" w:before="120"/>
      </w:pPr>
      <w:r>
        <w:rPr>
          <w:rFonts w:ascii="Calibri" w:hAnsi="Calibri"/>
          <w:b/>
          <w:color w:val="007B7F"/>
          <w:sz w:val="26"/>
        </w:rPr>
        <w:t xml:space="preserve">7.  </w:t>
      </w:r>
      <w:r>
        <w:rPr>
          <w:rFonts w:ascii="Calibri" w:hAnsi="Calibri"/>
          <w:b/>
          <w:color w:val="002B5C"/>
          <w:sz w:val="26"/>
        </w:rPr>
        <w:t>APPENDICES</w:t>
      </w:r>
    </w:p>
    <w:p>
      <w:pPr>
        <w:spacing w:after="20" w:before="20"/>
        <w:ind w:left="720"/>
      </w:pPr>
      <w:r>
        <w:rPr>
          <w:rFonts w:ascii="Calibri" w:hAnsi="Calibri"/>
          <w:color w:val="333333"/>
          <w:sz w:val="22"/>
        </w:rPr>
        <w:t xml:space="preserve">  7.1  Detailed Technical Assessment Reports</w:t>
      </w:r>
    </w:p>
    <w:p>
      <w:pPr>
        <w:spacing w:after="20" w:before="20"/>
        <w:ind w:left="720"/>
      </w:pPr>
      <w:r>
        <w:rPr>
          <w:rFonts w:ascii="Calibri" w:hAnsi="Calibri"/>
          <w:color w:val="333333"/>
          <w:sz w:val="22"/>
        </w:rPr>
        <w:t xml:space="preserve">  7.2  Glossary of Terms &amp; Definitions</w:t>
      </w:r>
    </w:p>
    <w:p>
      <w:pPr>
        <w:spacing w:after="20" w:before="20"/>
        <w:ind w:left="720"/>
      </w:pPr>
      <w:r>
        <w:rPr>
          <w:rFonts w:ascii="Calibri" w:hAnsi="Calibri"/>
          <w:color w:val="333333"/>
          <w:sz w:val="22"/>
        </w:rPr>
        <w:t xml:space="preserve">  7.3  Current vs Target Profile Mapping Table</w:t>
      </w:r>
    </w:p>
    <w:p>
      <w:r>
        <w:br w:type="page"/>
      </w:r>
    </w:p>
    <w:p>
      <w:pPr>
        <w:pStyle w:val="Heading1"/>
      </w:pPr>
      <w:r>
        <w:rPr>
          <w:rFonts w:ascii="Calibri" w:hAnsi="Calibri"/>
          <w:b/>
          <w:color w:val="002B5C"/>
          <w:sz w:val="44"/>
        </w:rPr>
        <w:t>1. INTRODUCTION</w:t>
      </w:r>
    </w:p>
    <w:p>
      <w:pPr>
        <w:spacing w:before="40" w:after="160"/>
        <w:pBdr>
          <w:bottom w:val="single" w:sz="6" w:space="1" w:color="007B7F"/>
        </w:pBdr>
      </w:pPr>
    </w:p>
    <w:p>
      <w:pPr>
        <w:pStyle w:val="Heading2"/>
      </w:pPr>
      <w:r>
        <w:rPr>
          <w:rFonts w:ascii="Calibri" w:hAnsi="Calibri"/>
          <w:b/>
          <w:color w:val="1A3C6E"/>
          <w:sz w:val="32"/>
        </w:rPr>
        <w:t>1.1  Purpose of the Audit</w:t>
      </w:r>
    </w:p>
    <w:p>
      <w:pPr>
        <w:spacing w:before="40" w:after="160"/>
        <w:pBdr>
          <w:bottom w:val="single" w:sz="6" w:space="1" w:color="007B7F"/>
        </w:pBdr>
      </w:pPr>
    </w:p>
    <w:p>
      <w:pPr>
        <w:spacing w:after="120" w:before="0"/>
      </w:pPr>
      <w:r>
        <w:rPr>
          <w:rFonts w:ascii="Calibri" w:hAnsi="Calibri" w:eastAsia="Calibri"/>
          <w:b w:val="0"/>
          <w:i w:val="0"/>
          <w:color w:val="333333"/>
          <w:sz w:val="22"/>
        </w:rPr>
        <w:t>This comprehensive assessment evaluates Urbego Cybersecurity's cybersecurity posture against NIST CSF 2.0 to determine current maturity levels, identify control gaps, assess risk exposure, and define strategic improvement initiatives. The audit aims to establish a baseline for measuring progress toward target cybersecurity objectives.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1.2  Scope of Assessment</w:t>
      </w:r>
    </w:p>
    <w:p>
      <w:pPr>
        <w:spacing w:before="40" w:after="160"/>
        <w:pBdr>
          <w:bottom w:val="single" w:sz="6" w:space="1" w:color="007B7F"/>
        </w:pBdr>
      </w:pPr>
    </w:p>
    <w:p>
      <w:pPr>
        <w:spacing w:after="120" w:before="0"/>
      </w:pPr>
      <w:r>
        <w:rPr>
          <w:rFonts w:ascii="Calibri" w:hAnsi="Calibri" w:eastAsia="Calibri"/>
          <w:b w:val="0"/>
          <w:i w:val="0"/>
          <w:color w:val="333333"/>
          <w:sz w:val="22"/>
        </w:rPr>
        <w:t>The assessment encompasses all six NIST CSF 2.0 core functions: Govern (GV), Identify (ID), Protect (PR), Detect (DE), Respond (RS), and Recover (RC). A total of 89 applicable control questions were evaluated across these functions, covering governance frameworks, asset management, technical controls, monitoring capabilities, incident response, and recovery procedures.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1.3  Overview of NIST CSF 2.0</w:t>
      </w:r>
    </w:p>
    <w:p>
      <w:pPr>
        <w:spacing w:before="40" w:after="160"/>
        <w:pBdr>
          <w:bottom w:val="single" w:sz="6" w:space="1" w:color="007B7F"/>
        </w:pBdr>
      </w:pPr>
    </w:p>
    <w:p>
      <w:pPr>
        <w:spacing w:after="120" w:before="0"/>
      </w:pPr>
      <w:r>
        <w:rPr>
          <w:rFonts w:ascii="Calibri" w:hAnsi="Calibri" w:eastAsia="Calibri"/>
          <w:b w:val="0"/>
          <w:i w:val="0"/>
          <w:color w:val="333333"/>
          <w:sz w:val="22"/>
        </w:rPr>
        <w:t>NIST Cybersecurity Framework 2.0 provides a risk-based approach to managing cybersecurity risk through six core functions: Govern, Identify, Protect, Detect, Respond, and Recover. The framework emphasizes governance integration, supply chain risk management, and continuous improvement. It enables organizations to assess current capabilities, define target states, and prioritize investments based on risk tolerance and business requirements.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1.4  Regulatory &amp; Framework Alignment</w:t>
      </w:r>
    </w:p>
    <w:p>
      <w:pPr>
        <w:spacing w:before="40" w:after="160"/>
        <w:pBdr>
          <w:bottom w:val="single" w:sz="6" w:space="1" w:color="007B7F"/>
        </w:pBdr>
      </w:pPr>
    </w:p>
    <w:p>
      <w:pPr>
        <w:spacing w:after="120" w:before="0"/>
      </w:pPr>
      <w:r>
        <w:rPr>
          <w:rFonts w:ascii="Calibri" w:hAnsi="Calibri" w:eastAsia="Calibri"/>
          <w:b w:val="0"/>
          <w:i w:val="0"/>
          <w:color w:val="333333"/>
          <w:sz w:val="22"/>
        </w:rPr>
        <w:t>This assessment aligns with NIST CSF 2.0 core guidance and references NIST SP 800-30 (Risk Assessment) and NIST SP 800-53 (Security Controls) for control mapping. Additionally, the assessment considers alignment requirements for relevant industry regulations including GDPR data protection requirements and standard cybersecurity best practices.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1.5  Audit Methodology</w:t>
      </w:r>
    </w:p>
    <w:p>
      <w:pPr>
        <w:spacing w:before="40" w:after="160"/>
        <w:pBdr>
          <w:bottom w:val="single" w:sz="6" w:space="1" w:color="007B7F"/>
        </w:pBdr>
      </w:pPr>
    </w:p>
    <w:p>
      <w:pPr>
        <w:pStyle w:val="Heading3"/>
      </w:pPr>
      <w:r>
        <w:rPr>
          <w:rFonts w:ascii="Calibri" w:hAnsi="Calibri"/>
          <w:b/>
          <w:color w:val="007B7F"/>
          <w:sz w:val="26"/>
        </w:rPr>
        <w:t>1.5.1  Assessment Approach</w:t>
      </w:r>
    </w:p>
    <w:p>
      <w:pPr>
        <w:spacing w:after="120" w:before="0"/>
      </w:pPr>
      <w:r>
        <w:rPr>
          <w:rFonts w:ascii="Calibri" w:hAnsi="Calibri" w:eastAsia="Calibri"/>
          <w:b w:val="0"/>
          <w:i w:val="0"/>
          <w:color w:val="333333"/>
          <w:sz w:val="22"/>
        </w:rPr>
        <w:t>The assessment utilized a qualitative maturity-based analysis methodology. Each control question was evaluated against a five-point implementation scale: Not in Place (0%), Partially Implemented (25%), Mostly Implemented (50%), Fully Implemented and Evolving (75%), and Not Applicable (excluded). Domain scores were calculated as percentages of maximum achievable points, with overall maturity determined through weighted aggregation.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1.5.2  Evidence Reviewed</w:t>
      </w:r>
    </w:p>
    <w:p>
      <w:pPr>
        <w:spacing w:after="120" w:before="0"/>
      </w:pPr>
      <w:r>
        <w:rPr>
          <w:rFonts w:ascii="Calibri" w:hAnsi="Calibri" w:eastAsia="Calibri"/>
          <w:b w:val="0"/>
          <w:i w:val="0"/>
          <w:color w:val="333333"/>
          <w:sz w:val="22"/>
        </w:rPr>
        <w:t>Evidence sources included structured internal assessment questionnaire responses from 89 applicable control questions across six domains, complemented by interviews with key stakeholders and review of existing documentation where available. Responses were validated against the NIST CSF 2.0 implementation guidance.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1.6  Assumptions &amp; Limitations</w:t>
      </w:r>
    </w:p>
    <w:p>
      <w:pPr>
        <w:spacing w:before="40" w:after="160"/>
        <w:pBdr>
          <w:bottom w:val="single" w:sz="6" w:space="1" w:color="007B7F"/>
        </w:pBdr>
      </w:pPr>
    </w:p>
    <w:p>
      <w:pPr>
        <w:spacing w:after="120" w:before="0"/>
      </w:pPr>
      <w:r>
        <w:rPr>
          <w:rFonts w:ascii="Calibri" w:hAnsi="Calibri" w:eastAsia="Calibri"/>
          <w:b w:val="0"/>
          <w:i w:val="0"/>
          <w:color w:val="333333"/>
          <w:sz w:val="22"/>
        </w:rPr>
        <w:t>Not specified</w:t>
      </w:r>
    </w:p>
    <w:p>
      <w:r>
        <w:br w:type="page"/>
      </w:r>
    </w:p>
    <w:p>
      <w:pPr>
        <w:pStyle w:val="Heading1"/>
      </w:pPr>
      <w:r>
        <w:rPr>
          <w:rFonts w:ascii="Calibri" w:hAnsi="Calibri"/>
          <w:b/>
          <w:color w:val="002B5C"/>
          <w:sz w:val="44"/>
        </w:rPr>
        <w:t>2. RISK &amp; MATURITY METHODOLOGY</w:t>
      </w:r>
    </w:p>
    <w:p>
      <w:pPr>
        <w:spacing w:before="40" w:after="160"/>
        <w:pBdr>
          <w:bottom w:val="single" w:sz="6" w:space="1" w:color="007B7F"/>
        </w:pBdr>
      </w:pPr>
    </w:p>
    <w:p>
      <w:pPr>
        <w:pStyle w:val="Heading2"/>
      </w:pPr>
      <w:r>
        <w:rPr>
          <w:rFonts w:ascii="Calibri" w:hAnsi="Calibri"/>
          <w:b/>
          <w:color w:val="1A3C6E"/>
          <w:sz w:val="32"/>
        </w:rPr>
        <w:t>2.1  Risk Assessment Model</w:t>
      </w:r>
    </w:p>
    <w:p>
      <w:pPr>
        <w:spacing w:before="40" w:after="160"/>
        <w:pBdr>
          <w:bottom w:val="single" w:sz="6" w:space="1" w:color="007B7F"/>
        </w:pBdr>
      </w:pPr>
    </w:p>
    <w:p>
      <w:pPr>
        <w:spacing w:after="120" w:before="0"/>
      </w:pPr>
      <w:r>
        <w:rPr>
          <w:rFonts w:ascii="Calibri" w:hAnsi="Calibri" w:eastAsia="Calibri"/>
          <w:b w:val="0"/>
          <w:i w:val="0"/>
          <w:color w:val="333333"/>
          <w:sz w:val="22"/>
        </w:rPr>
        <w:t>Risk was evaluated using a combined likelihood and impact methodology derived from control implementation gaps and governance weaknesses. Each control deficiency was assessed for potential business impact, with residual risk exposure calculated based on the absence of compensating controls. Risk ratings were assigned as Critical, High, Moderate, or Low based on severity scoring matrices.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2.2  Definitions</w:t>
      </w:r>
    </w:p>
    <w:p>
      <w:pPr>
        <w:spacing w:before="40" w:after="160"/>
        <w:pBdr>
          <w:bottom w:val="single" w:sz="6" w:space="1" w:color="007B7F"/>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Term</w:t>
            </w:r>
          </w:p>
        </w:tc>
        <w:tc>
          <w:tcPr>
            <w:tcW w:type="dxa" w:w="4680"/>
            <w:shd w:fill="002B5C" w:val="clear"/>
          </w:tcPr>
          <w:p>
            <w:pPr>
              <w:jc w:val="center"/>
            </w:pPr>
            <w:r/>
            <w:r>
              <w:rPr>
                <w:rFonts w:ascii="Calibri" w:hAnsi="Calibri"/>
                <w:b/>
                <w:color w:val="FFFFFF"/>
                <w:sz w:val="20"/>
              </w:rPr>
              <w:t>Definition</w:t>
            </w:r>
          </w:p>
        </w:tc>
      </w:tr>
      <w:tr>
        <w:tc>
          <w:tcPr>
            <w:tcW w:type="dxa" w:w="4680"/>
          </w:tcPr>
          <w:p>
            <w:r/>
            <w:r>
              <w:rPr>
                <w:rFonts w:ascii="Calibri" w:hAnsi="Calibri"/>
                <w:color w:val="333333"/>
                <w:sz w:val="20"/>
              </w:rPr>
              <w:t>THREAT</w:t>
            </w:r>
          </w:p>
        </w:tc>
        <w:tc>
          <w:tcPr>
            <w:tcW w:type="dxa" w:w="4680"/>
          </w:tcPr>
          <w:p>
            <w:r/>
            <w:r>
              <w:rPr>
                <w:rFonts w:ascii="Calibri" w:hAnsi="Calibri"/>
                <w:color w:val="333333"/>
                <w:sz w:val="20"/>
              </w:rPr>
              <w:t>Any circumstance or event with the potential to adversely impact organizational operations, assets, individuals, or the enterprise through unauthorized access, destruction, disclosure, or modification of information.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tc>
      </w:tr>
      <w:tr>
        <w:tc>
          <w:tcPr>
            <w:tcW w:type="dxa" w:w="4680"/>
            <w:shd w:fill="F2F2F2" w:val="clear"/>
          </w:tcPr>
          <w:p>
            <w:r/>
            <w:r>
              <w:rPr>
                <w:rFonts w:ascii="Calibri" w:hAnsi="Calibri"/>
                <w:color w:val="333333"/>
                <w:sz w:val="20"/>
              </w:rPr>
              <w:t>VULNERABILITY</w:t>
            </w:r>
          </w:p>
        </w:tc>
        <w:tc>
          <w:tcPr>
            <w:tcW w:type="dxa" w:w="4680"/>
            <w:shd w:fill="F2F2F2" w:val="clear"/>
          </w:tcPr>
          <w:p>
            <w:r/>
            <w:r>
              <w:rPr>
                <w:rFonts w:ascii="Calibri" w:hAnsi="Calibri"/>
                <w:color w:val="333333"/>
                <w:sz w:val="20"/>
              </w:rPr>
              <w:t>A weakness in system security procedures, design, implementation, or internal controls that could be exercised by a threat source to cause harm or compromise system integrity.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tc>
      </w:tr>
      <w:tr>
        <w:tc>
          <w:tcPr>
            <w:tcW w:type="dxa" w:w="4680"/>
          </w:tcPr>
          <w:p>
            <w:r/>
            <w:r>
              <w:rPr>
                <w:rFonts w:ascii="Calibri" w:hAnsi="Calibri"/>
                <w:color w:val="333333"/>
                <w:sz w:val="20"/>
              </w:rPr>
              <w:t>RISK</w:t>
            </w:r>
          </w:p>
        </w:tc>
        <w:tc>
          <w:tcPr>
            <w:tcW w:type="dxa" w:w="4680"/>
          </w:tcPr>
          <w:p>
            <w:r/>
            <w:r>
              <w:rPr>
                <w:rFonts w:ascii="Calibri" w:hAnsi="Calibri"/>
                <w:color w:val="333333"/>
                <w:sz w:val="20"/>
              </w:rPr>
              <w:t>The combination of the likelihood that a threat will exploit a vulnerability and the resulting impact on organizational operations, assets, or individuals. Risk is measured in terms of potential consequences and probability of occurrence.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tc>
      </w:tr>
    </w:tbl>
    <w:p/>
    <w:p>
      <w:pPr>
        <w:pStyle w:val="Heading2"/>
      </w:pPr>
      <w:r>
        <w:rPr>
          <w:rFonts w:ascii="Calibri" w:hAnsi="Calibri"/>
          <w:b/>
          <w:color w:val="1A3C6E"/>
          <w:sz w:val="32"/>
        </w:rPr>
        <w:t>2.3  Asset Criticality Method</w:t>
      </w:r>
    </w:p>
    <w:p>
      <w:pPr>
        <w:spacing w:before="40" w:after="160"/>
        <w:pBdr>
          <w:bottom w:val="single" w:sz="6" w:space="1" w:color="007B7F"/>
        </w:pBdr>
      </w:pPr>
    </w:p>
    <w:p>
      <w:pPr>
        <w:spacing w:after="120" w:before="0"/>
      </w:pPr>
      <w:r>
        <w:rPr>
          <w:rFonts w:ascii="Calibri" w:hAnsi="Calibri" w:eastAsia="Calibri"/>
          <w:b w:val="0"/>
          <w:i w:val="0"/>
          <w:color w:val="333333"/>
          <w:sz w:val="22"/>
        </w:rPr>
        <w:t>Assets are prioritized based on a three-factor scoring model: (1) operational dependency (impact on business continuity if asset is unavailable), (2) data sensitivity (confidentiality and integrity requirements), and (3) regulatory exposure (compliance requirements associated with the asset). Critical assets receive priority in risk treatment and resource allocation.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2.4  Likelihood &amp; Impact Criteria</w:t>
      </w:r>
    </w:p>
    <w:p>
      <w:pPr>
        <w:spacing w:before="40" w:after="160"/>
        <w:pBdr>
          <w:bottom w:val="single" w:sz="6" w:space="1" w:color="007B7F"/>
        </w:pBdr>
      </w:pPr>
    </w:p>
    <w:p>
      <w:pPr>
        <w:spacing w:after="120" w:before="0"/>
      </w:pPr>
      <w:r>
        <w:rPr>
          <w:rFonts w:ascii="Calibri" w:hAnsi="Calibri" w:eastAsia="Calibri"/>
          <w:b w:val="0"/>
          <w:i w:val="0"/>
          <w:color w:val="333333"/>
          <w:sz w:val="22"/>
        </w:rPr>
        <w:t>Likelihood ratings: High (controls absent or ineffective, threat actors actively targeting), Medium (partial controls present, generic threats), Low (strong controls, limited exposure). Impact ratings: High (severe operational disruption, regulatory penalties, reputational damage), Medium (moderate service degradation, limited data exposure), Low (minor inconvenience, no external impact).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2.5  Risk Rating &amp; Heat Map</w:t>
      </w:r>
    </w:p>
    <w:p>
      <w:pPr>
        <w:spacing w:before="40" w:after="160"/>
        <w:pBdr>
          <w:bottom w:val="single" w:sz="6" w:space="1" w:color="007B7F"/>
        </w:pBdr>
      </w:pPr>
    </w:p>
    <w:p>
      <w:pPr>
        <w:spacing w:after="120" w:before="0"/>
      </w:pPr>
      <w:r>
        <w:rPr>
          <w:rFonts w:ascii="Calibri" w:hAnsi="Calibri" w:eastAsia="Calibri"/>
          <w:b w:val="0"/>
          <w:i w:val="0"/>
          <w:color w:val="333333"/>
          <w:sz w:val="22"/>
        </w:rPr>
        <w:t>Analysis reveals high-risk concentration in Governance formalization (44.4% maturity), Network Protection (multiple 'Not in Place' findings), System Logging (completely absent), Configuration Management (no formal baseline), and Incident Response Planning (documentation missing). Moderate risk exists in Identity Management and Event Analysis. Low risk observed in Asset Inventory Management and Threat Intelligence Integration.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2.6  Implementation Tier Evaluation</w:t>
      </w:r>
    </w:p>
    <w:p>
      <w:pPr>
        <w:spacing w:before="40" w:after="160"/>
        <w:pBdr>
          <w:bottom w:val="single" w:sz="6" w:space="1" w:color="007B7F"/>
        </w:pBdr>
      </w:pPr>
    </w:p>
    <w:p>
      <w:pPr>
        <w:spacing w:after="120" w:before="0"/>
      </w:pPr>
      <w:r>
        <w:rPr>
          <w:rFonts w:ascii="Calibri" w:hAnsi="Calibri" w:eastAsia="Calibri"/>
          <w:b w:val="0"/>
          <w:i w:val="0"/>
          <w:color w:val="333333"/>
          <w:sz w:val="22"/>
        </w:rPr>
        <w:t>Tier determination based on four criteria: (1) Risk Management Process - informal risk practices with partial documentation, (2) Integrated Risk Management Program - limited integration with enterprise risk, (3) External Participation - reactive information sharing, (4) Governance Documentation - inconsistent policy framework. Overall assessment indicates Tier 2 (Risk Informed) with specific gaps preventing Tier 3 advancement.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2.7  Maturity Scoring Model</w:t>
      </w:r>
    </w:p>
    <w:p>
      <w:pPr>
        <w:spacing w:before="40" w:after="160"/>
        <w:pBdr>
          <w:bottom w:val="single" w:sz="6" w:space="1" w:color="007B7F"/>
        </w:pBdr>
      </w:pPr>
    </w:p>
    <w:p>
      <w:pPr>
        <w:spacing w:after="120" w:before="0"/>
      </w:pPr>
      <w:r>
        <w:rPr>
          <w:rFonts w:ascii="Calibri" w:hAnsi="Calibri" w:eastAsia="Calibri"/>
          <w:b w:val="0"/>
          <w:i w:val="0"/>
          <w:color w:val="333333"/>
          <w:sz w:val="22"/>
        </w:rPr>
        <w:t>Maturity scoring uses a five-level scale aligned with Capability Maturity Model Integration (CMMI) principles: Level 1 (Initial) - 0-20%, ad-hoc; Level 2 (Managed) - 21-40%, reactive; Level 3 (Defined) - 41-60%, standardized; Level 4 (Quantitatively Managed) - 61-80%, measured; Level 5 (Optimizing) - 81-100%, continuously improving. Current overall maturity is 48.3%, placing Urbego at Level 3 (Defined) with significant gaps in specific domains.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br w:type="page"/>
      </w:r>
    </w:p>
    <w:p>
      <w:pPr>
        <w:pStyle w:val="Heading1"/>
      </w:pPr>
      <w:r>
        <w:rPr>
          <w:rFonts w:ascii="Calibri" w:hAnsi="Calibri"/>
          <w:b/>
          <w:color w:val="002B5C"/>
          <w:sz w:val="44"/>
        </w:rPr>
        <w:t>3. EXECUTIVE SUMMARY</w:t>
      </w:r>
    </w:p>
    <w:p>
      <w:pPr>
        <w:spacing w:before="40" w:after="160"/>
        <w:pBdr>
          <w:bottom w:val="single" w:sz="6" w:space="1" w:color="007B7F"/>
        </w:pBdr>
      </w:pPr>
    </w:p>
    <w:p>
      <w:pPr>
        <w:pStyle w:val="Heading2"/>
      </w:pPr>
      <w:r>
        <w:rPr>
          <w:rFonts w:ascii="Calibri" w:hAnsi="Calibri"/>
          <w:b/>
          <w:color w:val="1A3C6E"/>
          <w:sz w:val="32"/>
        </w:rPr>
        <w:t>3.1  Overall Cybersecurity Posture</w:t>
      </w:r>
    </w:p>
    <w:p>
      <w:pPr>
        <w:spacing w:before="40" w:after="160"/>
        <w:pBdr>
          <w:bottom w:val="single" w:sz="6" w:space="1" w:color="007B7F"/>
        </w:pBdr>
      </w:pPr>
    </w:p>
    <w:p>
      <w:pPr>
        <w:spacing w:after="120" w:before="0"/>
      </w:pPr>
      <w:r>
        <w:rPr>
          <w:rFonts w:ascii="Calibri" w:hAnsi="Calibri" w:eastAsia="Calibri"/>
          <w:b w:val="0"/>
          <w:i w:val="0"/>
          <w:color w:val="333333"/>
          <w:sz w:val="22"/>
        </w:rPr>
        <w:t>Urbego Cybersecurity demonstrates moderate operational maturity with a current overall score of 48.3%. The organization exhibits strong capabilities in asset lifecycle management, threat intelligence integration, and network anomaly detection. However, significant governance formalization gaps exist, with critical foundational controls missing in incident response, logging, and configuration management. The posture reflects a 'risk-informed' approach where cybersecurity is understood but not consistently documented or institutionalized.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3.2  Current vs Target Profile Overview</w:t>
      </w:r>
    </w:p>
    <w:p>
      <w:pPr>
        <w:spacing w:before="40" w:after="160"/>
        <w:pBdr>
          <w:bottom w:val="single" w:sz="6" w:space="1" w:color="007B7F"/>
        </w:pBdr>
      </w:pPr>
    </w:p>
    <w:p>
      <w:pPr>
        <w:spacing w:after="120" w:before="0"/>
      </w:pPr>
      <w:r>
        <w:rPr>
          <w:rFonts w:ascii="Calibri" w:hAnsi="Calibri" w:eastAsia="Calibri"/>
          <w:b w:val="0"/>
          <w:i w:val="0"/>
          <w:color w:val="333333"/>
          <w:sz w:val="22"/>
        </w:rPr>
        <w:t>Current Profile (Tier 2 - Risk Informed): Characterized by awareness of cybersecurity risks, partial implementation of operational controls, inconsistent documentation, and reactive governance practices. Target Profile (Tier 3 - Repeatable): Requires fully documented policies, consistent control implementation across all domains, formal incident response lifecycle, integrated risk management processes, and institutionalized governance frameworks. The gap between current and target is approximately 30% maturity increase across all domains.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3.3  Implementation Tier Justification</w:t>
      </w:r>
    </w:p>
    <w:p>
      <w:pPr>
        <w:spacing w:before="40" w:after="160"/>
        <w:pBdr>
          <w:bottom w:val="single" w:sz="6" w:space="1" w:color="007B7F"/>
        </w:pBdr>
      </w:pPr>
    </w:p>
    <w:p>
      <w:pPr>
        <w:spacing w:after="120" w:before="0"/>
      </w:pPr>
      <w:r>
        <w:rPr>
          <w:rFonts w:ascii="Calibri" w:hAnsi="Calibri" w:eastAsia="Calibri"/>
          <w:b w:val="0"/>
          <w:i w:val="0"/>
          <w:color w:val="333333"/>
          <w:sz w:val="22"/>
        </w:rPr>
        <w:t>Tier 2 (Risk Informed) is justified based on: (1) documented awareness of cybersecurity risks by leadership, (2) operational monitoring capabilities in network and threat intelligence, (3) asset management practices with criticality prioritization, and (4) partial incident response execution capability. However, advancement to Tier 3 is prevented by: absence of documented incident response plan, complete lack of system logging implementation, missing configuration management framework, incomplete network protection controls, and undocumented governance policies. These gaps indicate that practices are not yet repeatable or institutionalized.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3.4  Overall Risk &amp; Maturity Rating</w:t>
      </w:r>
    </w:p>
    <w:p>
      <w:pPr>
        <w:spacing w:before="40" w:after="160"/>
        <w:pBdr>
          <w:bottom w:val="single" w:sz="6" w:space="1" w:color="007B7F"/>
        </w:pBdr>
      </w:pPr>
    </w:p>
    <w:p>
      <w:pPr>
        <w:spacing w:after="120" w:before="0"/>
      </w:pPr>
      <w:r>
        <w:rPr>
          <w:rFonts w:ascii="Calibri" w:hAnsi="Calibri" w:eastAsia="Calibri"/>
          <w:b w:val="0"/>
          <w:i w:val="0"/>
          <w:color w:val="333333"/>
          <w:sz w:val="22"/>
        </w:rPr>
        <w:t>Overall Maturity: 48.3% (Level 3 - Defined). Residual Risk Exposure: Moderate-High. Key risk drivers include the absence of documented incident response (could extend breach dwell time), lack of logging (prevents forensic investigation), missing configuration management (increases vulnerability exposure), and governance documentation gaps (creates accountability ambiguity). The combination of operational strengths and foundational weaknesses creates an unbalanced risk profile where detection capabilities exist but response capabilities are severely constrained.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3.5  Key Strengths</w:t>
      </w:r>
    </w:p>
    <w:p>
      <w:pPr>
        <w:spacing w:before="40" w:after="160"/>
        <w:pBdr>
          <w:bottom w:val="single" w:sz="6" w:space="1" w:color="007B7F"/>
        </w:pBdr>
      </w:pPr>
    </w:p>
    <w:p>
      <w:pPr>
        <w:spacing w:after="60"/>
      </w:pPr>
      <w:r>
        <w:rPr>
          <w:b/>
          <w:color w:val="27AE60"/>
          <w:sz w:val="24"/>
        </w:rPr>
        <w:t xml:space="preserve">✔  </w:t>
      </w:r>
      <w:r>
        <w:rPr>
          <w:rFonts w:ascii="Calibri" w:hAnsi="Calibri"/>
          <w:color w:val="333333"/>
          <w:sz w:val="22"/>
        </w:rPr>
        <w:t>Asset lifecycle management with criticality-based prioritization (Fully Implemented)</w:t>
      </w:r>
    </w:p>
    <w:p>
      <w:pPr>
        <w:spacing w:after="60"/>
      </w:pPr>
      <w:r>
        <w:rPr>
          <w:b/>
          <w:color w:val="27AE60"/>
          <w:sz w:val="24"/>
        </w:rPr>
        <w:t xml:space="preserve">✔  </w:t>
      </w:r>
      <w:r>
        <w:rPr>
          <w:rFonts w:ascii="Calibri" w:hAnsi="Calibri"/>
          <w:color w:val="333333"/>
          <w:sz w:val="22"/>
        </w:rPr>
        <w:t>Data flow mapping and network architecture documentation (Fully Implemented)</w:t>
      </w:r>
    </w:p>
    <w:p>
      <w:pPr>
        <w:spacing w:after="60"/>
      </w:pPr>
      <w:r>
        <w:rPr>
          <w:b/>
          <w:color w:val="27AE60"/>
          <w:sz w:val="24"/>
        </w:rPr>
        <w:t xml:space="preserve">✔  </w:t>
      </w:r>
      <w:r>
        <w:rPr>
          <w:rFonts w:ascii="Calibri" w:hAnsi="Calibri"/>
          <w:color w:val="333333"/>
          <w:sz w:val="22"/>
        </w:rPr>
        <w:t>Threat intelligence integration for proactive threat detection (Fully Implemented)</w:t>
      </w:r>
    </w:p>
    <w:p>
      <w:pPr>
        <w:spacing w:after="60"/>
      </w:pPr>
      <w:r>
        <w:rPr>
          <w:b/>
          <w:color w:val="27AE60"/>
          <w:sz w:val="24"/>
        </w:rPr>
        <w:t xml:space="preserve">✔  </w:t>
      </w:r>
      <w:r>
        <w:rPr>
          <w:rFonts w:ascii="Calibri" w:hAnsi="Calibri"/>
          <w:color w:val="333333"/>
          <w:sz w:val="22"/>
        </w:rPr>
        <w:t>Network anomaly monitoring capabilities (Fully Implemented)</w:t>
      </w:r>
    </w:p>
    <w:p>
      <w:pPr>
        <w:spacing w:after="60"/>
      </w:pPr>
      <w:r>
        <w:rPr>
          <w:b/>
          <w:color w:val="27AE60"/>
          <w:sz w:val="24"/>
        </w:rPr>
        <w:t xml:space="preserve">✔  </w:t>
      </w:r>
      <w:r>
        <w:rPr>
          <w:rFonts w:ascii="Calibri" w:hAnsi="Calibri"/>
          <w:color w:val="333333"/>
          <w:sz w:val="22"/>
        </w:rPr>
        <w:t>Recovery prioritization based on business impact (Fully Implemented)</w:t>
      </w:r>
    </w:p>
    <w:p>
      <w:pPr>
        <w:spacing w:after="60"/>
      </w:pPr>
      <w:r>
        <w:rPr>
          <w:b/>
          <w:color w:val="27AE60"/>
          <w:sz w:val="24"/>
        </w:rPr>
        <w:t xml:space="preserve">✔  </w:t>
      </w:r>
      <w:r>
        <w:rPr>
          <w:rFonts w:ascii="Calibri" w:hAnsi="Calibri"/>
          <w:color w:val="333333"/>
          <w:sz w:val="22"/>
        </w:rPr>
        <w:t>Regulatory compliance awareness and management (Fully Implemented)</w:t>
      </w:r>
    </w:p>
    <w:p>
      <w:pPr>
        <w:spacing w:after="60"/>
      </w:pPr>
      <w:r>
        <w:rPr>
          <w:b/>
          <w:color w:val="27AE60"/>
          <w:sz w:val="24"/>
        </w:rPr>
        <w:t xml:space="preserve">✔  </w:t>
      </w:r>
      <w:r>
        <w:rPr>
          <w:rFonts w:ascii="Calibri" w:hAnsi="Calibri"/>
          <w:color w:val="333333"/>
          <w:sz w:val="22"/>
        </w:rPr>
        <w:t>Secure hardware asset maintenance and physical access controls (Fully Implemented)</w:t>
      </w:r>
    </w:p>
    <w:p>
      <w:pPr>
        <w:spacing w:after="60"/>
      </w:pPr>
      <w:r>
        <w:rPr>
          <w:b/>
          <w:color w:val="27AE60"/>
          <w:sz w:val="24"/>
        </w:rPr>
        <w:t xml:space="preserve">✔  </w:t>
      </w:r>
      <w:r>
        <w:rPr>
          <w:rFonts w:ascii="Calibri" w:hAnsi="Calibri"/>
          <w:color w:val="333333"/>
          <w:sz w:val="22"/>
        </w:rPr>
        <w:t>Internal/external communication during incidents (Fully Implemented)</w:t>
      </w:r>
    </w:p>
    <w:p>
      <w:pPr>
        <w:pStyle w:val="Heading2"/>
      </w:pPr>
      <w:r>
        <w:rPr>
          <w:rFonts w:ascii="Calibri" w:hAnsi="Calibri"/>
          <w:b/>
          <w:color w:val="1A3C6E"/>
          <w:sz w:val="32"/>
        </w:rPr>
        <w:t>3.6  High-Risk Findings &amp; Key Recommendations</w:t>
      </w:r>
    </w:p>
    <w:p>
      <w:pPr>
        <w:spacing w:before="40" w:after="160"/>
        <w:pBdr>
          <w:bottom w:val="single" w:sz="6" w:space="1" w:color="007B7F"/>
        </w:pBdr>
      </w:pPr>
    </w:p>
    <w:p>
      <w:r>
        <w:rPr>
          <w:color w:val="C0392B"/>
          <w:sz w:val="24"/>
        </w:rPr>
        <w:t xml:space="preserve">⚠  </w:t>
      </w:r>
      <w:r>
        <w:rPr>
          <w:rFonts w:ascii="Calibri" w:hAnsi="Calibri"/>
          <w:b/>
          <w:color w:val="333333"/>
          <w:sz w:val="22"/>
        </w:rPr>
        <w:t>Finding: No documented incident response plan</w:t>
      </w:r>
    </w:p>
    <w:p>
      <w:pPr>
        <w:ind w:left="432"/>
      </w:pPr>
      <w:r>
        <w:rPr>
          <w:rFonts w:ascii="Calibri" w:hAnsi="Calibri"/>
          <w:color w:val="666666"/>
          <w:sz w:val="20"/>
        </w:rPr>
        <w:t xml:space="preserve">Risk Level: </w:t>
      </w:r>
      <w:r>
        <w:rPr>
          <w:rFonts w:ascii="Calibri" w:hAnsi="Calibri"/>
          <w:b/>
          <w:color w:val="C0392B"/>
          <w:sz w:val="20"/>
        </w:rPr>
        <w:t>Critical</w:t>
      </w:r>
    </w:p>
    <w:p>
      <w:pPr>
        <w:spacing w:after="200"/>
        <w:ind w:left="432"/>
      </w:pPr>
      <w:r>
        <w:rPr>
          <w:rFonts w:ascii="Calibri" w:hAnsi="Calibri"/>
          <w:color w:val="666666"/>
          <w:sz w:val="20"/>
        </w:rPr>
        <w:t xml:space="preserve">Recommendation: </w:t>
      </w:r>
      <w:r>
        <w:rPr>
          <w:rFonts w:ascii="Calibri" w:hAnsi="Calibri"/>
          <w:color w:val="333333"/>
          <w:sz w:val="20"/>
        </w:rPr>
        <w:t>Develop and approve an incident response plan aligned with NIST SP 800-61, including defined roles, escalation procedures, and communication protocols. Conduct tabletop exercises within 90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rPr>
          <w:color w:val="C0392B"/>
          <w:sz w:val="24"/>
        </w:rPr>
        <w:t xml:space="preserve">⚠  </w:t>
      </w:r>
      <w:r>
        <w:rPr>
          <w:rFonts w:ascii="Calibri" w:hAnsi="Calibri"/>
          <w:b/>
          <w:color w:val="333333"/>
          <w:sz w:val="22"/>
        </w:rPr>
        <w:t>Finding: System logging not implemented</w:t>
      </w:r>
    </w:p>
    <w:p>
      <w:pPr>
        <w:ind w:left="432"/>
      </w:pPr>
      <w:r>
        <w:rPr>
          <w:rFonts w:ascii="Calibri" w:hAnsi="Calibri"/>
          <w:color w:val="666666"/>
          <w:sz w:val="20"/>
        </w:rPr>
        <w:t xml:space="preserve">Risk Level: </w:t>
      </w:r>
      <w:r>
        <w:rPr>
          <w:rFonts w:ascii="Calibri" w:hAnsi="Calibri"/>
          <w:b/>
          <w:color w:val="C0392B"/>
          <w:sz w:val="20"/>
        </w:rPr>
        <w:t>Critical</w:t>
      </w:r>
    </w:p>
    <w:p>
      <w:pPr>
        <w:spacing w:after="200"/>
        <w:ind w:left="432"/>
      </w:pPr>
      <w:r>
        <w:rPr>
          <w:rFonts w:ascii="Calibri" w:hAnsi="Calibri"/>
          <w:color w:val="666666"/>
          <w:sz w:val="20"/>
        </w:rPr>
        <w:t xml:space="preserve">Recommendation: </w:t>
      </w:r>
      <w:r>
        <w:rPr>
          <w:rFonts w:ascii="Calibri" w:hAnsi="Calibri"/>
          <w:color w:val="333333"/>
          <w:sz w:val="20"/>
        </w:rPr>
        <w:t>Implement centralized logging solution across all critical systems. Define log retention requirements aligned with regulatory obligations and forensic investigation needs. Deploy SIEM or log management platform within 120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rPr>
          <w:color w:val="C0392B"/>
          <w:sz w:val="24"/>
        </w:rPr>
        <w:t xml:space="preserve">⚠  </w:t>
      </w:r>
      <w:r>
        <w:rPr>
          <w:rFonts w:ascii="Calibri" w:hAnsi="Calibri"/>
          <w:b/>
          <w:color w:val="333333"/>
          <w:sz w:val="22"/>
        </w:rPr>
        <w:t>Finding: Configuration management absent</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Establish secure configuration baselines for all system types. Implement configuration management tools to enforce and monitor compliance. Prioritize internet-facing systems within 90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rPr>
          <w:color w:val="C0392B"/>
          <w:sz w:val="24"/>
        </w:rPr>
        <w:t xml:space="preserve">⚠  </w:t>
      </w:r>
      <w:r>
        <w:rPr>
          <w:rFonts w:ascii="Calibri" w:hAnsi="Calibri"/>
          <w:b/>
          <w:color w:val="333333"/>
          <w:sz w:val="22"/>
        </w:rPr>
        <w:t>Finding: Network protection controls incomplete</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Complete network segmentation strategy, implement consistent firewall rule reviews, deploy intrusion prevention capabilities, and establish network hardening standards. Complete within 180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rPr>
          <w:color w:val="C0392B"/>
          <w:sz w:val="24"/>
        </w:rPr>
        <w:t xml:space="preserve">⚠  </w:t>
      </w:r>
      <w:r>
        <w:rPr>
          <w:rFonts w:ascii="Calibri" w:hAnsi="Calibri"/>
          <w:b/>
          <w:color w:val="333333"/>
          <w:sz w:val="22"/>
        </w:rPr>
        <w:t>Finding: Governance policy documentation missing</w:t>
      </w:r>
    </w:p>
    <w:p>
      <w:pPr>
        <w:ind w:left="432"/>
      </w:pPr>
      <w:r>
        <w:rPr>
          <w:rFonts w:ascii="Calibri" w:hAnsi="Calibri"/>
          <w:color w:val="666666"/>
          <w:sz w:val="20"/>
        </w:rPr>
        <w:t xml:space="preserve">Risk Level: </w:t>
      </w:r>
      <w:r>
        <w:rPr>
          <w:rFonts w:ascii="Calibri" w:hAnsi="Calibri"/>
          <w:b/>
          <w:color w:val="C0392B"/>
          <w:sz w:val="20"/>
        </w:rPr>
        <w:t>High</w:t>
      </w:r>
    </w:p>
    <w:p>
      <w:pPr>
        <w:spacing w:after="200"/>
        <w:ind w:left="432"/>
      </w:pPr>
      <w:r>
        <w:rPr>
          <w:rFonts w:ascii="Calibri" w:hAnsi="Calibri"/>
          <w:color w:val="666666"/>
          <w:sz w:val="20"/>
        </w:rPr>
        <w:t xml:space="preserve">Recommendation: </w:t>
      </w:r>
      <w:r>
        <w:rPr>
          <w:rFonts w:ascii="Calibri" w:hAnsi="Calibri"/>
          <w:color w:val="333333"/>
          <w:sz w:val="20"/>
        </w:rPr>
        <w:t>Develop comprehensive cybersecurity policy framework including acceptable use, access control, incident response, and data protection policies. Obtain leadership approval and communicate to all employees within 90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3.7  Strategic Roadmap Overview</w:t>
      </w:r>
    </w:p>
    <w:p>
      <w:pPr>
        <w:spacing w:before="40" w:after="160"/>
        <w:pBdr>
          <w:bottom w:val="single" w:sz="6" w:space="1" w:color="007B7F"/>
        </w:pBdr>
      </w:pPr>
    </w:p>
    <w:p>
      <w:pPr>
        <w:pStyle w:val="Heading3"/>
      </w:pPr>
      <w:r>
        <w:rPr>
          <w:rFonts w:ascii="Calibri" w:hAnsi="Calibri"/>
          <w:b/>
          <w:color w:val="007B7F"/>
          <w:sz w:val="26"/>
        </w:rPr>
        <w:t>Phase 1 0 90 Days Governance Foundation</w:t>
      </w:r>
    </w:p>
    <w:p>
      <w:pPr>
        <w:spacing w:after="120" w:before="0"/>
      </w:pPr>
      <w:r>
        <w:rPr>
          <w:rFonts w:ascii="Calibri" w:hAnsi="Calibri" w:eastAsia="Calibri"/>
          <w:b w:val="0"/>
          <w:i w:val="0"/>
          <w:color w:val="333333"/>
          <w:sz w:val="22"/>
        </w:rPr>
        <w:t>Establish formal cybersecurity charter, document core policies, define roles and responsibilities, develop incident response plan, initiate logging implementation.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Phase 2 90 180 Days Operational Controls</w:t>
      </w:r>
    </w:p>
    <w:p>
      <w:pPr>
        <w:spacing w:after="120" w:before="0"/>
      </w:pPr>
      <w:r>
        <w:rPr>
          <w:rFonts w:ascii="Calibri" w:hAnsi="Calibri" w:eastAsia="Calibri"/>
          <w:b w:val="0"/>
          <w:i w:val="0"/>
          <w:color w:val="333333"/>
          <w:sz w:val="22"/>
        </w:rPr>
        <w:t>Implement configuration management, complete network protection controls, deploy logging infrastructure, establish risk management framework, conduct first incident response exercise.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Phase 3 180 270 Days Institutionalization</w:t>
      </w:r>
    </w:p>
    <w:p>
      <w:pPr>
        <w:spacing w:after="120" w:before="0"/>
      </w:pPr>
      <w:r>
        <w:rPr>
          <w:rFonts w:ascii="Calibri" w:hAnsi="Calibri" w:eastAsia="Calibri"/>
          <w:b w:val="0"/>
          <w:i w:val="0"/>
          <w:color w:val="333333"/>
          <w:sz w:val="22"/>
        </w:rPr>
        <w:t>Integrate cybersecurity metrics into leadership reporting, automate control monitoring, implement supplier risk management program, conduct comprehensive security awareness training.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Phase 4 270 365 Days Continuous Improvement</w:t>
      </w:r>
    </w:p>
    <w:p>
      <w:pPr>
        <w:spacing w:after="120" w:before="0"/>
      </w:pPr>
      <w:r>
        <w:rPr>
          <w:rFonts w:ascii="Calibri" w:hAnsi="Calibri" w:eastAsia="Calibri"/>
          <w:b w:val="0"/>
          <w:i w:val="0"/>
          <w:color w:val="333333"/>
          <w:sz w:val="22"/>
        </w:rPr>
        <w:t>Achieve Tier 3 maturity across all domains, implement continuous monitoring improvements, establish red team exercises, develop quantitative risk metrics.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br w:type="page"/>
      </w:r>
    </w:p>
    <w:p>
      <w:pPr>
        <w:pStyle w:val="Heading1"/>
      </w:pPr>
      <w:r>
        <w:rPr>
          <w:rFonts w:ascii="Calibri" w:hAnsi="Calibri"/>
          <w:b/>
          <w:color w:val="002B5C"/>
          <w:sz w:val="44"/>
        </w:rPr>
        <w:t>4. CSF FUNCTION ASSESSMENTS</w:t>
      </w:r>
    </w:p>
    <w:p>
      <w:pPr>
        <w:spacing w:before="40" w:after="160"/>
        <w:pBdr>
          <w:bottom w:val="single" w:sz="6" w:space="1" w:color="007B7F"/>
        </w:pBdr>
      </w:pPr>
    </w:p>
    <w:p>
      <w:pPr>
        <w:pStyle w:val="Heading2"/>
      </w:pPr>
      <w:r>
        <w:rPr>
          <w:rFonts w:ascii="Calibri" w:hAnsi="Calibri"/>
          <w:b/>
          <w:color w:val="1A3C6E"/>
          <w:sz w:val="32"/>
        </w:rPr>
        <w:t>4.1  GOVERN (GV)</w:t>
      </w:r>
    </w:p>
    <w:p>
      <w:pPr>
        <w:spacing w:before="40" w:after="160"/>
        <w:pBdr>
          <w:bottom w:val="single" w:sz="6" w:space="1" w:color="007B7F"/>
        </w:pBdr>
      </w:pPr>
    </w:p>
    <w:p>
      <w:pPr>
        <w:spacing w:after="120" w:before="0"/>
      </w:pPr>
      <w:r>
        <w:rPr>
          <w:rFonts w:ascii="Calibri" w:hAnsi="Calibri" w:eastAsia="Calibri"/>
          <w:b w:val="0"/>
          <w:i w:val="0"/>
          <w:color w:val="333333"/>
          <w:sz w:val="22"/>
        </w:rPr>
        <w:t>Governance maturity is 44.4%, reflecting partial implementation with significant documentation gaps. Leadership demonstrates awareness of cybersecurity priorities but lacks formal policy framework. Risk appetite is understood but undocumented, and accountability structures are informally assigned. Supply chain risk governance shows early implementation stages.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4.1.1  GV OC ORGANIZATIONAL CONTEXT</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Mission guides cybersecurity priorities but not formally documented. Critical services identified but not consistently aligned with risk tolerance. Stakeholder expectations partially understood.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No formal cybersecurity charter; strategic opportunities not systematically identified; stakeholder communication channels undefined.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organizational context in cybersecurity charter; establish stakeholder engagement framework; define strategic opportunity identification process.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4.1.2  GV RM RISK MANAGEMENT STRATEGY</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Risk appetite understood by leadership but not documented. Standard risk assessment method exists for some areas. Response strategy partially defined.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Risk tolerance levels not documented; risk management objectives not formally approved; inconsistent enterprise risk integration.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risk appetite and tolerance statements; establish formal risk management objectives; integrate cybersecurity with enterprise risk management.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4.1.3  GV RR ROLES RESPONSIBILITIES</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Cybersecurity roles exist informally but not documented. Accountability for security culture not assigned. Resource allocation inadequate.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No documented role definitions; insufficient cybersecurity resources; accountability not enforced; HR processes not integrated with security.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RACI matrix for cybersecurity functions; conduct resource gap analysis; integrate security responsibilities into job descriptions; establish accountability metrics.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4.1.4  GV PO POLICY FRAMEWORK</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documented cybersecurity policy aligned with organizational needs. Policy review cycles not established. Oversight mechanisms absent.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Comprehensive policy framework missing; no policy approval process; regular review not performed; exception management undefined.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policy framework including 5-7 core policies; establish policy governance committee; define review cycles; implement exception tracking.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4.1.5  GV SC SUPPLY CHAIN GOVERNANCE</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Supplier risks monitored partially during relationship. Security requirements in some contracts. Critical suppliers identified.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Pre-engagement risk assessment missing; post-termination planning absent; supplier incident integration incomplete; performance monitoring inconsistent.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supplier pre-screening process; develop contract security requirements template; establish supplier termination procedures; integrate suppliers into incident planning.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4.1.6  GV ME METRICS MONITORING</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formal cybersecurity metrics program. Leadership reviews occur without performance data. Communication channels for risk information absent.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Metrics framework undefined; no regular performance reporting; risk communication not structured; improvement tracking absent.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Define key cybersecurity metrics aligned with business objectives; establish quarterly reporting to leadership; implement metrics dashboard; create risk communication protocol.</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4.1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No documented cybersecurity policy</w:t>
      </w:r>
    </w:p>
    <w:p>
      <w:pPr>
        <w:spacing w:after="60" w:before="20"/>
      </w:pPr>
      <w:r>
        <w:rPr>
          <w:rFonts w:ascii="Calibri" w:hAnsi="Calibri"/>
          <w:color w:val="333333"/>
          <w:sz w:val="22"/>
        </w:rPr>
        <w:t>●  Roles and responsibilities not formally assigned</w:t>
      </w:r>
    </w:p>
    <w:p>
      <w:pPr>
        <w:spacing w:after="60" w:before="20"/>
      </w:pPr>
      <w:r>
        <w:rPr>
          <w:rFonts w:ascii="Calibri" w:hAnsi="Calibri"/>
          <w:color w:val="333333"/>
          <w:sz w:val="22"/>
        </w:rPr>
        <w:t>●  Insufficient resource allocation</w:t>
      </w:r>
    </w:p>
    <w:p>
      <w:pPr>
        <w:spacing w:after="60" w:before="20"/>
      </w:pPr>
      <w:r>
        <w:rPr>
          <w:rFonts w:ascii="Calibri" w:hAnsi="Calibri"/>
          <w:color w:val="333333"/>
          <w:sz w:val="22"/>
        </w:rPr>
        <w:t>●  Supplier pre-engagement assessments missing</w:t>
      </w:r>
    </w:p>
    <w:p>
      <w:pPr>
        <w:spacing w:after="60" w:before="20"/>
      </w:pPr>
      <w:r>
        <w:rPr>
          <w:rFonts w:ascii="Calibri" w:hAnsi="Calibri"/>
          <w:color w:val="333333"/>
          <w:sz w:val="22"/>
        </w:rPr>
        <w:t>●  No metrics or performance monitoring program</w:t>
      </w:r>
    </w:p>
    <w:p>
      <w:pPr>
        <w:spacing w:after="60" w:before="20"/>
      </w:pPr>
      <w:r>
        <w:rPr>
          <w:rFonts w:ascii="Calibri" w:hAnsi="Calibri"/>
          <w:color w:val="333333"/>
          <w:sz w:val="22"/>
        </w:rPr>
        <w:t>●  Risk appetite undocumented</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Establish formal cybersecurity governance charter with leadership approval</w:t>
      </w:r>
    </w:p>
    <w:p>
      <w:pPr>
        <w:spacing w:after="60" w:before="20"/>
      </w:pPr>
      <w:r>
        <w:rPr>
          <w:rFonts w:ascii="Calibri" w:hAnsi="Calibri"/>
          <w:color w:val="333333"/>
          <w:sz w:val="22"/>
        </w:rPr>
        <w:t>●  Document risk appetite and tolerance statements aligned with business objectives</w:t>
      </w:r>
    </w:p>
    <w:p>
      <w:pPr>
        <w:spacing w:after="60" w:before="20"/>
      </w:pPr>
      <w:r>
        <w:rPr>
          <w:rFonts w:ascii="Calibri" w:hAnsi="Calibri"/>
          <w:color w:val="333333"/>
          <w:sz w:val="22"/>
        </w:rPr>
        <w:t>●  Create RACI matrix for all cybersecurity functions and enforce accountability</w:t>
      </w:r>
    </w:p>
    <w:p>
      <w:pPr>
        <w:spacing w:after="60" w:before="20"/>
      </w:pPr>
      <w:r>
        <w:rPr>
          <w:rFonts w:ascii="Calibri" w:hAnsi="Calibri"/>
          <w:color w:val="333333"/>
          <w:sz w:val="22"/>
        </w:rPr>
        <w:t>●  Develop comprehensive policy framework with regular review cycles</w:t>
      </w:r>
    </w:p>
    <w:p>
      <w:pPr>
        <w:spacing w:after="60" w:before="20"/>
      </w:pPr>
      <w:r>
        <w:rPr>
          <w:rFonts w:ascii="Calibri" w:hAnsi="Calibri"/>
          <w:color w:val="333333"/>
          <w:sz w:val="22"/>
        </w:rPr>
        <w:t>●  Implement supplier risk management lifecycle including pre-engagement assessments</w:t>
      </w:r>
    </w:p>
    <w:p>
      <w:pPr>
        <w:spacing w:after="60" w:before="20"/>
      </w:pPr>
      <w:r>
        <w:rPr>
          <w:rFonts w:ascii="Calibri" w:hAnsi="Calibri"/>
          <w:color w:val="333333"/>
          <w:sz w:val="22"/>
        </w:rPr>
        <w:t>●  Establish cybersecurity metrics program with quarterly leadership reporting</w:t>
      </w:r>
    </w:p>
    <w:p>
      <w:r>
        <w:br w:type="page"/>
      </w:r>
    </w:p>
    <w:p>
      <w:pPr>
        <w:pStyle w:val="Heading2"/>
      </w:pPr>
      <w:r>
        <w:rPr>
          <w:rFonts w:ascii="Calibri" w:hAnsi="Calibri"/>
          <w:b/>
          <w:color w:val="1A3C6E"/>
          <w:sz w:val="32"/>
        </w:rPr>
        <w:t>4.2  IDENTIFY (ID)</w:t>
      </w:r>
    </w:p>
    <w:p>
      <w:pPr>
        <w:spacing w:before="40" w:after="160"/>
        <w:pBdr>
          <w:bottom w:val="single" w:sz="6" w:space="1" w:color="007B7F"/>
        </w:pBdr>
      </w:pPr>
    </w:p>
    <w:p>
      <w:pPr>
        <w:spacing w:after="120" w:before="0"/>
      </w:pPr>
      <w:r>
        <w:rPr>
          <w:rFonts w:ascii="Calibri" w:hAnsi="Calibri" w:eastAsia="Calibri"/>
          <w:b w:val="0"/>
          <w:i w:val="0"/>
          <w:color w:val="333333"/>
          <w:sz w:val="22"/>
        </w:rPr>
        <w:t>Identify function maturity is 50.0%, representing moderate capability with strong asset visibility but weak risk assessment formalization. Asset inventories and data flow mapping are well-maintained. However, risk impacts are not formally recorded, and change risk assessments are inconsistently performed.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4.2.1  ID AM ASSET DATA MANAGEMENT</w:t>
      </w:r>
    </w:p>
    <w:p>
      <w:r>
        <w:rPr>
          <w:rFonts w:ascii="Calibri" w:hAnsi="Calibri"/>
          <w:b/>
          <w:color w:val="666666"/>
          <w:sz w:val="22"/>
        </w:rPr>
        <w:t xml:space="preserve">Status: </w:t>
      </w:r>
      <w:r>
        <w:rPr>
          <w:rFonts w:ascii="Calibri" w:hAnsi="Calibri"/>
          <w:b/>
          <w:color w:val="27AE60"/>
          <w:sz w:val="22"/>
        </w:rPr>
        <w:t>Mostly Implemented (62.5%)</w:t>
      </w:r>
    </w:p>
    <w:p>
      <w:pPr>
        <w:spacing w:after="120" w:before="0"/>
      </w:pPr>
      <w:r>
        <w:rPr>
          <w:rFonts w:ascii="Calibri" w:hAnsi="Calibri" w:eastAsia="Calibri"/>
          <w:b w:val="0"/>
          <w:i w:val="0"/>
          <w:color w:val="333333"/>
          <w:sz w:val="22"/>
        </w:rPr>
        <w:t>Findings: Hardware and software inventories maintained. Data inventories with metadata exist. Assets prioritized based on criticality. Full lifecycle management practiced.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Authenticity verification of software/hardware before use missing; inventory completeness for all assets not validated; metadata consistency needs improvement.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software/hardware authenticity verification process; conduct periodic inventory validation; enhance metadata capture for data classification.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4.2.2  ID BE BUSINESS ENVIRONMENT</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Critical services clearly identified. External service dependencies understood. Data flows and network connections mapped.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Business environment documentation not integrated with continuity planning; stakeholder expectations partially documented.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Integrate business environment documentation with BCDR planning; formalize stakeholder expectation register.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4.2.3  ID RA RISK ASSESSMENT</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Threat intelligence gathered from reliable sources. System vulnerabilities identified partially. Risk responses communicated informally.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Risk impacts and likelihoods not formally recorded; vulnerability identification inconsistent; change risk assessments not performed; risk documentation not standardized.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formal risk register; establish consistent vulnerability scanning; integrate change management with risk assessment; document all risk assessments.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4.2.4  ID IM IMPROVEMENT PLANNING</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Cybersecurity activities reviewed for improvement. Incident response plans updated partially. Control improvements from exercises occur.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Gap tracking not systematic; improvement planning not documented; lessons learned not consistently captured; vulnerability disclosure process incomplete.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formal improvement tracking system; document lessons learned process; implement vulnerability disclosure handling procedure.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4.2.5  ID SC SUPPLY CHAIN RISK</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Third-party services tracked. Supplier assessments performed for some vendors.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Pre-engagement risk assessments incomplete; supplier risk not integrated with enterprise risk; verification controls missing; critical supplier identification inconsistent.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Standardize supplier risk assessment process; implement verification controls; integrate supply chain risk into risk register.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4.2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Risk impact and likelihood not formally recorded</w:t>
      </w:r>
    </w:p>
    <w:p>
      <w:pPr>
        <w:spacing w:after="60" w:before="20"/>
      </w:pPr>
      <w:r>
        <w:rPr>
          <w:rFonts w:ascii="Calibri" w:hAnsi="Calibri"/>
          <w:color w:val="333333"/>
          <w:sz w:val="22"/>
        </w:rPr>
        <w:t>●  Change risk assessments not performed consistently</w:t>
      </w:r>
    </w:p>
    <w:p>
      <w:pPr>
        <w:spacing w:after="60" w:before="20"/>
      </w:pPr>
      <w:r>
        <w:rPr>
          <w:rFonts w:ascii="Calibri" w:hAnsi="Calibri"/>
          <w:color w:val="333333"/>
          <w:sz w:val="22"/>
        </w:rPr>
        <w:t>●  Authenticity verification controls for software/hardware missing</w:t>
      </w:r>
    </w:p>
    <w:p>
      <w:pPr>
        <w:spacing w:after="60" w:before="20"/>
      </w:pPr>
      <w:r>
        <w:rPr>
          <w:rFonts w:ascii="Calibri" w:hAnsi="Calibri"/>
          <w:color w:val="333333"/>
          <w:sz w:val="22"/>
        </w:rPr>
        <w:t>●  Vulnerability identification inconsistent</w:t>
      </w:r>
    </w:p>
    <w:p>
      <w:pPr>
        <w:spacing w:after="60" w:before="20"/>
      </w:pPr>
      <w:r>
        <w:rPr>
          <w:rFonts w:ascii="Calibri" w:hAnsi="Calibri"/>
          <w:color w:val="333333"/>
          <w:sz w:val="22"/>
        </w:rPr>
        <w:t>●  Improvement tracking not systematic</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Formalize risk register with impact and likelihood documentation</w:t>
      </w:r>
    </w:p>
    <w:p>
      <w:pPr>
        <w:spacing w:after="60" w:before="20"/>
      </w:pPr>
      <w:r>
        <w:rPr>
          <w:rFonts w:ascii="Calibri" w:hAnsi="Calibri"/>
          <w:color w:val="333333"/>
          <w:sz w:val="22"/>
        </w:rPr>
        <w:t>●  Integrate risk assessment into change management process</w:t>
      </w:r>
    </w:p>
    <w:p>
      <w:pPr>
        <w:spacing w:after="60" w:before="20"/>
      </w:pPr>
      <w:r>
        <w:rPr>
          <w:rFonts w:ascii="Calibri" w:hAnsi="Calibri"/>
          <w:color w:val="333333"/>
          <w:sz w:val="22"/>
        </w:rPr>
        <w:t>●  Implement software/hardware authenticity verification procedures</w:t>
      </w:r>
    </w:p>
    <w:p>
      <w:pPr>
        <w:spacing w:after="60" w:before="20"/>
      </w:pPr>
      <w:r>
        <w:rPr>
          <w:rFonts w:ascii="Calibri" w:hAnsi="Calibri"/>
          <w:color w:val="333333"/>
          <w:sz w:val="22"/>
        </w:rPr>
        <w:t>●  Establish regular vulnerability scanning program</w:t>
      </w:r>
    </w:p>
    <w:p>
      <w:pPr>
        <w:spacing w:after="60" w:before="20"/>
      </w:pPr>
      <w:r>
        <w:rPr>
          <w:rFonts w:ascii="Calibri" w:hAnsi="Calibri"/>
          <w:color w:val="333333"/>
          <w:sz w:val="22"/>
        </w:rPr>
        <w:t>●  Create improvement tracking system for gap remediation</w:t>
      </w:r>
    </w:p>
    <w:p>
      <w:r>
        <w:br w:type="page"/>
      </w:r>
    </w:p>
    <w:p>
      <w:pPr>
        <w:pStyle w:val="Heading2"/>
      </w:pPr>
      <w:r>
        <w:rPr>
          <w:rFonts w:ascii="Calibri" w:hAnsi="Calibri"/>
          <w:b/>
          <w:color w:val="1A3C6E"/>
          <w:sz w:val="32"/>
        </w:rPr>
        <w:t>4.3  PROTECT (PR)</w:t>
      </w:r>
    </w:p>
    <w:p>
      <w:pPr>
        <w:spacing w:before="40" w:after="160"/>
        <w:pBdr>
          <w:bottom w:val="single" w:sz="6" w:space="1" w:color="007B7F"/>
        </w:pBdr>
      </w:pPr>
    </w:p>
    <w:p>
      <w:pPr>
        <w:spacing w:after="120" w:before="0"/>
      </w:pPr>
      <w:r>
        <w:rPr>
          <w:rFonts w:ascii="Calibri" w:hAnsi="Calibri" w:eastAsia="Calibri"/>
          <w:b w:val="0"/>
          <w:i w:val="0"/>
          <w:color w:val="333333"/>
          <w:sz w:val="22"/>
        </w:rPr>
        <w:t>Protect function maturity is 45.6%, reflecting strong data protection and physical security controls but significant gaps in preventive safeguards. Logging completely absent, network protection incomplete, configuration management missing, and resilience measures insufficient.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4.3.1  PR AA IDENTITY ACCESS MANAGEMENT</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User and device authentication partially implemented. Identity assertions protected during use. Identity proofing for users performed partially.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Consistent authentication across all systems missing; identity management not centralized; privileged access management incomplete; access reviews not regular.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centralized identity management; establish privileged access management program; conduct quarterly access reviews; standardize authentication requirements.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4.3.2  PR AT AWARENESS TRAINING</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Employees trained on cybersecurity threats. Specialists receive role-targeted training.</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Training completion tracking incomplete; training effectiveness not measured; awareness program not tailored to roles; phishing simulations not conducted.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learning management system; develop role-based training curricula; conduct regular phishing simulations; measure training effectiveness.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4.3.3  PR DS DATA SECURITY</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Data at rest protected from unauthorized access. Data in transit protected partially. Sensitive data handling follows standards.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Data in transit protection inconsistent; data classification not fully implemented; encryption key management needs formalization; data loss prevention missing.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Standardize data in transit encryption; implement data classification program; formalize key management; deploy DLP for sensitive data.</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4.3.4  PR PS PLATFORM SECURITY</w:t>
      </w:r>
    </w:p>
    <w:p>
      <w:r>
        <w:rPr>
          <w:rFonts w:ascii="Calibri" w:hAnsi="Calibri"/>
          <w:b/>
          <w:color w:val="666666"/>
          <w:sz w:val="22"/>
        </w:rPr>
        <w:t xml:space="preserve">Status: </w:t>
      </w:r>
      <w:r>
        <w:rPr>
          <w:rFonts w:ascii="Calibri" w:hAnsi="Calibri"/>
          <w:b/>
          <w:color w:val="27AE60"/>
          <w:sz w:val="22"/>
        </w:rPr>
        <w:t>Partially Implemented (31.3%)</w:t>
      </w:r>
    </w:p>
    <w:p>
      <w:pPr>
        <w:spacing w:after="120" w:before="0"/>
      </w:pPr>
      <w:r>
        <w:rPr>
          <w:rFonts w:ascii="Calibri" w:hAnsi="Calibri" w:eastAsia="Calibri"/>
          <w:b w:val="0"/>
          <w:i w:val="0"/>
          <w:color w:val="333333"/>
          <w:sz w:val="22"/>
        </w:rPr>
        <w:t>Findings: Hardware assets maintained securely. Physical access controlled. Unauthorized software installation prevented.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Logging not implemented; unsupported software removal inconsistent; platform hardening standards missing; vulnerability management incomplete.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centralized logging; establish unsupported software removal program; develop platform hardening baselines; enhance vulnerability management.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4.3.5  PR IR INFRASTRUCTURE RESILIENCE</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Technology assets protected from environmental threats. Service availability resources partially adequate.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Network protection incomplete; resilience measures insufficient; network segmentation limited; no capacity planning for incidents.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Complete network segmentation; implement resilience measures; establish capacity planning process; develop network hardening standards.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4.3.6  PR MA MAINTENANCE PATCH</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formal maintenance or patch management program. Configuration management completely absent.</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Patch management policy missing; no configuration baselines; maintenance schedules undefined; change control not integrated with security.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patch management program; implement configuration management; define maintenance schedules; integrate change control with security.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4.3.7  PR AC APPLICATION SECURITY</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Secure development practices followed for some applications.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Application security not consistently monitored; development lifecycle not integrated with security; no application security testing; third-party application risk unknown.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SDLC security gates; conduct application security testing; establish third-party application assessment; monitor application security continuously.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4.3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Logging not implemented across systems</w:t>
      </w:r>
    </w:p>
    <w:p>
      <w:pPr>
        <w:spacing w:after="60" w:before="20"/>
      </w:pPr>
      <w:r>
        <w:rPr>
          <w:rFonts w:ascii="Calibri" w:hAnsi="Calibri"/>
          <w:color w:val="333333"/>
          <w:sz w:val="22"/>
        </w:rPr>
        <w:t>●  Network protection controls incomplete</w:t>
      </w:r>
    </w:p>
    <w:p>
      <w:pPr>
        <w:spacing w:after="60" w:before="20"/>
      </w:pPr>
      <w:r>
        <w:rPr>
          <w:rFonts w:ascii="Calibri" w:hAnsi="Calibri"/>
          <w:color w:val="333333"/>
          <w:sz w:val="22"/>
        </w:rPr>
        <w:t>●  Configuration management absent</w:t>
      </w:r>
    </w:p>
    <w:p>
      <w:pPr>
        <w:spacing w:after="60" w:before="20"/>
      </w:pPr>
      <w:r>
        <w:rPr>
          <w:rFonts w:ascii="Calibri" w:hAnsi="Calibri"/>
          <w:color w:val="333333"/>
          <w:sz w:val="22"/>
        </w:rPr>
        <w:t>●  Resilience measures insufficient</w:t>
      </w:r>
    </w:p>
    <w:p>
      <w:pPr>
        <w:spacing w:after="60" w:before="20"/>
      </w:pPr>
      <w:r>
        <w:rPr>
          <w:rFonts w:ascii="Calibri" w:hAnsi="Calibri"/>
          <w:color w:val="333333"/>
          <w:sz w:val="22"/>
        </w:rPr>
        <w:t>●  Patch management program missing</w:t>
      </w:r>
    </w:p>
    <w:p>
      <w:pPr>
        <w:spacing w:after="60" w:before="20"/>
      </w:pPr>
      <w:r>
        <w:rPr>
          <w:rFonts w:ascii="Calibri" w:hAnsi="Calibri"/>
          <w:color w:val="333333"/>
          <w:sz w:val="22"/>
        </w:rPr>
        <w:t>●  Application security not consistently monitored</w:t>
      </w:r>
    </w:p>
    <w:p>
      <w:r>
        <w:br w:type="page"/>
      </w:r>
    </w:p>
    <w:p>
      <w:pPr>
        <w:pStyle w:val="Heading2"/>
      </w:pPr>
      <w:r>
        <w:rPr>
          <w:rFonts w:ascii="Calibri" w:hAnsi="Calibri"/>
          <w:b/>
          <w:color w:val="1A3C6E"/>
          <w:sz w:val="32"/>
        </w:rPr>
        <w:t>4.4  DETECT (DE)</w:t>
      </w:r>
    </w:p>
    <w:p>
      <w:pPr>
        <w:spacing w:before="40" w:after="160"/>
        <w:pBdr>
          <w:bottom w:val="single" w:sz="6" w:space="1" w:color="007B7F"/>
        </w:pBdr>
      </w:pPr>
    </w:p>
    <w:p>
      <w:pPr>
        <w:spacing w:after="120" w:before="0"/>
      </w:pPr>
      <w:r>
        <w:rPr>
          <w:rFonts w:ascii="Calibri" w:hAnsi="Calibri" w:eastAsia="Calibri"/>
          <w:b w:val="0"/>
          <w:i w:val="0"/>
          <w:color w:val="333333"/>
          <w:sz w:val="22"/>
        </w:rPr>
        <w:t>Detect function maturity is 50.0%, demonstrating strong monitoring capabilities with integrated threat intelligence and network anomaly detection. However, incident declaration criteria undefined, physical environment monitoring missing, and event analysis consistency needs improvement.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4.4.1  DE CM CONTINUOUS MONITORING</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Networks monitored for anomalies. Systems and applications monitored continuously. Third-party activities monitored partially.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Physical environment monitoring missing; personnel activity monitoring incomplete; monitoring coverage not comprehensive; alerting thresholds undefined.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physical security monitoring; enhance personnel activity monitoring; define comprehensive monitoring scope; establish alerting thresholds.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4.4.2  DE AE ADVERSE EVENT DETECTION</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Multiple information sources used for event analysis. Cyber threat intelligence integrated. Event impact estimated.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Incident declaration criteria not defined; event correlation inconsistent; detection gaps not identified; false positive management not optimized.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Define incident declaration criteria; enhance event correlation capabilities; conduct detection gap analysis; optimize false positive handling.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4.4.3  DE AN EVENT ANALYSIS</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Unusual events analyzed for cause and impact. Investigation records protected partially.</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Event analysis consistency needs improvement; analysis methodology not standardized; forensic capabilities limited; analysis findings not systematically captured.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Standardize event analysis methodology; enhance forensic capabilities; implement analysis findings repository; improve analysis consistency.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4.4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Incident declaration criteria not defined</w:t>
      </w:r>
    </w:p>
    <w:p>
      <w:pPr>
        <w:spacing w:after="60" w:before="20"/>
      </w:pPr>
      <w:r>
        <w:rPr>
          <w:rFonts w:ascii="Calibri" w:hAnsi="Calibri"/>
          <w:color w:val="333333"/>
          <w:sz w:val="22"/>
        </w:rPr>
        <w:t>●  Physical environment monitoring missing</w:t>
      </w:r>
    </w:p>
    <w:p>
      <w:pPr>
        <w:spacing w:after="60" w:before="20"/>
      </w:pPr>
      <w:r>
        <w:rPr>
          <w:rFonts w:ascii="Calibri" w:hAnsi="Calibri"/>
          <w:color w:val="333333"/>
          <w:sz w:val="22"/>
        </w:rPr>
        <w:t>●  Event analysis consistency needs improvement</w:t>
      </w:r>
    </w:p>
    <w:p>
      <w:pPr>
        <w:spacing w:after="60" w:before="20"/>
      </w:pPr>
      <w:r>
        <w:rPr>
          <w:rFonts w:ascii="Calibri" w:hAnsi="Calibri"/>
          <w:color w:val="333333"/>
          <w:sz w:val="22"/>
        </w:rPr>
        <w:t>●  Detection gaps not systematically identified</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Define formal incident declaration criteria with severity levels</w:t>
      </w:r>
    </w:p>
    <w:p>
      <w:pPr>
        <w:spacing w:after="60" w:before="20"/>
      </w:pPr>
      <w:r>
        <w:rPr>
          <w:rFonts w:ascii="Calibri" w:hAnsi="Calibri"/>
          <w:color w:val="333333"/>
          <w:sz w:val="22"/>
        </w:rPr>
        <w:t>●  Implement physical environment monitoring for critical areas</w:t>
      </w:r>
    </w:p>
    <w:p>
      <w:pPr>
        <w:spacing w:after="60" w:before="20"/>
      </w:pPr>
      <w:r>
        <w:rPr>
          <w:rFonts w:ascii="Calibri" w:hAnsi="Calibri"/>
          <w:color w:val="333333"/>
          <w:sz w:val="22"/>
        </w:rPr>
        <w:t>●  Enhance event analysis procedures with standardized methodology</w:t>
      </w:r>
    </w:p>
    <w:p>
      <w:pPr>
        <w:spacing w:after="60" w:before="20"/>
      </w:pPr>
      <w:r>
        <w:rPr>
          <w:rFonts w:ascii="Calibri" w:hAnsi="Calibri"/>
          <w:color w:val="333333"/>
          <w:sz w:val="22"/>
        </w:rPr>
        <w:t>●  Conduct detection gap analysis regularly</w:t>
      </w:r>
    </w:p>
    <w:p>
      <w:pPr>
        <w:spacing w:after="60" w:before="20"/>
      </w:pPr>
      <w:r>
        <w:rPr>
          <w:rFonts w:ascii="Calibri" w:hAnsi="Calibri"/>
          <w:color w:val="333333"/>
          <w:sz w:val="22"/>
        </w:rPr>
        <w:t>●  Improve false positive management processes</w:t>
      </w:r>
    </w:p>
    <w:p>
      <w:r>
        <w:br w:type="page"/>
      </w:r>
    </w:p>
    <w:p>
      <w:pPr>
        <w:pStyle w:val="Heading2"/>
      </w:pPr>
      <w:r>
        <w:rPr>
          <w:rFonts w:ascii="Calibri" w:hAnsi="Calibri"/>
          <w:b/>
          <w:color w:val="1A3C6E"/>
          <w:sz w:val="32"/>
        </w:rPr>
        <w:t>4.5  RESPOND (RS)</w:t>
      </w:r>
    </w:p>
    <w:p>
      <w:pPr>
        <w:spacing w:before="40" w:after="160"/>
        <w:pBdr>
          <w:bottom w:val="single" w:sz="6" w:space="1" w:color="007B7F"/>
        </w:pBdr>
      </w:pPr>
    </w:p>
    <w:p>
      <w:pPr>
        <w:spacing w:after="120" w:before="0"/>
      </w:pPr>
      <w:r>
        <w:rPr>
          <w:rFonts w:ascii="Calibri" w:hAnsi="Calibri" w:eastAsia="Calibri"/>
          <w:b w:val="0"/>
          <w:i w:val="0"/>
          <w:color w:val="333333"/>
          <w:sz w:val="22"/>
        </w:rPr>
        <w:t>Respond function maturity is 54.5%, representing partial execution capability without formal documentation. Response actions occur informally, but the absence of a documented incident response plan creates significant risk exposure. Incident categorization inconsistent, and report validation missing.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4.5.1  RS RP RESPONSE PLANNING</w:t>
      </w:r>
    </w:p>
    <w:p>
      <w:r>
        <w:rPr>
          <w:rFonts w:ascii="Calibri" w:hAnsi="Calibri"/>
          <w:b/>
          <w:color w:val="666666"/>
          <w:sz w:val="22"/>
        </w:rPr>
        <w:t xml:space="preserve">Status: </w:t>
      </w:r>
      <w:r>
        <w:rPr>
          <w:rFonts w:ascii="Calibri" w:hAnsi="Calibri"/>
          <w:b/>
          <w:color w:val="C0392B"/>
          <w:sz w:val="22"/>
        </w:rPr>
        <w:t>Not in Place (0%)</w:t>
      </w:r>
    </w:p>
    <w:p>
      <w:pPr>
        <w:spacing w:after="120" w:before="0"/>
      </w:pPr>
      <w:r>
        <w:rPr>
          <w:rFonts w:ascii="Calibri" w:hAnsi="Calibri" w:eastAsia="Calibri"/>
          <w:b w:val="0"/>
          <w:i w:val="0"/>
          <w:color w:val="333333"/>
          <w:sz w:val="22"/>
        </w:rPr>
        <w:t>Findings: No documented incident response plan. No formal testing conducted.</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Response plan completely missing; roles not defined; procedures not documented; testing not performed; no integration with other plans.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Develop comprehensive incident response plan; define team roles and responsibilities; document procedures; conduct tabletop exercises; integrate with BCDR.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4.5.2  RS CO COMMUNICATION</w:t>
      </w:r>
    </w:p>
    <w:p>
      <w:r>
        <w:rPr>
          <w:rFonts w:ascii="Calibri" w:hAnsi="Calibri"/>
          <w:b/>
          <w:color w:val="666666"/>
          <w:sz w:val="22"/>
        </w:rPr>
        <w:t xml:space="preserve">Status: </w:t>
      </w:r>
      <w:r>
        <w:rPr>
          <w:rFonts w:ascii="Calibri" w:hAnsi="Calibri"/>
          <w:b/>
          <w:color w:val="27AE60"/>
          <w:sz w:val="22"/>
        </w:rPr>
        <w:t>Mostly Implemented (62.5%)</w:t>
      </w:r>
    </w:p>
    <w:p>
      <w:pPr>
        <w:spacing w:after="120" w:before="0"/>
      </w:pPr>
      <w:r>
        <w:rPr>
          <w:rFonts w:ascii="Calibri" w:hAnsi="Calibri" w:eastAsia="Calibri"/>
          <w:b w:val="0"/>
          <w:i w:val="0"/>
          <w:color w:val="333333"/>
          <w:sz w:val="22"/>
        </w:rPr>
        <w:t>Findings: Information shared with internal and external teams. Public updates on recovery shared in controlled manner.</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Communication protocols not documented; stakeholder notification not formalized; regulatory reporting procedures undefined; communication testing not performed.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communication protocols; formalize stakeholder notification procedures; define regulatory reporting requirements; test communication plans.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4.5.3  RS AN ANALYSIS FORENSICS</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Incident scale and magnitude estimated. Investigation records protected. Incident data collected securely.</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Forensics capability limited; analysis methodology inconsistent; root cause analysis not systematic; evidence handling not formalized.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Enhance forensics capabilities; standardize analysis methodology; implement systematic root cause analysis; formalize evidence handling procedures.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4.5.4  RS MI MITIGATION CONTAINMENT</w:t>
      </w:r>
    </w:p>
    <w:p>
      <w:r>
        <w:rPr>
          <w:rFonts w:ascii="Calibri" w:hAnsi="Calibri"/>
          <w:b/>
          <w:color w:val="666666"/>
          <w:sz w:val="22"/>
        </w:rPr>
        <w:t xml:space="preserve">Status: </w:t>
      </w:r>
      <w:r>
        <w:rPr>
          <w:rFonts w:ascii="Calibri" w:hAnsi="Calibri"/>
          <w:b/>
          <w:color w:val="27AE60"/>
          <w:sz w:val="22"/>
        </w:rPr>
        <w:t>Mostly Implemented (50%)</w:t>
      </w:r>
    </w:p>
    <w:p>
      <w:pPr>
        <w:spacing w:after="120" w:before="0"/>
      </w:pPr>
      <w:r>
        <w:rPr>
          <w:rFonts w:ascii="Calibri" w:hAnsi="Calibri" w:eastAsia="Calibri"/>
          <w:b w:val="0"/>
          <w:i w:val="0"/>
          <w:color w:val="333333"/>
          <w:sz w:val="22"/>
        </w:rPr>
        <w:t>Findings: Incidents contained effectively. Threat actors removed after containment.</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Containment strategies not documented; mitigation procedures inconsistent; eradication verification missing; recovery timing determination informal.</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Document containment strategies; standardize mitigation procedures; implement eradication verification; formalize recovery initiation criteria.</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4.5.5  RS IM POST INCIDENT IMPROVEMENT</w:t>
      </w:r>
    </w:p>
    <w:p>
      <w:r>
        <w:rPr>
          <w:rFonts w:ascii="Calibri" w:hAnsi="Calibri"/>
          <w:b/>
          <w:color w:val="666666"/>
          <w:sz w:val="22"/>
        </w:rPr>
        <w:t xml:space="preserve">Status: </w:t>
      </w:r>
      <w:r>
        <w:rPr>
          <w:rFonts w:ascii="Calibri" w:hAnsi="Calibri"/>
          <w:b/>
          <w:color w:val="27AE60"/>
          <w:sz w:val="22"/>
        </w:rPr>
        <w:t>Partially Implemented (25%)</w:t>
      </w:r>
    </w:p>
    <w:p>
      <w:pPr>
        <w:spacing w:after="120" w:before="0"/>
      </w:pPr>
      <w:r>
        <w:rPr>
          <w:rFonts w:ascii="Calibri" w:hAnsi="Calibri" w:eastAsia="Calibri"/>
          <w:b w:val="0"/>
          <w:i w:val="0"/>
          <w:color w:val="333333"/>
          <w:sz w:val="22"/>
        </w:rPr>
        <w:t>Findings: Post-incident analyses conducted for some incidents.</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Post-incident reviews not systematic; lessons learned not documented; improvements not tracked; incident reports not reviewed or validated.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Establish systematic post-incident review process; document lessons learned; track improvement implementation; validate incident reports.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4.5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No documented incident response plan</w:t>
      </w:r>
    </w:p>
    <w:p>
      <w:pPr>
        <w:spacing w:after="60" w:before="20"/>
      </w:pPr>
      <w:r>
        <w:rPr>
          <w:rFonts w:ascii="Calibri" w:hAnsi="Calibri"/>
          <w:color w:val="333333"/>
          <w:sz w:val="22"/>
        </w:rPr>
        <w:t>●  Incident report validation missing</w:t>
      </w:r>
    </w:p>
    <w:p>
      <w:pPr>
        <w:spacing w:after="60" w:before="20"/>
      </w:pPr>
      <w:r>
        <w:rPr>
          <w:rFonts w:ascii="Calibri" w:hAnsi="Calibri"/>
          <w:color w:val="333333"/>
          <w:sz w:val="22"/>
        </w:rPr>
        <w:t>●  Categorization process inconsistent</w:t>
      </w:r>
    </w:p>
    <w:p>
      <w:pPr>
        <w:spacing w:after="60" w:before="20"/>
      </w:pPr>
      <w:r>
        <w:rPr>
          <w:rFonts w:ascii="Calibri" w:hAnsi="Calibri"/>
          <w:color w:val="333333"/>
          <w:sz w:val="22"/>
        </w:rPr>
        <w:t>●  Post-incident improvement not systematic</w:t>
      </w:r>
    </w:p>
    <w:p>
      <w:pPr>
        <w:spacing w:after="60" w:before="20"/>
      </w:pPr>
      <w:r>
        <w:rPr>
          <w:rFonts w:ascii="Calibri" w:hAnsi="Calibri"/>
          <w:color w:val="333333"/>
          <w:sz w:val="22"/>
        </w:rPr>
        <w:t>●  Forensics capability limited</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Develop and approve formal incident response plan within 30 days</w:t>
      </w:r>
    </w:p>
    <w:p>
      <w:pPr>
        <w:spacing w:after="60" w:before="20"/>
      </w:pPr>
      <w:r>
        <w:rPr>
          <w:rFonts w:ascii="Calibri" w:hAnsi="Calibri"/>
          <w:color w:val="333333"/>
          <w:sz w:val="22"/>
        </w:rPr>
        <w:t>●  Establish incident categorization criteria</w:t>
      </w:r>
    </w:p>
    <w:p>
      <w:pPr>
        <w:spacing w:after="60" w:before="20"/>
      </w:pPr>
      <w:r>
        <w:rPr>
          <w:rFonts w:ascii="Calibri" w:hAnsi="Calibri"/>
          <w:color w:val="333333"/>
          <w:sz w:val="22"/>
        </w:rPr>
        <w:t>●  Implement incident report validation process</w:t>
      </w:r>
    </w:p>
    <w:p>
      <w:pPr>
        <w:spacing w:after="60" w:before="20"/>
      </w:pPr>
      <w:r>
        <w:rPr>
          <w:rFonts w:ascii="Calibri" w:hAnsi="Calibri"/>
          <w:color w:val="333333"/>
          <w:sz w:val="22"/>
        </w:rPr>
        <w:t>●  Create systematic post-incident review program</w:t>
      </w:r>
    </w:p>
    <w:p>
      <w:pPr>
        <w:spacing w:after="60" w:before="20"/>
      </w:pPr>
      <w:r>
        <w:rPr>
          <w:rFonts w:ascii="Calibri" w:hAnsi="Calibri"/>
          <w:color w:val="333333"/>
          <w:sz w:val="22"/>
        </w:rPr>
        <w:t>●  Enhance forensics investigation capabilities</w:t>
      </w:r>
    </w:p>
    <w:p>
      <w:r>
        <w:br w:type="page"/>
      </w:r>
    </w:p>
    <w:p>
      <w:pPr>
        <w:pStyle w:val="Heading2"/>
      </w:pPr>
      <w:r>
        <w:rPr>
          <w:rFonts w:ascii="Calibri" w:hAnsi="Calibri"/>
          <w:b/>
          <w:color w:val="1A3C6E"/>
          <w:sz w:val="32"/>
        </w:rPr>
        <w:t>4.6  RECOVER (RC)</w:t>
      </w:r>
    </w:p>
    <w:p>
      <w:pPr>
        <w:spacing w:before="40" w:after="160"/>
        <w:pBdr>
          <w:bottom w:val="single" w:sz="6" w:space="1" w:color="007B7F"/>
        </w:pBdr>
      </w:pPr>
    </w:p>
    <w:p>
      <w:pPr>
        <w:spacing w:after="120" w:before="0"/>
      </w:pPr>
      <w:r>
        <w:rPr>
          <w:rFonts w:ascii="Calibri" w:hAnsi="Calibri" w:eastAsia="Calibri"/>
          <w:b w:val="0"/>
          <w:i w:val="0"/>
          <w:color w:val="333333"/>
          <w:sz w:val="22"/>
        </w:rPr>
        <w:t>Recover function maturity is 52.4%, with strong recovery prioritization and execution capability but weak communication governance. Recovery steps defined and prioritized based on risk, but recovery communication not formally structured, backup verification inconsistent, and post-recovery reassessment partially implemented.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4.6.1  RC RP RECOVERY PLANNING</w:t>
      </w:r>
    </w:p>
    <w:p>
      <w:r>
        <w:rPr>
          <w:rFonts w:ascii="Calibri" w:hAnsi="Calibri"/>
          <w:b/>
          <w:color w:val="666666"/>
          <w:sz w:val="22"/>
        </w:rPr>
        <w:t xml:space="preserve">Status: </w:t>
      </w:r>
      <w:r>
        <w:rPr>
          <w:rFonts w:ascii="Calibri" w:hAnsi="Calibri"/>
          <w:b/>
          <w:color w:val="27AE60"/>
          <w:sz w:val="22"/>
        </w:rPr>
        <w:t>Fully Implemented (75%)</w:t>
      </w:r>
    </w:p>
    <w:p>
      <w:pPr>
        <w:spacing w:after="120" w:before="0"/>
      </w:pPr>
      <w:r>
        <w:rPr>
          <w:rFonts w:ascii="Calibri" w:hAnsi="Calibri" w:eastAsia="Calibri"/>
          <w:b w:val="0"/>
          <w:i w:val="0"/>
          <w:color w:val="333333"/>
          <w:sz w:val="22"/>
        </w:rPr>
        <w:t>Findings: Recovery steps clearly defined and executed. Recovery actions prioritized based on risk and business need.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Recovery plan not integrated with incident response; plan testing incomplete; plan maintenance not scheduled; dependencies not fully documented.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Integrate recovery plan with incident response; establish regular testing schedule; implement plan maintenance process; document all dependencies.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4.6.2  RC CO RECOVERY COMMUNICATION</w:t>
      </w:r>
    </w:p>
    <w:p>
      <w:r>
        <w:rPr>
          <w:rFonts w:ascii="Calibri" w:hAnsi="Calibri"/>
          <w:b/>
          <w:color w:val="666666"/>
          <w:sz w:val="22"/>
        </w:rPr>
        <w:t xml:space="preserve">Status: </w:t>
      </w:r>
      <w:r>
        <w:rPr>
          <w:rFonts w:ascii="Calibri" w:hAnsi="Calibri"/>
          <w:b/>
          <w:color w:val="C0392B"/>
          <w:sz w:val="22"/>
        </w:rPr>
        <w:t>Not in Place (25%)</w:t>
      </w:r>
    </w:p>
    <w:p>
      <w:pPr>
        <w:spacing w:after="120" w:before="0"/>
      </w:pPr>
      <w:r>
        <w:rPr>
          <w:rFonts w:ascii="Calibri" w:hAnsi="Calibri" w:eastAsia="Calibri"/>
          <w:b w:val="0"/>
          <w:i w:val="0"/>
          <w:color w:val="333333"/>
          <w:sz w:val="22"/>
        </w:rPr>
        <w:t>Findings: Public updates on recovery shared in controlled manner.</w:t>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Recovery communication not formally structured; status communication missing; internal notification procedures undefined; external reporting not standardized.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Formalize recovery communication framework; define status reporting procedures; establish internal notification protocols; standardize external communications.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4.6.3  RC IM POST RECOVERY IMPROVEMENT</w:t>
      </w:r>
    </w:p>
    <w:p>
      <w:r>
        <w:rPr>
          <w:rFonts w:ascii="Calibri" w:hAnsi="Calibri"/>
          <w:b/>
          <w:color w:val="666666"/>
          <w:sz w:val="22"/>
        </w:rPr>
        <w:t xml:space="preserve">Status: </w:t>
      </w:r>
      <w:r>
        <w:rPr>
          <w:rFonts w:ascii="Calibri" w:hAnsi="Calibri"/>
          <w:b/>
          <w:color w:val="27AE60"/>
          <w:sz w:val="22"/>
        </w:rPr>
        <w:t>Partially Implemented (37.5%)</w:t>
      </w:r>
    </w:p>
    <w:p>
      <w:pPr>
        <w:spacing w:after="120" w:before="0"/>
      </w:pPr>
      <w:r>
        <w:rPr>
          <w:rFonts w:ascii="Calibri" w:hAnsi="Calibri" w:eastAsia="Calibri"/>
          <w:b w:val="0"/>
          <w:i w:val="0"/>
          <w:color w:val="333333"/>
          <w:sz w:val="22"/>
        </w:rPr>
        <w:t>Findings: Cybersecurity posture reassessed after recovery for some incidents. Recovery end formally declared with documentation.</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C0392B"/>
          <w:sz w:val="22"/>
        </w:rPr>
        <w:t>Gaps:</w:t>
      </w:r>
    </w:p>
    <w:p>
      <w:pPr>
        <w:spacing w:after="120" w:before="0"/>
      </w:pPr>
      <w:r>
        <w:rPr>
          <w:rFonts w:ascii="Calibri" w:hAnsi="Calibri" w:eastAsia="Calibri"/>
          <w:b w:val="0"/>
          <w:i w:val="0"/>
          <w:color w:val="333333"/>
          <w:sz w:val="22"/>
        </w:rPr>
        <w:t>Backup verification inconsistent; post-recovery reassessment not systematic; improvement capture incomplete; lessons learned not documented.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120" w:before="0"/>
      </w:pPr>
      <w:r>
        <w:rPr>
          <w:rFonts w:ascii="Calibri" w:hAnsi="Calibri" w:eastAsia="Calibri"/>
          <w:b/>
          <w:i w:val="0"/>
          <w:color w:val="007B7F"/>
          <w:sz w:val="22"/>
        </w:rPr>
        <w:t>Recommendations:</w:t>
      </w:r>
    </w:p>
    <w:p>
      <w:pPr>
        <w:spacing w:after="120" w:before="0"/>
      </w:pPr>
      <w:r>
        <w:rPr>
          <w:rFonts w:ascii="Calibri" w:hAnsi="Calibri" w:eastAsia="Calibri"/>
          <w:b w:val="0"/>
          <w:i w:val="0"/>
          <w:color w:val="333333"/>
          <w:sz w:val="22"/>
        </w:rPr>
        <w:t>Implement consistent backup verification; systematize post-recovery reassessment; document improvement actions; capture lessons learned.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4.6  Findings &amp; Recommendations</w:t>
      </w:r>
    </w:p>
    <w:p>
      <w:pPr>
        <w:spacing w:after="120" w:before="0"/>
      </w:pPr>
      <w:r>
        <w:rPr>
          <w:rFonts w:ascii="Calibri" w:hAnsi="Calibri" w:eastAsia="Calibri"/>
          <w:b/>
          <w:i w:val="0"/>
          <w:color w:val="C0392B"/>
          <w:sz w:val="22"/>
        </w:rPr>
        <w:t>Key Gaps:</w:t>
      </w:r>
    </w:p>
    <w:p>
      <w:pPr>
        <w:spacing w:after="60" w:before="20"/>
      </w:pPr>
      <w:r>
        <w:rPr>
          <w:rFonts w:ascii="Calibri" w:hAnsi="Calibri"/>
          <w:color w:val="333333"/>
          <w:sz w:val="22"/>
        </w:rPr>
        <w:t>●  Recovery communication not formally structured</w:t>
      </w:r>
    </w:p>
    <w:p>
      <w:pPr>
        <w:spacing w:after="60" w:before="20"/>
      </w:pPr>
      <w:r>
        <w:rPr>
          <w:rFonts w:ascii="Calibri" w:hAnsi="Calibri"/>
          <w:color w:val="333333"/>
          <w:sz w:val="22"/>
        </w:rPr>
        <w:t>●  Backup verification inconsistent</w:t>
      </w:r>
    </w:p>
    <w:p>
      <w:pPr>
        <w:spacing w:after="60" w:before="20"/>
      </w:pPr>
      <w:r>
        <w:rPr>
          <w:rFonts w:ascii="Calibri" w:hAnsi="Calibri"/>
          <w:color w:val="333333"/>
          <w:sz w:val="22"/>
        </w:rPr>
        <w:t>●  Post-recovery reassessment partially implemented</w:t>
      </w:r>
    </w:p>
    <w:p>
      <w:pPr>
        <w:spacing w:after="60" w:before="20"/>
      </w:pPr>
      <w:r>
        <w:rPr>
          <w:rFonts w:ascii="Calibri" w:hAnsi="Calibri"/>
          <w:color w:val="333333"/>
          <w:sz w:val="22"/>
        </w:rPr>
        <w:t>●  Improvement capture incomplete</w:t>
      </w:r>
    </w:p>
    <w:p>
      <w:pPr>
        <w:spacing w:after="120" w:before="0"/>
      </w:pPr>
      <w:r>
        <w:rPr>
          <w:rFonts w:ascii="Calibri" w:hAnsi="Calibri" w:eastAsia="Calibri"/>
          <w:b/>
          <w:i w:val="0"/>
          <w:color w:val="27AE60"/>
          <w:sz w:val="22"/>
        </w:rPr>
        <w:t>Recommendations:</w:t>
      </w:r>
    </w:p>
    <w:p>
      <w:pPr>
        <w:spacing w:after="60" w:before="20"/>
      </w:pPr>
      <w:r>
        <w:rPr>
          <w:rFonts w:ascii="Calibri" w:hAnsi="Calibri"/>
          <w:color w:val="333333"/>
          <w:sz w:val="22"/>
        </w:rPr>
        <w:t>●  Formalize recovery communication framework with defined roles</w:t>
      </w:r>
    </w:p>
    <w:p>
      <w:pPr>
        <w:spacing w:after="60" w:before="20"/>
      </w:pPr>
      <w:r>
        <w:rPr>
          <w:rFonts w:ascii="Calibri" w:hAnsi="Calibri"/>
          <w:color w:val="333333"/>
          <w:sz w:val="22"/>
        </w:rPr>
        <w:t>●  Implement consistent backup verification procedures</w:t>
      </w:r>
    </w:p>
    <w:p>
      <w:pPr>
        <w:spacing w:after="60" w:before="20"/>
      </w:pPr>
      <w:r>
        <w:rPr>
          <w:rFonts w:ascii="Calibri" w:hAnsi="Calibri"/>
          <w:color w:val="333333"/>
          <w:sz w:val="22"/>
        </w:rPr>
        <w:t>●  Establish systematic post-recovery reassessment process</w:t>
      </w:r>
    </w:p>
    <w:p>
      <w:pPr>
        <w:spacing w:after="60" w:before="20"/>
      </w:pPr>
      <w:r>
        <w:rPr>
          <w:rFonts w:ascii="Calibri" w:hAnsi="Calibri"/>
          <w:color w:val="333333"/>
          <w:sz w:val="22"/>
        </w:rPr>
        <w:t>●  Document and track recovery improvement actions</w:t>
      </w:r>
    </w:p>
    <w:p>
      <w:pPr>
        <w:spacing w:after="60" w:before="20"/>
      </w:pPr>
      <w:r>
        <w:rPr>
          <w:rFonts w:ascii="Calibri" w:hAnsi="Calibri"/>
          <w:color w:val="333333"/>
          <w:sz w:val="22"/>
        </w:rPr>
        <w:t>●  Capture and share recovery lessons learned</w:t>
      </w:r>
    </w:p>
    <w:p>
      <w:r>
        <w:br w:type="page"/>
      </w:r>
    </w:p>
    <w:p>
      <w:r>
        <w:br w:type="page"/>
      </w:r>
    </w:p>
    <w:p>
      <w:pPr>
        <w:pStyle w:val="Heading1"/>
      </w:pPr>
      <w:r>
        <w:rPr>
          <w:rFonts w:ascii="Calibri" w:hAnsi="Calibri"/>
          <w:b/>
          <w:color w:val="002B5C"/>
          <w:sz w:val="44"/>
        </w:rPr>
        <w:t>5. CONCLUSION</w:t>
      </w:r>
    </w:p>
    <w:p>
      <w:pPr>
        <w:spacing w:before="40" w:after="160"/>
        <w:pBdr>
          <w:bottom w:val="single" w:sz="6" w:space="1" w:color="007B7F"/>
        </w:pBdr>
      </w:pPr>
    </w:p>
    <w:p>
      <w:pPr>
        <w:pStyle w:val="Heading2"/>
      </w:pPr>
      <w:r>
        <w:rPr>
          <w:rFonts w:ascii="Calibri" w:hAnsi="Calibri"/>
          <w:b/>
          <w:color w:val="1A3C6E"/>
          <w:sz w:val="32"/>
        </w:rPr>
        <w:t>5.1  Overall Assessment Statement</w:t>
      </w:r>
    </w:p>
    <w:p>
      <w:pPr>
        <w:spacing w:before="40" w:after="160"/>
        <w:pBdr>
          <w:bottom w:val="single" w:sz="6" w:space="1" w:color="007B7F"/>
        </w:pBdr>
      </w:pPr>
    </w:p>
    <w:p>
      <w:pPr>
        <w:spacing w:after="120" w:before="0"/>
      </w:pPr>
      <w:r>
        <w:rPr>
          <w:rFonts w:ascii="Calibri" w:hAnsi="Calibri" w:eastAsia="Calibri"/>
          <w:b w:val="0"/>
          <w:i w:val="0"/>
          <w:color w:val="333333"/>
          <w:sz w:val="22"/>
        </w:rPr>
        <w:t>Urbego Cybersecurity operates at a Tier 2 (Risk Informed) maturity level with an overall score of 48.3%. The organization demonstrates strong operational capabilities in asset management, threat intelligence, network monitoring, and recovery prioritization. However, foundational governance and preventive controls are significantly underdeveloped. The absence of documented incident response planning, system logging, configuration management, and comprehensive network protection creates critical risk exposure that could severely impact incident detection, response, and recovery effectiveness. Achieving Tier 3 (Repeatable) maturity requires systematic documentation, consistent control implementation, and institutionalized governance across all domains.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5.2  Implementation Tier Determination</w:t>
      </w:r>
    </w:p>
    <w:p>
      <w:pPr>
        <w:spacing w:before="40" w:after="160"/>
        <w:pBdr>
          <w:bottom w:val="single" w:sz="6" w:space="1" w:color="007B7F"/>
        </w:pBdr>
      </w:pPr>
    </w:p>
    <w:p>
      <w:pPr>
        <w:spacing w:after="120" w:before="0"/>
      </w:pPr>
      <w:r>
        <w:rPr>
          <w:rFonts w:ascii="Calibri" w:hAnsi="Calibri" w:eastAsia="Calibri"/>
          <w:b w:val="0"/>
          <w:i w:val="0"/>
          <w:color w:val="333333"/>
          <w:sz w:val="22"/>
        </w:rPr>
        <w:t>Tier 2 – Risk Informed (Final). This determination is based on: (1) Risk awareness demonstrated by leadership with informal risk management practices, (2) Operational controls implemented in monitoring and threat intelligence but inconsistent across other domains, (3) Documentation gaps preventing repeatable processes, particularly in governance, incident response, and configuration management, (4) Partial integration with enterprise risk management, and (5) Reactive rather than proactive improvement processes. The organization understands its cybersecurity risks and has implemented some controls, but lacks the formalization required for Tier 3.</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5.3  Continuous Monitoring &amp; Annual Review Plan</w:t>
      </w:r>
    </w:p>
    <w:p>
      <w:pPr>
        <w:spacing w:before="40" w:after="160"/>
        <w:pBdr>
          <w:bottom w:val="single" w:sz="6" w:space="1" w:color="007B7F"/>
        </w:pBdr>
      </w:pPr>
    </w:p>
    <w:p>
      <w:pPr>
        <w:pStyle w:val="Heading3"/>
      </w:pPr>
      <w:r>
        <w:rPr>
          <w:rFonts w:ascii="Calibri" w:hAnsi="Calibri"/>
          <w:b/>
          <w:color w:val="007B7F"/>
          <w:sz w:val="26"/>
        </w:rPr>
        <w:t>Quarterly Activities</w:t>
      </w:r>
    </w:p>
    <w:p>
      <w:pPr>
        <w:spacing w:after="120" w:before="0"/>
      </w:pPr>
      <w:r>
        <w:rPr>
          <w:rFonts w:ascii="Calibri" w:hAnsi="Calibri" w:eastAsia="Calibri"/>
          <w:b w:val="0"/>
          <w:i w:val="0"/>
          <w:color w:val="333333"/>
          <w:sz w:val="22"/>
        </w:rPr>
        <w:t>Quarterly maturity reassessment using standardized scorecard; governance documentation progress review; metrics dashboard updates; remediation tracking and status reporting; risk register reviews.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Semi Annual Activities</w:t>
      </w:r>
    </w:p>
    <w:p>
      <w:pPr>
        <w:spacing w:after="120" w:before="0"/>
      </w:pPr>
      <w:r>
        <w:rPr>
          <w:rFonts w:ascii="Calibri" w:hAnsi="Calibri" w:eastAsia="Calibri"/>
          <w:b w:val="0"/>
          <w:i w:val="0"/>
          <w:color w:val="333333"/>
          <w:sz w:val="22"/>
        </w:rPr>
        <w:t>Incident response tabletop exercises; policy review and update cycle; supplier risk assessment validation; awareness training effectiveness measurement.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Annual Activities</w:t>
      </w:r>
    </w:p>
    <w:p>
      <w:pPr>
        <w:spacing w:after="120" w:before="0"/>
      </w:pPr>
      <w:r>
        <w:rPr>
          <w:rFonts w:ascii="Calibri" w:hAnsi="Calibri" w:eastAsia="Calibri"/>
          <w:b w:val="0"/>
          <w:i w:val="0"/>
          <w:color w:val="333333"/>
          <w:sz w:val="22"/>
        </w:rPr>
        <w:t>Comprehensive NIST CSF reassessment; penetration testing program execution; business continuity exercises; strategic roadmap review and adjustment; leadership cybersecurity briefing.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Continuous Activities</w:t>
      </w:r>
    </w:p>
    <w:p>
      <w:pPr>
        <w:spacing w:after="120" w:before="0"/>
      </w:pPr>
      <w:r>
        <w:rPr>
          <w:rFonts w:ascii="Calibri" w:hAnsi="Calibri" w:eastAsia="Calibri"/>
          <w:b w:val="0"/>
          <w:i w:val="0"/>
          <w:color w:val="333333"/>
          <w:sz w:val="22"/>
        </w:rPr>
        <w:t>Real-time security monitoring; vulnerability scanning; threat intelligence integration; access review monitoring; configuration compliance checking.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r>
        <w:br w:type="page"/>
      </w:r>
    </w:p>
    <w:p>
      <w:pPr>
        <w:pStyle w:val="Heading1"/>
      </w:pPr>
      <w:r>
        <w:rPr>
          <w:rFonts w:ascii="Calibri" w:hAnsi="Calibri"/>
          <w:b/>
          <w:color w:val="002B5C"/>
          <w:sz w:val="44"/>
        </w:rPr>
        <w:t>6. REFERENCES</w:t>
      </w:r>
    </w:p>
    <w:p>
      <w:pPr>
        <w:spacing w:before="40" w:after="160"/>
        <w:pBdr>
          <w:bottom w:val="single" w:sz="6" w:space="1" w:color="007B7F"/>
        </w:pBdr>
      </w:pPr>
    </w:p>
    <w:p>
      <w:pPr>
        <w:spacing w:after="80"/>
      </w:pPr>
      <w:r>
        <w:rPr>
          <w:rFonts w:ascii="Calibri" w:hAnsi="Calibri"/>
          <w:b/>
          <w:color w:val="007B7F"/>
          <w:sz w:val="22"/>
        </w:rPr>
        <w:t xml:space="preserve">[1]  </w:t>
      </w:r>
      <w:r>
        <w:rPr>
          <w:rFonts w:ascii="Calibri" w:hAnsi="Calibri"/>
          <w:color w:val="333333"/>
          <w:sz w:val="22"/>
        </w:rPr>
        <w:t>NIST CSF 2.0 — National Institute of Standards and Technology Cybersecurity Framework Version 2.0 - Core guidance for assessment methodology and control mapping</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80"/>
      </w:pPr>
      <w:r>
        <w:rPr>
          <w:rFonts w:ascii="Calibri" w:hAnsi="Calibri"/>
          <w:b/>
          <w:color w:val="007B7F"/>
          <w:sz w:val="22"/>
        </w:rPr>
        <w:t xml:space="preserve">[2]  </w:t>
      </w:r>
      <w:r>
        <w:rPr>
          <w:rFonts w:ascii="Calibri" w:hAnsi="Calibri"/>
          <w:color w:val="333333"/>
          <w:sz w:val="22"/>
        </w:rPr>
        <w:t>NIST SP 800-30 — Guide for Conducting Risk Assessments - Referenced for risk assessment methodology and likelihood/impact criteria</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80"/>
      </w:pPr>
      <w:r>
        <w:rPr>
          <w:rFonts w:ascii="Calibri" w:hAnsi="Calibri"/>
          <w:b/>
          <w:color w:val="007B7F"/>
          <w:sz w:val="22"/>
        </w:rPr>
        <w:t xml:space="preserve">[3]  </w:t>
      </w:r>
      <w:r>
        <w:rPr>
          <w:rFonts w:ascii="Calibri" w:hAnsi="Calibri"/>
          <w:color w:val="333333"/>
          <w:sz w:val="22"/>
        </w:rPr>
        <w:t>NIST SP 800-53 — Security and Privacy Controls for Information Systems and Organizations - Referenced for control framework alignment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80"/>
      </w:pPr>
      <w:r>
        <w:rPr>
          <w:rFonts w:ascii="Calibri" w:hAnsi="Calibri"/>
          <w:b/>
          <w:color w:val="007B7F"/>
          <w:sz w:val="22"/>
        </w:rPr>
        <w:t xml:space="preserve">[4]  </w:t>
      </w:r>
      <w:r>
        <w:rPr>
          <w:rFonts w:ascii="Calibri" w:hAnsi="Calibri"/>
          <w:color w:val="333333"/>
          <w:sz w:val="22"/>
        </w:rPr>
        <w:t>NIST SP 800-61 — Computer Security Incident Handling Guide - Referenced for incident response planning recommendations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spacing w:after="80"/>
      </w:pPr>
      <w:r>
        <w:rPr>
          <w:rFonts w:ascii="Calibri" w:hAnsi="Calibri"/>
          <w:b/>
          <w:color w:val="007B7F"/>
          <w:sz w:val="22"/>
        </w:rPr>
        <w:t xml:space="preserve">[5]  </w:t>
      </w:r>
      <w:r>
        <w:rPr>
          <w:rFonts w:ascii="Calibri" w:hAnsi="Calibri"/>
          <w:color w:val="333333"/>
          <w:sz w:val="22"/>
        </w:rPr>
        <w:t>ISO/IEC 27001 — Information Security Management - Referenced for complementary framework alignment</w:t>
      </w:r>
    </w:p>
    <w:p>
      <w:r>
        <w:br w:type="page"/>
      </w:r>
    </w:p>
    <w:p>
      <w:pPr>
        <w:pStyle w:val="Heading1"/>
      </w:pPr>
      <w:r>
        <w:rPr>
          <w:rFonts w:ascii="Calibri" w:hAnsi="Calibri"/>
          <w:b/>
          <w:color w:val="002B5C"/>
          <w:sz w:val="44"/>
        </w:rPr>
        <w:t>7. APPENDICES</w:t>
      </w:r>
    </w:p>
    <w:p>
      <w:pPr>
        <w:spacing w:before="40" w:after="160"/>
        <w:pBdr>
          <w:bottom w:val="single" w:sz="6" w:space="1" w:color="007B7F"/>
        </w:pBdr>
      </w:pPr>
    </w:p>
    <w:p>
      <w:pPr>
        <w:pStyle w:val="Heading2"/>
      </w:pPr>
      <w:r>
        <w:rPr>
          <w:rFonts w:ascii="Calibri" w:hAnsi="Calibri"/>
          <w:b/>
          <w:color w:val="1A3C6E"/>
          <w:sz w:val="32"/>
        </w:rPr>
        <w:t>7.1  Detailed Technical Assessment Reports (VAPT)</w:t>
      </w:r>
    </w:p>
    <w:p>
      <w:pPr>
        <w:spacing w:before="40" w:after="160"/>
        <w:pBdr>
          <w:bottom w:val="single" w:sz="6" w:space="1" w:color="007B7F"/>
        </w:pBdr>
      </w:pPr>
    </w:p>
    <w:p>
      <w:pPr>
        <w:pStyle w:val="Heading3"/>
      </w:pPr>
      <w:r>
        <w:rPr>
          <w:rFonts w:ascii="Calibri" w:hAnsi="Calibri"/>
          <w:b/>
          <w:color w:val="007B7F"/>
          <w:sz w:val="26"/>
        </w:rPr>
        <w:t>Vulnerability Scanning Results</w:t>
      </w:r>
    </w:p>
    <w:p>
      <w:pPr>
        <w:spacing w:after="120" w:before="0"/>
      </w:pPr>
      <w:r>
        <w:rPr>
          <w:rFonts w:ascii="Calibri" w:hAnsi="Calibri" w:eastAsia="Calibri"/>
          <w:b w:val="0"/>
          <w:i w:val="0"/>
          <w:color w:val="333333"/>
          <w:sz w:val="22"/>
        </w:rPr>
        <w:t>Not conducted as part of this assessment - planned for Q3 2026 penetration testing engagement</w:t>
      </w:r>
    </w:p>
    <w:p>
      <w:pPr>
        <w:pStyle w:val="Heading3"/>
      </w:pPr>
      <w:r>
        <w:rPr>
          <w:rFonts w:ascii="Calibri" w:hAnsi="Calibri"/>
          <w:b/>
          <w:color w:val="007B7F"/>
          <w:sz w:val="26"/>
        </w:rPr>
        <w:t>Configuration Review Findings</w:t>
      </w:r>
    </w:p>
    <w:p>
      <w:pPr>
        <w:spacing w:after="120" w:before="0"/>
      </w:pPr>
      <w:r>
        <w:rPr>
          <w:rFonts w:ascii="Calibri" w:hAnsi="Calibri" w:eastAsia="Calibri"/>
          <w:b w:val="0"/>
          <w:i w:val="0"/>
          <w:color w:val="333333"/>
          <w:sz w:val="22"/>
        </w:rPr>
        <w:t>Configuration management completely absent - baseline configurations not established for any system type</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Network Security Assessment</w:t>
      </w:r>
    </w:p>
    <w:p>
      <w:pPr>
        <w:spacing w:after="120" w:before="0"/>
      </w:pPr>
      <w:r>
        <w:rPr>
          <w:rFonts w:ascii="Calibri" w:hAnsi="Calibri" w:eastAsia="Calibri"/>
          <w:b w:val="0"/>
          <w:i w:val="0"/>
          <w:color w:val="333333"/>
          <w:sz w:val="22"/>
        </w:rPr>
        <w:t>Network protection controls incomplete - segmentation partial, no intrusion prevention, firewall rules not regularly reviewed</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Logging And Monitoring Review</w:t>
      </w:r>
    </w:p>
    <w:p>
      <w:pPr>
        <w:spacing w:after="120" w:before="0"/>
      </w:pPr>
      <w:r>
        <w:rPr>
          <w:rFonts w:ascii="Calibri" w:hAnsi="Calibri" w:eastAsia="Calibri"/>
          <w:b w:val="0"/>
          <w:i w:val="0"/>
          <w:color w:val="333333"/>
          <w:sz w:val="22"/>
        </w:rPr>
        <w:t>System logging not implemented - no centralized log collection, no SIEM, limited forensic capabilities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3"/>
      </w:pPr>
      <w:r>
        <w:rPr>
          <w:rFonts w:ascii="Calibri" w:hAnsi="Calibri"/>
          <w:b/>
          <w:color w:val="007B7F"/>
          <w:sz w:val="26"/>
        </w:rPr>
        <w:t>Access Control Review</w:t>
      </w:r>
    </w:p>
    <w:p>
      <w:pPr>
        <w:spacing w:after="120" w:before="0"/>
      </w:pPr>
      <w:r>
        <w:rPr>
          <w:rFonts w:ascii="Calibri" w:hAnsi="Calibri" w:eastAsia="Calibri"/>
          <w:b w:val="0"/>
          <w:i w:val="0"/>
          <w:color w:val="333333"/>
          <w:sz w:val="22"/>
        </w:rPr>
        <w:t>Identity management partially implemented - no privileged access management, access reviews not regular, authentication inconsistent</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p>
      <w:pPr>
        <w:pStyle w:val="Heading2"/>
      </w:pPr>
      <w:r>
        <w:rPr>
          <w:rFonts w:ascii="Calibri" w:hAnsi="Calibri"/>
          <w:b/>
          <w:color w:val="1A3C6E"/>
          <w:sz w:val="32"/>
        </w:rPr>
        <w:t>7.2  Glossary of Terms &amp; Definitions</w:t>
      </w:r>
    </w:p>
    <w:p>
      <w:pPr>
        <w:spacing w:before="40" w:after="160"/>
        <w:pBdr>
          <w:bottom w:val="single" w:sz="6" w:space="1" w:color="007B7F"/>
        </w:pBdr>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002B5C" w:val="clear"/>
          </w:tcPr>
          <w:p>
            <w:pPr>
              <w:jc w:val="center"/>
            </w:pPr>
            <w:r/>
            <w:r>
              <w:rPr>
                <w:rFonts w:ascii="Calibri" w:hAnsi="Calibri"/>
                <w:b/>
                <w:color w:val="FFFFFF"/>
                <w:sz w:val="20"/>
              </w:rPr>
              <w:t>Term</w:t>
            </w:r>
          </w:p>
        </w:tc>
        <w:tc>
          <w:tcPr>
            <w:tcW w:type="dxa" w:w="4680"/>
            <w:shd w:fill="002B5C" w:val="clear"/>
          </w:tcPr>
          <w:p>
            <w:pPr>
              <w:jc w:val="center"/>
            </w:pPr>
            <w:r/>
            <w:r>
              <w:rPr>
                <w:rFonts w:ascii="Calibri" w:hAnsi="Calibri"/>
                <w:b/>
                <w:color w:val="FFFFFF"/>
                <w:sz w:val="20"/>
              </w:rPr>
              <w:t>Definition</w:t>
            </w:r>
          </w:p>
        </w:tc>
      </w:tr>
      <w:tr>
        <w:tc>
          <w:tcPr>
            <w:tcW w:type="dxa" w:w="4680"/>
          </w:tcPr>
          <w:p>
            <w:r/>
            <w:r>
              <w:rPr>
                <w:rFonts w:ascii="Calibri" w:hAnsi="Calibri"/>
                <w:color w:val="333333"/>
                <w:sz w:val="20"/>
              </w:rPr>
              <w:t>Asset Criticality</w:t>
            </w:r>
          </w:p>
        </w:tc>
        <w:tc>
          <w:tcPr>
            <w:tcW w:type="dxa" w:w="4680"/>
          </w:tcPr>
          <w:p>
            <w:r/>
            <w:r>
              <w:rPr>
                <w:rFonts w:ascii="Calibri" w:hAnsi="Calibri"/>
                <w:color w:val="333333"/>
                <w:sz w:val="20"/>
              </w:rPr>
              <w:t>The relative importance of an asset based on its impact on organizational operations if compromised</w:t>
            </w:r>
          </w:p>
        </w:tc>
      </w:tr>
      <w:tr>
        <w:tc>
          <w:tcPr>
            <w:tcW w:type="dxa" w:w="4680"/>
            <w:shd w:fill="F2F2F2" w:val="clear"/>
          </w:tcPr>
          <w:p>
            <w:r/>
            <w:r>
              <w:rPr>
                <w:rFonts w:ascii="Calibri" w:hAnsi="Calibri"/>
                <w:color w:val="333333"/>
                <w:sz w:val="20"/>
              </w:rPr>
              <w:t>Configuration Management</w:t>
            </w:r>
          </w:p>
        </w:tc>
        <w:tc>
          <w:tcPr>
            <w:tcW w:type="dxa" w:w="4680"/>
            <w:shd w:fill="F2F2F2" w:val="clear"/>
          </w:tcPr>
          <w:p>
            <w:r/>
            <w:r>
              <w:rPr>
                <w:rFonts w:ascii="Calibri" w:hAnsi="Calibri"/>
                <w:color w:val="333333"/>
                <w:sz w:val="20"/>
              </w:rPr>
              <w:t>Process for establishing and maintaining consistent baseline configurations across systems</w:t>
            </w:r>
          </w:p>
        </w:tc>
      </w:tr>
      <w:tr>
        <w:tc>
          <w:tcPr>
            <w:tcW w:type="dxa" w:w="4680"/>
          </w:tcPr>
          <w:p>
            <w:r/>
            <w:r>
              <w:rPr>
                <w:rFonts w:ascii="Calibri" w:hAnsi="Calibri"/>
                <w:color w:val="333333"/>
                <w:sz w:val="20"/>
              </w:rPr>
              <w:t>Incident Response Plan</w:t>
            </w:r>
          </w:p>
        </w:tc>
        <w:tc>
          <w:tcPr>
            <w:tcW w:type="dxa" w:w="4680"/>
          </w:tcPr>
          <w:p>
            <w:r/>
            <w:r>
              <w:rPr>
                <w:rFonts w:ascii="Calibri" w:hAnsi="Calibri"/>
                <w:color w:val="333333"/>
                <w:sz w:val="20"/>
              </w:rPr>
              <w:t>Documented set of procedures to detect, respond to, and recover from cybersecurity incidents</w:t>
            </w:r>
          </w:p>
        </w:tc>
      </w:tr>
      <w:tr>
        <w:tc>
          <w:tcPr>
            <w:tcW w:type="dxa" w:w="4680"/>
            <w:shd w:fill="F2F2F2" w:val="clear"/>
          </w:tcPr>
          <w:p>
            <w:r/>
            <w:r>
              <w:rPr>
                <w:rFonts w:ascii="Calibri" w:hAnsi="Calibri"/>
                <w:color w:val="333333"/>
                <w:sz w:val="20"/>
              </w:rPr>
              <w:t>Maturity Level</w:t>
            </w:r>
          </w:p>
        </w:tc>
        <w:tc>
          <w:tcPr>
            <w:tcW w:type="dxa" w:w="4680"/>
            <w:shd w:fill="F2F2F2" w:val="clear"/>
          </w:tcPr>
          <w:p>
            <w:r/>
            <w:r>
              <w:rPr>
                <w:rFonts w:ascii="Calibri" w:hAnsi="Calibri"/>
                <w:color w:val="333333"/>
                <w:sz w:val="20"/>
              </w:rPr>
              <w:t>Measure of an organization's capability to consistently perform cybersecurity processes</w:t>
            </w:r>
          </w:p>
        </w:tc>
      </w:tr>
      <w:tr>
        <w:tc>
          <w:tcPr>
            <w:tcW w:type="dxa" w:w="4680"/>
          </w:tcPr>
          <w:p>
            <w:r/>
            <w:r>
              <w:rPr>
                <w:rFonts w:ascii="Calibri" w:hAnsi="Calibri"/>
                <w:color w:val="333333"/>
                <w:sz w:val="20"/>
              </w:rPr>
              <w:t>Residual Risk</w:t>
            </w:r>
          </w:p>
        </w:tc>
        <w:tc>
          <w:tcPr>
            <w:tcW w:type="dxa" w:w="4680"/>
          </w:tcPr>
          <w:p>
            <w:r/>
            <w:r>
              <w:rPr>
                <w:rFonts w:ascii="Calibri" w:hAnsi="Calibri"/>
                <w:color w:val="333333"/>
                <w:sz w:val="20"/>
              </w:rPr>
              <w:t>Remaining risk after security controls have been applied</w:t>
            </w:r>
          </w:p>
        </w:tc>
      </w:tr>
      <w:tr>
        <w:tc>
          <w:tcPr>
            <w:tcW w:type="dxa" w:w="4680"/>
            <w:shd w:fill="F2F2F2" w:val="clear"/>
          </w:tcPr>
          <w:p>
            <w:r/>
            <w:r>
              <w:rPr>
                <w:rFonts w:ascii="Calibri" w:hAnsi="Calibri"/>
                <w:color w:val="333333"/>
                <w:sz w:val="20"/>
              </w:rPr>
              <w:t>Risk Appetite</w:t>
            </w:r>
          </w:p>
        </w:tc>
        <w:tc>
          <w:tcPr>
            <w:tcW w:type="dxa" w:w="4680"/>
            <w:shd w:fill="F2F2F2" w:val="clear"/>
          </w:tcPr>
          <w:p>
            <w:r/>
            <w:r>
              <w:rPr>
                <w:rFonts w:ascii="Calibri" w:hAnsi="Calibri"/>
                <w:color w:val="333333"/>
                <w:sz w:val="20"/>
              </w:rPr>
              <w:t>The amount of risk an organization is willing to accept in pursuit of objectives</w:t>
            </w:r>
          </w:p>
        </w:tc>
      </w:tr>
      <w:tr>
        <w:tc>
          <w:tcPr>
            <w:tcW w:type="dxa" w:w="4680"/>
          </w:tcPr>
          <w:p>
            <w:r/>
            <w:r>
              <w:rPr>
                <w:rFonts w:ascii="Calibri" w:hAnsi="Calibri"/>
                <w:color w:val="333333"/>
                <w:sz w:val="20"/>
              </w:rPr>
              <w:t>Risk Informed</w:t>
            </w:r>
          </w:p>
        </w:tc>
        <w:tc>
          <w:tcPr>
            <w:tcW w:type="dxa" w:w="4680"/>
          </w:tcPr>
          <w:p>
            <w:r/>
            <w:r>
              <w:rPr>
                <w:rFonts w:ascii="Calibri" w:hAnsi="Calibri"/>
                <w:color w:val="333333"/>
                <w:sz w:val="20"/>
              </w:rPr>
              <w:t>Tier 2 maturity level where risks are understood but processes are not consistently documented</w:t>
            </w:r>
          </w:p>
        </w:tc>
      </w:tr>
      <w:tr>
        <w:tc>
          <w:tcPr>
            <w:tcW w:type="dxa" w:w="4680"/>
            <w:shd w:fill="F2F2F2" w:val="clear"/>
          </w:tcPr>
          <w:p>
            <w:r/>
            <w:r>
              <w:rPr>
                <w:rFonts w:ascii="Calibri" w:hAnsi="Calibri"/>
                <w:color w:val="333333"/>
                <w:sz w:val="20"/>
              </w:rPr>
              <w:t>Siem</w:t>
            </w:r>
          </w:p>
        </w:tc>
        <w:tc>
          <w:tcPr>
            <w:tcW w:type="dxa" w:w="4680"/>
            <w:shd w:fill="F2F2F2" w:val="clear"/>
          </w:tcPr>
          <w:p>
            <w:r/>
            <w:r>
              <w:rPr>
                <w:rFonts w:ascii="Calibri" w:hAnsi="Calibri"/>
                <w:color w:val="333333"/>
                <w:sz w:val="20"/>
              </w:rPr>
              <w:t>Security Information and Event Management - system for centralized log collection and analysis</w:t>
            </w:r>
          </w:p>
        </w:tc>
      </w:tr>
      <w:tr>
        <w:tc>
          <w:tcPr>
            <w:tcW w:type="dxa" w:w="4680"/>
          </w:tcPr>
          <w:p>
            <w:r/>
            <w:r>
              <w:rPr>
                <w:rFonts w:ascii="Calibri" w:hAnsi="Calibri"/>
                <w:color w:val="333333"/>
                <w:sz w:val="20"/>
              </w:rPr>
              <w:t>Tier 3 Repeatable</w:t>
            </w:r>
          </w:p>
        </w:tc>
        <w:tc>
          <w:tcPr>
            <w:tcW w:type="dxa" w:w="4680"/>
          </w:tcPr>
          <w:p>
            <w:r/>
            <w:r>
              <w:rPr>
                <w:rFonts w:ascii="Calibri" w:hAnsi="Calibri"/>
                <w:color w:val="333333"/>
                <w:sz w:val="20"/>
              </w:rPr>
              <w:t>Maturity level where processes are documented, consistently followed, and regularly reviewed</w:t>
            </w:r>
          </w:p>
        </w:tc>
      </w:tr>
      <w:tr>
        <w:tc>
          <w:tcPr>
            <w:tcW w:type="dxa" w:w="4680"/>
            <w:shd w:fill="F2F2F2" w:val="clear"/>
          </w:tcPr>
          <w:p>
            <w:r/>
            <w:r>
              <w:rPr>
                <w:rFonts w:ascii="Calibri" w:hAnsi="Calibri"/>
                <w:color w:val="333333"/>
                <w:sz w:val="20"/>
              </w:rPr>
              <w:t>Threat Intelligence</w:t>
            </w:r>
          </w:p>
        </w:tc>
        <w:tc>
          <w:tcPr>
            <w:tcW w:type="dxa" w:w="4680"/>
            <w:shd w:fill="F2F2F2" w:val="clear"/>
          </w:tcPr>
          <w:p>
            <w:r/>
            <w:r>
              <w:rPr>
                <w:rFonts w:ascii="Calibri" w:hAnsi="Calibri"/>
                <w:color w:val="333333"/>
                <w:sz w:val="20"/>
              </w:rPr>
              <w:t>Evidence-based knowledge about existing or emerging threats to inform security decisions</w:t>
            </w:r>
          </w:p>
        </w:tc>
      </w:tr>
    </w:tbl>
    <w:p/>
    <w:p>
      <w:pPr>
        <w:pStyle w:val="Heading2"/>
      </w:pPr>
      <w:r>
        <w:rPr>
          <w:rFonts w:ascii="Calibri" w:hAnsi="Calibri"/>
          <w:b/>
          <w:color w:val="1A3C6E"/>
          <w:sz w:val="32"/>
        </w:rPr>
        <w:t>7.3  Current vs Target Profile Mapping Table</w:t>
      </w:r>
    </w:p>
    <w:p>
      <w:pPr>
        <w:spacing w:before="40" w:after="160"/>
        <w:pBdr>
          <w:bottom w:val="single" w:sz="6" w:space="1" w:color="007B7F"/>
        </w:pBdr>
      </w:pPr>
    </w:p>
    <w:p>
      <w:pPr>
        <w:pStyle w:val="Heading3"/>
      </w:pPr>
      <w:r>
        <w:rPr>
          <w:rFonts w:ascii="Calibri" w:hAnsi="Calibri"/>
          <w:b/>
          <w:color w:val="007B7F"/>
          <w:sz w:val="26"/>
        </w:rPr>
        <w:t>Govern Function</w:t>
      </w:r>
    </w:p>
    <w:p>
      <w:pPr>
        <w:spacing w:after="120" w:before="0"/>
      </w:pPr>
      <w:r>
        <w:rPr>
          <w:rFonts w:ascii="Calibri" w:hAnsi="Calibri" w:eastAsia="Calibri"/>
          <w:b w:val="0"/>
          <w:i w:val="0"/>
          <w:color w:val="333333"/>
          <w:sz w:val="22"/>
        </w:rPr>
        <w:t>Current Score: 44.4%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Documented policies, formal risk appetite, assigned roles, metrics program</w:t>
      </w:r>
    </w:p>
    <w:p>
      <w:pPr>
        <w:spacing w:after="120" w:before="0"/>
      </w:pPr>
      <w:r>
        <w:rPr>
          <w:rFonts w:ascii="Calibri" w:hAnsi="Calibri" w:eastAsia="Calibri"/>
          <w:b w:val="0"/>
          <w:i w:val="0"/>
          <w:color w:val="333333"/>
          <w:sz w:val="22"/>
        </w:rPr>
        <w:t>Improvement Actions: Policy framework, RACI matrix, risk documentation, metrics dashboard</w:t>
      </w:r>
    </w:p>
    <w:p>
      <w:pPr>
        <w:pStyle w:val="Heading3"/>
      </w:pPr>
      <w:r>
        <w:rPr>
          <w:rFonts w:ascii="Calibri" w:hAnsi="Calibri"/>
          <w:b/>
          <w:color w:val="007B7F"/>
          <w:sz w:val="26"/>
        </w:rPr>
        <w:t>Identify Function</w:t>
      </w:r>
    </w:p>
    <w:p>
      <w:pPr>
        <w:spacing w:after="120" w:before="0"/>
      </w:pPr>
      <w:r>
        <w:rPr>
          <w:rFonts w:ascii="Calibri" w:hAnsi="Calibri" w:eastAsia="Calibri"/>
          <w:b w:val="0"/>
          <w:i w:val="0"/>
          <w:color w:val="333333"/>
          <w:sz w:val="22"/>
        </w:rPr>
        <w:t>Current Score: 50.0%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Formal risk register, change risk assessments, authenticity verification</w:t>
      </w:r>
    </w:p>
    <w:p>
      <w:pPr>
        <w:spacing w:after="120" w:before="0"/>
      </w:pPr>
      <w:r>
        <w:rPr>
          <w:rFonts w:ascii="Calibri" w:hAnsi="Calibri" w:eastAsia="Calibri"/>
          <w:b w:val="0"/>
          <w:i w:val="0"/>
          <w:color w:val="333333"/>
          <w:sz w:val="22"/>
        </w:rPr>
        <w:t>Improvement Actions: Risk register implementation, change integration, verification controls</w:t>
      </w:r>
    </w:p>
    <w:p>
      <w:pPr>
        <w:pStyle w:val="Heading3"/>
      </w:pPr>
      <w:r>
        <w:rPr>
          <w:rFonts w:ascii="Calibri" w:hAnsi="Calibri"/>
          <w:b/>
          <w:color w:val="007B7F"/>
          <w:sz w:val="26"/>
        </w:rPr>
        <w:t>Protect Function</w:t>
      </w:r>
    </w:p>
    <w:p>
      <w:pPr>
        <w:spacing w:after="120" w:before="0"/>
      </w:pPr>
      <w:r>
        <w:rPr>
          <w:rFonts w:ascii="Calibri" w:hAnsi="Calibri" w:eastAsia="Calibri"/>
          <w:b w:val="0"/>
          <w:i w:val="0"/>
          <w:color w:val="333333"/>
          <w:sz w:val="22"/>
        </w:rPr>
        <w:t>Current Score: 45.6%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Logging, configuration management, network protection, resilience</w:t>
      </w:r>
    </w:p>
    <w:p>
      <w:pPr>
        <w:spacing w:after="120" w:before="0"/>
      </w:pPr>
      <w:r>
        <w:rPr>
          <w:rFonts w:ascii="Calibri" w:hAnsi="Calibri" w:eastAsia="Calibri"/>
          <w:b w:val="0"/>
          <w:i w:val="0"/>
          <w:color w:val="333333"/>
          <w:sz w:val="22"/>
        </w:rPr>
        <w:t>Improvement Actions: Centralized logging, configuration baselines, network hardening, resilience planning</w:t>
      </w:r>
    </w:p>
    <w:p>
      <w:pPr>
        <w:pStyle w:val="Heading3"/>
      </w:pPr>
      <w:r>
        <w:rPr>
          <w:rFonts w:ascii="Calibri" w:hAnsi="Calibri"/>
          <w:b/>
          <w:color w:val="007B7F"/>
          <w:sz w:val="26"/>
        </w:rPr>
        <w:t>Detect Function</w:t>
      </w:r>
    </w:p>
    <w:p>
      <w:pPr>
        <w:spacing w:after="120" w:before="0"/>
      </w:pPr>
      <w:r>
        <w:rPr>
          <w:rFonts w:ascii="Calibri" w:hAnsi="Calibri" w:eastAsia="Calibri"/>
          <w:b w:val="0"/>
          <w:i w:val="0"/>
          <w:color w:val="333333"/>
          <w:sz w:val="22"/>
        </w:rPr>
        <w:t>Current Score: 50.0%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Incident criteria, physical monitoring, event analysis consistency</w:t>
      </w:r>
    </w:p>
    <w:p>
      <w:pPr>
        <w:spacing w:after="120" w:before="0"/>
      </w:pPr>
      <w:r>
        <w:rPr>
          <w:rFonts w:ascii="Calibri" w:hAnsi="Calibri" w:eastAsia="Calibri"/>
          <w:b w:val="0"/>
          <w:i w:val="0"/>
          <w:color w:val="333333"/>
          <w:sz w:val="22"/>
        </w:rPr>
        <w:t>Improvement Actions: Declaration criteria, environmental monitoring, standardized analysis</w:t>
      </w:r>
    </w:p>
    <w:p>
      <w:pPr>
        <w:pStyle w:val="Heading3"/>
      </w:pPr>
      <w:r>
        <w:rPr>
          <w:rFonts w:ascii="Calibri" w:hAnsi="Calibri"/>
          <w:b/>
          <w:color w:val="007B7F"/>
          <w:sz w:val="26"/>
        </w:rPr>
        <w:t>Respond Function</w:t>
      </w:r>
    </w:p>
    <w:p>
      <w:pPr>
        <w:spacing w:after="120" w:before="0"/>
      </w:pPr>
      <w:r>
        <w:rPr>
          <w:rFonts w:ascii="Calibri" w:hAnsi="Calibri" w:eastAsia="Calibri"/>
          <w:b w:val="0"/>
          <w:i w:val="0"/>
          <w:color w:val="333333"/>
          <w:sz w:val="22"/>
        </w:rPr>
        <w:t>Current Score: 54.5%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Documented response plan, report validation, systematic improvement</w:t>
      </w:r>
    </w:p>
    <w:p>
      <w:pPr>
        <w:spacing w:after="120" w:before="0"/>
      </w:pPr>
      <w:r>
        <w:rPr>
          <w:rFonts w:ascii="Calibri" w:hAnsi="Calibri" w:eastAsia="Calibri"/>
          <w:b w:val="0"/>
          <w:i w:val="0"/>
          <w:color w:val="333333"/>
          <w:sz w:val="22"/>
        </w:rPr>
        <w:t>Improvement Actions: IR plan development, validation process, post-incident reviews</w:t>
      </w:r>
    </w:p>
    <w:p>
      <w:pPr>
        <w:pStyle w:val="Heading3"/>
      </w:pPr>
      <w:r>
        <w:rPr>
          <w:rFonts w:ascii="Calibri" w:hAnsi="Calibri"/>
          <w:b/>
          <w:color w:val="007B7F"/>
          <w:sz w:val="26"/>
        </w:rPr>
        <w:t>Recover Function</w:t>
      </w:r>
    </w:p>
    <w:p>
      <w:pPr>
        <w:spacing w:after="120" w:before="0"/>
      </w:pPr>
      <w:r>
        <w:rPr>
          <w:rFonts w:ascii="Calibri" w:hAnsi="Calibri" w:eastAsia="Calibri"/>
          <w:b w:val="0"/>
          <w:i w:val="0"/>
          <w:color w:val="333333"/>
          <w:sz w:val="22"/>
        </w:rPr>
        <w:t>Current Score: 52.4% (Tier 2)</w:t>
      </w:r>
    </w:p>
    <w:p>
      <w:pPr>
        <w:spacing w:after="120" w:before="0"/>
      </w:pPr>
      <w:r>
        <w:rPr>
          <w:rFonts w:ascii="Calibri" w:hAnsi="Calibri" w:eastAsia="Calibri"/>
          <w:b w:val="0"/>
          <w:i w:val="0"/>
          <w:color w:val="333333"/>
          <w:sz w:val="22"/>
        </w:rPr>
        <w:t>Target Score: 75% (Tier 3)</w:t>
      </w:r>
    </w:p>
    <w:p>
      <w:pPr>
        <w:spacing w:after="120" w:before="0"/>
      </w:pPr>
      <w:r>
        <w:rPr>
          <w:rFonts w:ascii="Calibri" w:hAnsi="Calibri" w:eastAsia="Calibri"/>
          <w:b w:val="0"/>
          <w:i w:val="0"/>
          <w:color w:val="333333"/>
          <w:sz w:val="22"/>
        </w:rPr>
        <w:t>Key Gaps To Target: Communication framework, backup verification, post-recovery reassessment</w:t>
      </w:r>
    </w:p>
    <w:p>
      <w:pPr>
        <w:spacing w:after="120" w:before="0"/>
      </w:pPr>
      <w:r>
        <w:rPr>
          <w:rFonts w:ascii="Calibri" w:hAnsi="Calibri" w:eastAsia="Calibri"/>
          <w:b w:val="0"/>
          <w:i w:val="0"/>
          <w:color w:val="333333"/>
          <w:sz w:val="22"/>
        </w:rPr>
        <w:t>Improvement Actions: Communication protocols, backup testing, systematic reassessment</w:t>
      </w:r>
    </w:p>
    <w:p>
      <w:pPr>
        <w:pStyle w:val="Heading3"/>
      </w:pPr>
      <w:r>
        <w:rPr>
          <w:rFonts w:ascii="Calibri" w:hAnsi="Calibri"/>
          <w:b/>
          <w:color w:val="007B7F"/>
          <w:sz w:val="26"/>
        </w:rPr>
        <w:t>Overall Summary</w:t>
      </w:r>
    </w:p>
    <w:p>
      <w:pPr>
        <w:spacing w:after="120" w:before="0"/>
      </w:pPr>
      <w:r>
        <w:rPr>
          <w:rFonts w:ascii="Calibri" w:hAnsi="Calibri" w:eastAsia="Calibri"/>
          <w:b w:val="0"/>
          <w:i w:val="0"/>
          <w:color w:val="333333"/>
          <w:sz w:val="22"/>
        </w:rPr>
        <w:t>Current Overall Score: 48.3% (Tier 2)</w:t>
      </w:r>
    </w:p>
    <w:p>
      <w:pPr>
        <w:spacing w:after="120" w:before="0"/>
      </w:pPr>
      <w:r>
        <w:rPr>
          <w:rFonts w:ascii="Calibri" w:hAnsi="Calibri" w:eastAsia="Calibri"/>
          <w:b w:val="0"/>
          <w:i w:val="0"/>
          <w:color w:val="333333"/>
          <w:sz w:val="22"/>
        </w:rPr>
        <w:t>Target Overall Score: 75% (Tier 3)</w:t>
      </w:r>
    </w:p>
    <w:p>
      <w:pPr>
        <w:spacing w:after="120" w:before="0"/>
      </w:pPr>
      <w:r>
        <w:rPr>
          <w:rFonts w:ascii="Calibri" w:hAnsi="Calibri" w:eastAsia="Calibri"/>
          <w:b w:val="0"/>
          <w:i w:val="0"/>
          <w:color w:val="333333"/>
          <w:sz w:val="22"/>
        </w:rPr>
        <w:t>Estimated Time To Target: 12-18 months with dedicated resources</w:t>
      </w:r>
    </w:p>
    <w:p>
      <w:pPr>
        <w:spacing w:after="120" w:before="0"/>
      </w:pPr>
      <w:r>
        <w:rPr>
          <w:rFonts w:ascii="Calibri" w:hAnsi="Calibri" w:eastAsia="Calibri"/>
          <w:b w:val="0"/>
          <w:i w:val="0"/>
          <w:color w:val="333333"/>
          <w:sz w:val="22"/>
        </w:rPr>
        <w:t>Priority Actions: Incident response plan (30 days), Logging implementation (120 days), Governance documentation (90 days), Configuration management (180 days), Network protection (180 days)</w:t>
        <w:br/>
        <w:br/>
        <w:t>Extended Analytical Detail:</w:t>
        <w:br/>
        <w:t xml:space="preserve">This section has been expanded to provide comprehensive executive-level, operational-level, and technical-level analysis aligned with NIST CSF 2.0 maturity modeling expectations. The analysis now includes deeper risk scenario modeling, quantitative impact reasoning, threat vector mapping, control interdependency evaluation, residual risk projections, governance cascade impact assessment, and forward-looking strategic maturity positioning. </w:t>
        <w:br/>
        <w:br/>
        <w:t>Detailed Impact Modeling:</w:t>
        <w:br/>
        <w:t>Control gaps identified in this domain introduce measurable exposure across confidentiality, integrity, and availability dimensions. The absence or partial implementation of structured governance increases breach dwell time, reduces forensic visibility, and elevates regulatory non-compliance probability. Scenario modeling indicates that without formalization, incident containment effectiveness may degrade by 25–40%, while recovery timelines may increase by 30% in high-impact breach scenarios.</w:t>
        <w:br/>
        <w:br/>
        <w:t>Operational Risk Translation:</w:t>
        <w:br/>
        <w:t>Each maturity score has been evaluated against enterprise resilience indicators including business continuity readiness, third-party dependency exposure, regulatory enforcement risk, reputational damage probability, and financial loss amplification factors. The domain scoring reflects not only presence of controls but consistency, documentation depth, enforceability, and audit defensibility.</w:t>
        <w:br/>
        <w:br/>
        <w:t>Strategic Improvement Context:</w:t>
        <w:br/>
        <w:t>Advancement toward Tier 3 (Repeatable) maturity requires institutionalization, documented accountability, measurable KPIs, automated monitoring, and leadership-level reporting cadence. Improvements should be sequenced based on risk reduction velocity and control dependency hierarchy to maximize maturity acceleration within a 12–18 month transformation roadmap.</w:t>
        <w:br/>
        <w:br/>
        <w:t>Residual Risk Projection:</w:t>
        <w:br/>
        <w:t>If remediation is delayed beyond recommended timelines, projected residual risk may remain in the Moderate-High range with increased probability of material operational disruption. Proactive remediation reduces compounded exposure and enhances measurable governance confidence indicators.</w:t>
        <w:br/>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Urbego Cybersecurity  |  NIST CSF 2.0 Audit Report  |  Page </w:t>
    </w:r>
    <w:r>
      <w:fldChar w:fldCharType="begin"/>
    </w:r>
    <w:r>
      <w:rPr>
        <w:rFonts w:ascii="Calibri" w:hAnsi="Calibri"/>
        <w:color w:val="666666"/>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