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color w:val="007B7F"/>
          <w:sz w:val="28"/>
        </w:rPr>
        <w:t>━━━━━━━━━━━━━━━━━━━━━━━━━━━━━━━━━━━━━━━━━━━━━━━━━━</w:t>
      </w:r>
    </w:p>
    <w:p/>
    <w:p>
      <w:pPr>
        <w:jc w:val="center"/>
      </w:pPr>
      <w:r>
        <w:rPr>
          <w:rFonts w:ascii="Calibri" w:hAnsi="Calibri"/>
          <w:b/>
          <w:color w:val="002B5C"/>
          <w:sz w:val="64"/>
        </w:rPr>
        <w:t>NIST CYBERSECURITY FRAMEWORK 2.0</w:t>
      </w:r>
    </w:p>
    <w:p>
      <w:pPr>
        <w:jc w:val="center"/>
      </w:pPr>
      <w:r>
        <w:rPr>
          <w:rFonts w:ascii="Calibri" w:hAnsi="Calibri"/>
          <w:b/>
          <w:color w:val="007B7F"/>
          <w:sz w:val="36"/>
        </w:rPr>
        <w:t>COMPREHENSIVE AUDIT REPORT</w:t>
      </w:r>
    </w:p>
    <w:p>
      <w:pPr>
        <w:jc w:val="center"/>
      </w:pPr>
      <w:r>
        <w:rPr>
          <w:color w:val="007B7F"/>
          <w:sz w:val="28"/>
        </w:rPr>
        <w:t>━━━━━━━━━━━━━━━━━━━━━━━━━━━━━━━━━━━━━━━━━━━━━━━━━━</w:t>
      </w:r>
    </w:p>
    <w:p/>
    <w:p/>
    <w:p>
      <w:pPr>
        <w:jc w:val="center"/>
      </w:pPr>
      <w:r>
        <w:rPr>
          <w:rFonts w:ascii="Calibri" w:hAnsi="Calibri"/>
          <w:color w:val="1A3C6E"/>
          <w:sz w:val="44"/>
        </w:rPr>
        <w:t>Urbego Cybersecurity</w:t>
      </w:r>
    </w:p>
    <w:p/>
    <w:p>
      <w:pPr>
        <w:jc w:val="center"/>
      </w:pPr>
      <w:r>
        <w:rPr>
          <w:rFonts w:ascii="Calibri" w:hAnsi="Calibri"/>
          <w:color w:val="666666"/>
          <w:sz w:val="26"/>
        </w:rPr>
        <w:t>Assessment Date: February 24, 2026</w:t>
      </w:r>
    </w:p>
    <w:p/>
    <w:tbl>
      <w:tblPr>
        <w:tblW w:type="auto" w:w="0"/>
        <w:jc w:val="center"/>
        <w:tblLayout w:type="autofi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4680"/>
        <w:gridCol w:w="4680"/>
      </w:tblGrid>
      <w:tr>
        <w:tc>
          <w:tcPr>
            <w:tcW w:type="dxa" w:w="4680"/>
            <w:shd w:fill="002B5C" w:val="clear"/>
          </w:tcPr>
          <w:p>
            <w:pPr>
              <w:jc w:val="center"/>
            </w:pPr>
            <w:r/>
            <w:r>
              <w:rPr>
                <w:rFonts w:ascii="Calibri" w:hAnsi="Calibri"/>
                <w:b/>
                <w:color w:val="FFFFFF"/>
                <w:sz w:val="20"/>
              </w:rPr>
              <w:t>Field</w:t>
            </w:r>
          </w:p>
        </w:tc>
        <w:tc>
          <w:tcPr>
            <w:tcW w:type="dxa" w:w="4680"/>
            <w:shd w:fill="002B5C" w:val="clear"/>
          </w:tcPr>
          <w:p>
            <w:pPr>
              <w:jc w:val="center"/>
            </w:pPr>
            <w:r/>
            <w:r>
              <w:rPr>
                <w:rFonts w:ascii="Calibri" w:hAnsi="Calibri"/>
                <w:b/>
                <w:color w:val="FFFFFF"/>
                <w:sz w:val="20"/>
              </w:rPr>
              <w:t>Details</w:t>
            </w:r>
          </w:p>
        </w:tc>
      </w:tr>
      <w:tr>
        <w:tc>
          <w:tcPr>
            <w:tcW w:type="dxa" w:w="4680"/>
          </w:tcPr>
          <w:p>
            <w:r/>
            <w:r>
              <w:rPr>
                <w:rFonts w:ascii="Calibri" w:hAnsi="Calibri"/>
                <w:color w:val="333333"/>
                <w:sz w:val="20"/>
              </w:rPr>
              <w:t>Report ID</w:t>
            </w:r>
          </w:p>
        </w:tc>
        <w:tc>
          <w:tcPr>
            <w:tcW w:type="dxa" w:w="4680"/>
          </w:tcPr>
          <w:p>
            <w:r/>
            <w:r>
              <w:rPr>
                <w:rFonts w:ascii="Calibri" w:hAnsi="Calibri"/>
                <w:color w:val="333333"/>
                <w:sz w:val="20"/>
              </w:rPr>
              <w:t>NIST-CSF-2026-001</w:t>
            </w:r>
          </w:p>
        </w:tc>
      </w:tr>
      <w:tr>
        <w:tc>
          <w:tcPr>
            <w:tcW w:type="dxa" w:w="4680"/>
            <w:shd w:fill="F2F2F2" w:val="clear"/>
          </w:tcPr>
          <w:p>
            <w:r/>
            <w:r>
              <w:rPr>
                <w:rFonts w:ascii="Calibri" w:hAnsi="Calibri"/>
                <w:color w:val="333333"/>
                <w:sz w:val="20"/>
              </w:rPr>
              <w:t>Implementation Tier</w:t>
            </w:r>
          </w:p>
        </w:tc>
        <w:tc>
          <w:tcPr>
            <w:tcW w:type="dxa" w:w="4680"/>
            <w:shd w:fill="F2F2F2" w:val="clear"/>
          </w:tcPr>
          <w:p>
            <w:r/>
            <w:r>
              <w:rPr>
                <w:rFonts w:ascii="Calibri" w:hAnsi="Calibri"/>
                <w:color w:val="333333"/>
                <w:sz w:val="20"/>
              </w:rPr>
              <w:t>Tier 2 – Risk Informed</w:t>
            </w:r>
          </w:p>
        </w:tc>
      </w:tr>
      <w:tr>
        <w:tc>
          <w:tcPr>
            <w:tcW w:type="dxa" w:w="4680"/>
          </w:tcPr>
          <w:p>
            <w:r/>
            <w:r>
              <w:rPr>
                <w:rFonts w:ascii="Calibri" w:hAnsi="Calibri"/>
                <w:color w:val="333333"/>
                <w:sz w:val="20"/>
              </w:rPr>
              <w:t>Prepared By</w:t>
            </w:r>
          </w:p>
        </w:tc>
        <w:tc>
          <w:tcPr>
            <w:tcW w:type="dxa" w:w="4680"/>
          </w:tcPr>
          <w:p>
            <w:r/>
            <w:r>
              <w:rPr>
                <w:rFonts w:ascii="Calibri" w:hAnsi="Calibri"/>
                <w:color w:val="333333"/>
                <w:sz w:val="20"/>
              </w:rPr>
              <w:t>Internal Audit Team</w:t>
            </w:r>
          </w:p>
        </w:tc>
      </w:tr>
      <w:tr>
        <w:tc>
          <w:tcPr>
            <w:tcW w:type="dxa" w:w="4680"/>
            <w:shd w:fill="F2F2F2" w:val="clear"/>
          </w:tcPr>
          <w:p>
            <w:r/>
            <w:r>
              <w:rPr>
                <w:rFonts w:ascii="Calibri" w:hAnsi="Calibri"/>
                <w:color w:val="333333"/>
                <w:sz w:val="20"/>
              </w:rPr>
              <w:t>Approved By</w:t>
            </w:r>
          </w:p>
        </w:tc>
        <w:tc>
          <w:tcPr>
            <w:tcW w:type="dxa" w:w="4680"/>
            <w:shd w:fill="F2F2F2" w:val="clear"/>
          </w:tcPr>
          <w:p>
            <w:r/>
            <w:r>
              <w:rPr>
                <w:rFonts w:ascii="Calibri" w:hAnsi="Calibri"/>
                <w:color w:val="333333"/>
                <w:sz w:val="20"/>
              </w:rPr>
              <w:t>CISO</w:t>
            </w:r>
          </w:p>
        </w:tc>
      </w:tr>
    </w:tbl>
    <w:p/>
    <w:p/>
    <w:p>
      <w:pPr>
        <w:jc w:val="center"/>
      </w:pPr>
      <w:r>
        <w:rPr>
          <w:rFonts w:ascii="Calibri" w:hAnsi="Calibri"/>
          <w:b/>
          <w:color w:val="C0392B"/>
          <w:sz w:val="24"/>
        </w:rPr>
        <w:t>🔒  CONFIDENTIAL  🔒</w:t>
      </w:r>
    </w:p>
    <w:p>
      <w:r>
        <w:br w:type="page"/>
      </w:r>
    </w:p>
    <w:p>
      <w:pPr>
        <w:pStyle w:val="Heading1"/>
        <w:jc w:val="center"/>
      </w:pPr>
      <w:r>
        <w:rPr>
          <w:rFonts w:ascii="Calibri" w:hAnsi="Calibri"/>
          <w:b/>
          <w:color w:val="002B5C"/>
          <w:sz w:val="44"/>
        </w:rPr>
        <w:t>TABLE OF CONTENTS</w:t>
      </w:r>
    </w:p>
    <w:p>
      <w:pPr>
        <w:spacing w:before="40" w:after="160"/>
        <w:pBdr>
          <w:bottom w:val="single" w:sz="6" w:space="1" w:color="007B7F"/>
        </w:pBdr>
      </w:pPr>
    </w:p>
    <w:p>
      <w:pPr>
        <w:spacing w:after="40" w:before="120"/>
      </w:pPr>
      <w:r>
        <w:rPr>
          <w:rFonts w:ascii="Calibri" w:hAnsi="Calibri"/>
          <w:b/>
          <w:color w:val="007B7F"/>
          <w:sz w:val="26"/>
        </w:rPr>
        <w:t xml:space="preserve">1.  </w:t>
      </w:r>
      <w:r>
        <w:rPr>
          <w:rFonts w:ascii="Calibri" w:hAnsi="Calibri"/>
          <w:b/>
          <w:color w:val="002B5C"/>
          <w:sz w:val="26"/>
        </w:rPr>
        <w:t>INTRODUCTION</w:t>
      </w:r>
    </w:p>
    <w:p>
      <w:pPr>
        <w:spacing w:after="20" w:before="20"/>
        <w:ind w:left="720"/>
      </w:pPr>
      <w:r>
        <w:rPr>
          <w:rFonts w:ascii="Calibri" w:hAnsi="Calibri"/>
          <w:color w:val="333333"/>
          <w:sz w:val="22"/>
        </w:rPr>
        <w:t xml:space="preserve">  1.1  Purpose of the Audit</w:t>
      </w:r>
    </w:p>
    <w:p>
      <w:pPr>
        <w:spacing w:after="20" w:before="20"/>
        <w:ind w:left="720"/>
      </w:pPr>
      <w:r>
        <w:rPr>
          <w:rFonts w:ascii="Calibri" w:hAnsi="Calibri"/>
          <w:color w:val="333333"/>
          <w:sz w:val="22"/>
        </w:rPr>
        <w:t xml:space="preserve">  1.2  Scope of Assessment</w:t>
      </w:r>
    </w:p>
    <w:p>
      <w:pPr>
        <w:spacing w:after="20" w:before="20"/>
        <w:ind w:left="720"/>
      </w:pPr>
      <w:r>
        <w:rPr>
          <w:rFonts w:ascii="Calibri" w:hAnsi="Calibri"/>
          <w:color w:val="333333"/>
          <w:sz w:val="22"/>
        </w:rPr>
        <w:t xml:space="preserve">  1.3  Overview of NIST CSF 2.0</w:t>
      </w:r>
    </w:p>
    <w:p>
      <w:pPr>
        <w:spacing w:after="20" w:before="20"/>
        <w:ind w:left="720"/>
      </w:pPr>
      <w:r>
        <w:rPr>
          <w:rFonts w:ascii="Calibri" w:hAnsi="Calibri"/>
          <w:color w:val="333333"/>
          <w:sz w:val="22"/>
        </w:rPr>
        <w:t xml:space="preserve">  1.4  Regulatory &amp; Framework Alignment</w:t>
      </w:r>
    </w:p>
    <w:p>
      <w:pPr>
        <w:spacing w:after="20" w:before="20"/>
        <w:ind w:left="720"/>
      </w:pPr>
      <w:r>
        <w:rPr>
          <w:rFonts w:ascii="Calibri" w:hAnsi="Calibri"/>
          <w:color w:val="333333"/>
          <w:sz w:val="22"/>
        </w:rPr>
        <w:t xml:space="preserve">  1.5  Audit Methodology</w:t>
      </w:r>
    </w:p>
    <w:p>
      <w:pPr>
        <w:spacing w:after="20" w:before="20"/>
        <w:ind w:left="720"/>
      </w:pPr>
      <w:r>
        <w:rPr>
          <w:rFonts w:ascii="Calibri" w:hAnsi="Calibri"/>
          <w:color w:val="333333"/>
          <w:sz w:val="22"/>
        </w:rPr>
        <w:t xml:space="preserve">  1.6  Assumptions &amp; Limitations</w:t>
      </w:r>
    </w:p>
    <w:p>
      <w:pPr>
        <w:spacing w:after="40" w:before="120"/>
      </w:pPr>
      <w:r>
        <w:rPr>
          <w:rFonts w:ascii="Calibri" w:hAnsi="Calibri"/>
          <w:b/>
          <w:color w:val="007B7F"/>
          <w:sz w:val="26"/>
        </w:rPr>
        <w:t xml:space="preserve">2.  </w:t>
      </w:r>
      <w:r>
        <w:rPr>
          <w:rFonts w:ascii="Calibri" w:hAnsi="Calibri"/>
          <w:b/>
          <w:color w:val="002B5C"/>
          <w:sz w:val="26"/>
        </w:rPr>
        <w:t>RISK &amp; MATURITY METHODOLOGY</w:t>
      </w:r>
    </w:p>
    <w:p>
      <w:pPr>
        <w:spacing w:after="20" w:before="20"/>
        <w:ind w:left="720"/>
      </w:pPr>
      <w:r>
        <w:rPr>
          <w:rFonts w:ascii="Calibri" w:hAnsi="Calibri"/>
          <w:color w:val="333333"/>
          <w:sz w:val="22"/>
        </w:rPr>
        <w:t xml:space="preserve">  2.1  Risk Assessment Model</w:t>
      </w:r>
    </w:p>
    <w:p>
      <w:pPr>
        <w:spacing w:after="20" w:before="20"/>
        <w:ind w:left="720"/>
      </w:pPr>
      <w:r>
        <w:rPr>
          <w:rFonts w:ascii="Calibri" w:hAnsi="Calibri"/>
          <w:color w:val="333333"/>
          <w:sz w:val="22"/>
        </w:rPr>
        <w:t xml:space="preserve">  2.2  Definitions</w:t>
      </w:r>
    </w:p>
    <w:p>
      <w:pPr>
        <w:spacing w:after="20" w:before="20"/>
        <w:ind w:left="720"/>
      </w:pPr>
      <w:r>
        <w:rPr>
          <w:rFonts w:ascii="Calibri" w:hAnsi="Calibri"/>
          <w:color w:val="333333"/>
          <w:sz w:val="22"/>
        </w:rPr>
        <w:t xml:space="preserve">  2.3  Asset Criticality Method</w:t>
      </w:r>
    </w:p>
    <w:p>
      <w:pPr>
        <w:spacing w:after="20" w:before="20"/>
        <w:ind w:left="720"/>
      </w:pPr>
      <w:r>
        <w:rPr>
          <w:rFonts w:ascii="Calibri" w:hAnsi="Calibri"/>
          <w:color w:val="333333"/>
          <w:sz w:val="22"/>
        </w:rPr>
        <w:t xml:space="preserve">  2.4  Likelihood &amp; Impact Criteria</w:t>
      </w:r>
    </w:p>
    <w:p>
      <w:pPr>
        <w:spacing w:after="20" w:before="20"/>
        <w:ind w:left="720"/>
      </w:pPr>
      <w:r>
        <w:rPr>
          <w:rFonts w:ascii="Calibri" w:hAnsi="Calibri"/>
          <w:color w:val="333333"/>
          <w:sz w:val="22"/>
        </w:rPr>
        <w:t xml:space="preserve">  2.5  Risk Rating &amp; Heat Map</w:t>
      </w:r>
    </w:p>
    <w:p>
      <w:pPr>
        <w:spacing w:after="20" w:before="20"/>
        <w:ind w:left="720"/>
      </w:pPr>
      <w:r>
        <w:rPr>
          <w:rFonts w:ascii="Calibri" w:hAnsi="Calibri"/>
          <w:color w:val="333333"/>
          <w:sz w:val="22"/>
        </w:rPr>
        <w:t xml:space="preserve">  2.6  Implementation Tier Evaluation</w:t>
      </w:r>
    </w:p>
    <w:p>
      <w:pPr>
        <w:spacing w:after="20" w:before="20"/>
        <w:ind w:left="720"/>
      </w:pPr>
      <w:r>
        <w:rPr>
          <w:rFonts w:ascii="Calibri" w:hAnsi="Calibri"/>
          <w:color w:val="333333"/>
          <w:sz w:val="22"/>
        </w:rPr>
        <w:t xml:space="preserve">  2.7  Maturity Scoring Model</w:t>
      </w:r>
    </w:p>
    <w:p>
      <w:pPr>
        <w:spacing w:after="40" w:before="120"/>
      </w:pPr>
      <w:r>
        <w:rPr>
          <w:rFonts w:ascii="Calibri" w:hAnsi="Calibri"/>
          <w:b/>
          <w:color w:val="007B7F"/>
          <w:sz w:val="26"/>
        </w:rPr>
        <w:t xml:space="preserve">3.  </w:t>
      </w:r>
      <w:r>
        <w:rPr>
          <w:rFonts w:ascii="Calibri" w:hAnsi="Calibri"/>
          <w:b/>
          <w:color w:val="002B5C"/>
          <w:sz w:val="26"/>
        </w:rPr>
        <w:t>EXECUTIVE SUMMARY</w:t>
      </w:r>
    </w:p>
    <w:p>
      <w:pPr>
        <w:spacing w:after="20" w:before="20"/>
        <w:ind w:left="720"/>
      </w:pPr>
      <w:r>
        <w:rPr>
          <w:rFonts w:ascii="Calibri" w:hAnsi="Calibri"/>
          <w:color w:val="333333"/>
          <w:sz w:val="22"/>
        </w:rPr>
        <w:t xml:space="preserve">  3.1  Overall Cybersecurity Posture</w:t>
      </w:r>
    </w:p>
    <w:p>
      <w:pPr>
        <w:spacing w:after="20" w:before="20"/>
        <w:ind w:left="720"/>
      </w:pPr>
      <w:r>
        <w:rPr>
          <w:rFonts w:ascii="Calibri" w:hAnsi="Calibri"/>
          <w:color w:val="333333"/>
          <w:sz w:val="22"/>
        </w:rPr>
        <w:t xml:space="preserve">  3.2  Current vs Target Profile Overview</w:t>
      </w:r>
    </w:p>
    <w:p>
      <w:pPr>
        <w:spacing w:after="20" w:before="20"/>
        <w:ind w:left="720"/>
      </w:pPr>
      <w:r>
        <w:rPr>
          <w:rFonts w:ascii="Calibri" w:hAnsi="Calibri"/>
          <w:color w:val="333333"/>
          <w:sz w:val="22"/>
        </w:rPr>
        <w:t xml:space="preserve">  3.3  Implementation Tier Justification</w:t>
      </w:r>
    </w:p>
    <w:p>
      <w:pPr>
        <w:spacing w:after="20" w:before="20"/>
        <w:ind w:left="720"/>
      </w:pPr>
      <w:r>
        <w:rPr>
          <w:rFonts w:ascii="Calibri" w:hAnsi="Calibri"/>
          <w:color w:val="333333"/>
          <w:sz w:val="22"/>
        </w:rPr>
        <w:t xml:space="preserve">  3.4  Overall Risk &amp; Maturity Rating</w:t>
      </w:r>
    </w:p>
    <w:p>
      <w:pPr>
        <w:spacing w:after="20" w:before="20"/>
        <w:ind w:left="720"/>
      </w:pPr>
      <w:r>
        <w:rPr>
          <w:rFonts w:ascii="Calibri" w:hAnsi="Calibri"/>
          <w:color w:val="333333"/>
          <w:sz w:val="22"/>
        </w:rPr>
        <w:t xml:space="preserve">  3.5  Key Strengths</w:t>
      </w:r>
    </w:p>
    <w:p>
      <w:pPr>
        <w:spacing w:after="20" w:before="20"/>
        <w:ind w:left="720"/>
      </w:pPr>
      <w:r>
        <w:rPr>
          <w:rFonts w:ascii="Calibri" w:hAnsi="Calibri"/>
          <w:color w:val="333333"/>
          <w:sz w:val="22"/>
        </w:rPr>
        <w:t xml:space="preserve">  3.6  High-Risk Findings &amp; Key Recommendations</w:t>
      </w:r>
    </w:p>
    <w:p>
      <w:pPr>
        <w:spacing w:after="20" w:before="20"/>
        <w:ind w:left="720"/>
      </w:pPr>
      <w:r>
        <w:rPr>
          <w:rFonts w:ascii="Calibri" w:hAnsi="Calibri"/>
          <w:color w:val="333333"/>
          <w:sz w:val="22"/>
        </w:rPr>
        <w:t xml:space="preserve">  3.7  Strategic Roadmap Overview</w:t>
      </w:r>
    </w:p>
    <w:p>
      <w:pPr>
        <w:spacing w:after="40" w:before="120"/>
      </w:pPr>
      <w:r>
        <w:rPr>
          <w:rFonts w:ascii="Calibri" w:hAnsi="Calibri"/>
          <w:b/>
          <w:color w:val="007B7F"/>
          <w:sz w:val="26"/>
        </w:rPr>
        <w:t xml:space="preserve">4.  </w:t>
      </w:r>
      <w:r>
        <w:rPr>
          <w:rFonts w:ascii="Calibri" w:hAnsi="Calibri"/>
          <w:b/>
          <w:color w:val="002B5C"/>
          <w:sz w:val="26"/>
        </w:rPr>
        <w:t>CSF FUNCTION ASSESSMENTS</w:t>
      </w:r>
    </w:p>
    <w:p>
      <w:pPr>
        <w:spacing w:after="20" w:before="20"/>
        <w:ind w:left="720"/>
      </w:pPr>
      <w:r>
        <w:rPr>
          <w:rFonts w:ascii="Calibri" w:hAnsi="Calibri"/>
          <w:color w:val="333333"/>
          <w:sz w:val="22"/>
        </w:rPr>
        <w:t xml:space="preserve">  4.1  GOVERN (GV)</w:t>
      </w:r>
    </w:p>
    <w:p>
      <w:pPr>
        <w:spacing w:after="20" w:before="20"/>
        <w:ind w:left="720"/>
      </w:pPr>
      <w:r>
        <w:rPr>
          <w:rFonts w:ascii="Calibri" w:hAnsi="Calibri"/>
          <w:color w:val="333333"/>
          <w:sz w:val="22"/>
        </w:rPr>
        <w:t xml:space="preserve">  4.2  IDENTIFY (ID)</w:t>
      </w:r>
    </w:p>
    <w:p>
      <w:pPr>
        <w:spacing w:after="20" w:before="20"/>
        <w:ind w:left="720"/>
      </w:pPr>
      <w:r>
        <w:rPr>
          <w:rFonts w:ascii="Calibri" w:hAnsi="Calibri"/>
          <w:color w:val="333333"/>
          <w:sz w:val="22"/>
        </w:rPr>
        <w:t xml:space="preserve">  4.3  PROTECT (PR)</w:t>
      </w:r>
    </w:p>
    <w:p>
      <w:pPr>
        <w:spacing w:after="20" w:before="20"/>
        <w:ind w:left="720"/>
      </w:pPr>
      <w:r>
        <w:rPr>
          <w:rFonts w:ascii="Calibri" w:hAnsi="Calibri"/>
          <w:color w:val="333333"/>
          <w:sz w:val="22"/>
        </w:rPr>
        <w:t xml:space="preserve">  4.4  DETECT (DE)</w:t>
      </w:r>
    </w:p>
    <w:p>
      <w:pPr>
        <w:spacing w:after="20" w:before="20"/>
        <w:ind w:left="720"/>
      </w:pPr>
      <w:r>
        <w:rPr>
          <w:rFonts w:ascii="Calibri" w:hAnsi="Calibri"/>
          <w:color w:val="333333"/>
          <w:sz w:val="22"/>
        </w:rPr>
        <w:t xml:space="preserve">  4.5  RESPOND (RS)</w:t>
      </w:r>
    </w:p>
    <w:p>
      <w:pPr>
        <w:spacing w:after="20" w:before="20"/>
        <w:ind w:left="720"/>
      </w:pPr>
      <w:r>
        <w:rPr>
          <w:rFonts w:ascii="Calibri" w:hAnsi="Calibri"/>
          <w:color w:val="333333"/>
          <w:sz w:val="22"/>
        </w:rPr>
        <w:t xml:space="preserve">  4.6  RECOVER (RC)</w:t>
      </w:r>
    </w:p>
    <w:p>
      <w:pPr>
        <w:spacing w:after="40" w:before="120"/>
      </w:pPr>
      <w:r>
        <w:rPr>
          <w:rFonts w:ascii="Calibri" w:hAnsi="Calibri"/>
          <w:b/>
          <w:color w:val="007B7F"/>
          <w:sz w:val="26"/>
        </w:rPr>
        <w:t xml:space="preserve">5.  </w:t>
      </w:r>
      <w:r>
        <w:rPr>
          <w:rFonts w:ascii="Calibri" w:hAnsi="Calibri"/>
          <w:b/>
          <w:color w:val="002B5C"/>
          <w:sz w:val="26"/>
        </w:rPr>
        <w:t>CONCLUSION</w:t>
      </w:r>
    </w:p>
    <w:p>
      <w:pPr>
        <w:spacing w:after="20" w:before="20"/>
        <w:ind w:left="720"/>
      </w:pPr>
      <w:r>
        <w:rPr>
          <w:rFonts w:ascii="Calibri" w:hAnsi="Calibri"/>
          <w:color w:val="333333"/>
          <w:sz w:val="22"/>
        </w:rPr>
        <w:t xml:space="preserve">  5.1  Overall Assessment Statement</w:t>
      </w:r>
    </w:p>
    <w:p>
      <w:pPr>
        <w:spacing w:after="20" w:before="20"/>
        <w:ind w:left="720"/>
      </w:pPr>
      <w:r>
        <w:rPr>
          <w:rFonts w:ascii="Calibri" w:hAnsi="Calibri"/>
          <w:color w:val="333333"/>
          <w:sz w:val="22"/>
        </w:rPr>
        <w:t xml:space="preserve">  5.2  Implementation Tier Determination</w:t>
      </w:r>
    </w:p>
    <w:p>
      <w:pPr>
        <w:spacing w:after="20" w:before="20"/>
        <w:ind w:left="720"/>
      </w:pPr>
      <w:r>
        <w:rPr>
          <w:rFonts w:ascii="Calibri" w:hAnsi="Calibri"/>
          <w:color w:val="333333"/>
          <w:sz w:val="22"/>
        </w:rPr>
        <w:t xml:space="preserve">  5.3  Continuous Monitoring &amp; Annual Review Plan</w:t>
      </w:r>
    </w:p>
    <w:p>
      <w:pPr>
        <w:spacing w:after="40" w:before="120"/>
      </w:pPr>
      <w:r>
        <w:rPr>
          <w:rFonts w:ascii="Calibri" w:hAnsi="Calibri"/>
          <w:b/>
          <w:color w:val="007B7F"/>
          <w:sz w:val="26"/>
        </w:rPr>
        <w:t xml:space="preserve">6.  </w:t>
      </w:r>
      <w:r>
        <w:rPr>
          <w:rFonts w:ascii="Calibri" w:hAnsi="Calibri"/>
          <w:b/>
          <w:color w:val="002B5C"/>
          <w:sz w:val="26"/>
        </w:rPr>
        <w:t>REFERENCES</w:t>
      </w:r>
    </w:p>
    <w:p>
      <w:pPr>
        <w:spacing w:after="40" w:before="120"/>
      </w:pPr>
      <w:r>
        <w:rPr>
          <w:rFonts w:ascii="Calibri" w:hAnsi="Calibri"/>
          <w:b/>
          <w:color w:val="007B7F"/>
          <w:sz w:val="26"/>
        </w:rPr>
        <w:t xml:space="preserve">7.  </w:t>
      </w:r>
      <w:r>
        <w:rPr>
          <w:rFonts w:ascii="Calibri" w:hAnsi="Calibri"/>
          <w:b/>
          <w:color w:val="002B5C"/>
          <w:sz w:val="26"/>
        </w:rPr>
        <w:t>APPENDICES</w:t>
      </w:r>
    </w:p>
    <w:p>
      <w:pPr>
        <w:spacing w:after="20" w:before="20"/>
        <w:ind w:left="720"/>
      </w:pPr>
      <w:r>
        <w:rPr>
          <w:rFonts w:ascii="Calibri" w:hAnsi="Calibri"/>
          <w:color w:val="333333"/>
          <w:sz w:val="22"/>
        </w:rPr>
        <w:t xml:space="preserve">  7.1  Detailed Technical Assessment Reports</w:t>
      </w:r>
    </w:p>
    <w:p>
      <w:pPr>
        <w:spacing w:after="20" w:before="20"/>
        <w:ind w:left="720"/>
      </w:pPr>
      <w:r>
        <w:rPr>
          <w:rFonts w:ascii="Calibri" w:hAnsi="Calibri"/>
          <w:color w:val="333333"/>
          <w:sz w:val="22"/>
        </w:rPr>
        <w:t xml:space="preserve">  7.2  Glossary of Terms &amp; Definitions</w:t>
      </w:r>
    </w:p>
    <w:p>
      <w:pPr>
        <w:spacing w:after="20" w:before="20"/>
        <w:ind w:left="720"/>
      </w:pPr>
      <w:r>
        <w:rPr>
          <w:rFonts w:ascii="Calibri" w:hAnsi="Calibri"/>
          <w:color w:val="333333"/>
          <w:sz w:val="22"/>
        </w:rPr>
        <w:t xml:space="preserve">  7.3  Current vs Target Profile Mapping Table</w:t>
      </w:r>
    </w:p>
    <w:p>
      <w:r>
        <w:br w:type="page"/>
      </w:r>
    </w:p>
    <w:p>
      <w:pPr>
        <w:pStyle w:val="Heading1"/>
      </w:pPr>
      <w:r>
        <w:rPr>
          <w:rFonts w:ascii="Calibri" w:hAnsi="Calibri"/>
          <w:b/>
          <w:color w:val="002B5C"/>
          <w:sz w:val="44"/>
        </w:rPr>
        <w:t>1. INTRODUCTION</w:t>
      </w:r>
    </w:p>
    <w:p>
      <w:pPr>
        <w:spacing w:before="40" w:after="160"/>
        <w:pBdr>
          <w:bottom w:val="single" w:sz="6" w:space="1" w:color="007B7F"/>
        </w:pBdr>
      </w:pPr>
    </w:p>
    <w:p>
      <w:pPr>
        <w:pStyle w:val="Heading2"/>
      </w:pPr>
      <w:r>
        <w:rPr>
          <w:rFonts w:ascii="Calibri" w:hAnsi="Calibri"/>
          <w:b/>
          <w:color w:val="1A3C6E"/>
          <w:sz w:val="32"/>
        </w:rPr>
        <w:t>1.1  Purpose of the Audit</w:t>
      </w:r>
    </w:p>
    <w:p>
      <w:pPr>
        <w:spacing w:before="40" w:after="160"/>
        <w:pBdr>
          <w:bottom w:val="single" w:sz="6" w:space="1" w:color="007B7F"/>
        </w:pBdr>
      </w:pPr>
    </w:p>
    <w:p>
      <w:pPr>
        <w:spacing w:after="120" w:before="0"/>
      </w:pPr>
      <w:r>
        <w:rPr>
          <w:rFonts w:ascii="Calibri" w:hAnsi="Calibri" w:eastAsia="Calibri"/>
          <w:b w:val="0"/>
          <w:i w:val="0"/>
          <w:color w:val="333333"/>
          <w:sz w:val="22"/>
        </w:rPr>
        <w:t>This comprehensive assessment evaluates Urbego Cybersecurity's cybersecurity posture against NIST CSF 2.0 to determine current maturity levels, identify control gaps, assess risk exposure, and define strategic improvement initiatives. The audit aims to establish a measurable baseline for tracking progress toward target cybersecurity objectives and supports executive decision-making for resource allocation and risk treatment investments. Additionally, this report serves as a communication instrument for internal stakeholders and provides a structured framework for continuous improvement planning aligned with the organization's growth trajectory and regulatory requirements.</w:t>
      </w:r>
    </w:p>
    <w:p>
      <w:pPr>
        <w:pStyle w:val="Heading2"/>
      </w:pPr>
      <w:r>
        <w:rPr>
          <w:rFonts w:ascii="Calibri" w:hAnsi="Calibri"/>
          <w:b/>
          <w:color w:val="1A3C6E"/>
          <w:sz w:val="32"/>
        </w:rPr>
        <w:t>1.2  Scope of Assessment</w:t>
      </w:r>
    </w:p>
    <w:p>
      <w:pPr>
        <w:spacing w:before="40" w:after="160"/>
        <w:pBdr>
          <w:bottom w:val="single" w:sz="6" w:space="1" w:color="007B7F"/>
        </w:pBdr>
      </w:pPr>
    </w:p>
    <w:p>
      <w:pPr>
        <w:spacing w:after="120" w:before="0"/>
      </w:pPr>
      <w:r>
        <w:rPr>
          <w:rFonts w:ascii="Calibri" w:hAnsi="Calibri" w:eastAsia="Calibri"/>
          <w:b w:val="0"/>
          <w:i w:val="0"/>
          <w:color w:val="333333"/>
          <w:sz w:val="22"/>
        </w:rPr>
        <w:t>The assessment encompasses all six NIST CSF 2.0 core functions: Govern (GV), Identify (ID), Protect (PR), Detect (DE), Respond (RS), and Recover (RC). A total of 89 applicable control questions were evaluated across these functions, covering governance frameworks, asset management, technical controls, monitoring capabilities, incident response, and recovery procedures. The scope includes all technology systems classified as critical or high-value within Urbego's operational environment, all externally-facing digital assets, third-party and supplier integrations, and all personnel with access to sensitive information systems. Physical security controls relevant to cybersecurity were included where overlapping with digital risk domains.</w:t>
      </w:r>
    </w:p>
    <w:p>
      <w:pPr>
        <w:pStyle w:val="Heading2"/>
      </w:pPr>
      <w:r>
        <w:rPr>
          <w:rFonts w:ascii="Calibri" w:hAnsi="Calibri"/>
          <w:b/>
          <w:color w:val="1A3C6E"/>
          <w:sz w:val="32"/>
        </w:rPr>
        <w:t>1.3  Overview of NIST CSF 2.0</w:t>
      </w:r>
    </w:p>
    <w:p>
      <w:pPr>
        <w:spacing w:before="40" w:after="160"/>
        <w:pBdr>
          <w:bottom w:val="single" w:sz="6" w:space="1" w:color="007B7F"/>
        </w:pBdr>
      </w:pPr>
    </w:p>
    <w:p>
      <w:pPr>
        <w:spacing w:after="120" w:before="0"/>
      </w:pPr>
      <w:r>
        <w:rPr>
          <w:rFonts w:ascii="Calibri" w:hAnsi="Calibri" w:eastAsia="Calibri"/>
          <w:b w:val="0"/>
          <w:i w:val="0"/>
          <w:color w:val="333333"/>
          <w:sz w:val="22"/>
        </w:rPr>
        <w:t>NIST Cybersecurity Framework 2.0, released by the National Institute of Standards and Technology in February 2024, provides a risk-based approach to managing cybersecurity risk through six core functions: Govern, Identify, Protect, Detect, Respond, and Recover. The introduction of the Govern function as a standalone pillar in version 2.0 reflects a fundamental shift in how cybersecurity strategy must be embedded into enterprise governance. The framework emphasizes governance integration, supply chain risk management, and continuous improvement as foundational capabilities, not optional enhancements. It enables organizations to assess current capabilities, define target states, prioritize investments based on risk tolerance and business requirements, and align cybersecurity activities with organizational mission. NIST CSF 2.0 is technology-neutral and scalable across organizations of varying sizes and sectors.</w:t>
      </w:r>
    </w:p>
    <w:p>
      <w:pPr>
        <w:pStyle w:val="Heading2"/>
      </w:pPr>
      <w:r>
        <w:rPr>
          <w:rFonts w:ascii="Calibri" w:hAnsi="Calibri"/>
          <w:b/>
          <w:color w:val="1A3C6E"/>
          <w:sz w:val="32"/>
        </w:rPr>
        <w:t>1.4  Regulatory &amp; Framework Alignment</w:t>
      </w:r>
    </w:p>
    <w:p>
      <w:pPr>
        <w:spacing w:before="40" w:after="160"/>
        <w:pBdr>
          <w:bottom w:val="single" w:sz="6" w:space="1" w:color="007B7F"/>
        </w:pBdr>
      </w:pPr>
    </w:p>
    <w:p>
      <w:pPr>
        <w:spacing w:after="120" w:before="0"/>
      </w:pPr>
      <w:r>
        <w:rPr>
          <w:rFonts w:ascii="Calibri" w:hAnsi="Calibri" w:eastAsia="Calibri"/>
          <w:b w:val="0"/>
          <w:i w:val="0"/>
          <w:color w:val="333333"/>
          <w:sz w:val="22"/>
        </w:rPr>
        <w:t>This assessment aligns with NIST CSF 2.0 core guidance and references NIST SP 800-30 (Risk Assessment Guide) and NIST SP 800-53 Rev. 5 (Security and Privacy Controls) for control mapping and validation. The assessment also incorporates alignment considerations for GDPR data protection requirements, including principles of data minimization, breach notification timelines, and data subject rights management. Where applicable, control references have been cross-mapped to ISO/IEC 27001:2022 control clauses to support future certification planning. The organization operates in a sector subject to evolving cybersecurity regulatory scrutiny, and this assessment positions Urbego to proactively address anticipated compliance obligations.</w:t>
      </w:r>
    </w:p>
    <w:p>
      <w:pPr>
        <w:pStyle w:val="Heading2"/>
      </w:pPr>
      <w:r>
        <w:rPr>
          <w:rFonts w:ascii="Calibri" w:hAnsi="Calibri"/>
          <w:b/>
          <w:color w:val="1A3C6E"/>
          <w:sz w:val="32"/>
        </w:rPr>
        <w:t>1.5  Audit Methodology</w:t>
      </w:r>
    </w:p>
    <w:p>
      <w:pPr>
        <w:spacing w:before="40" w:after="160"/>
        <w:pBdr>
          <w:bottom w:val="single" w:sz="6" w:space="1" w:color="007B7F"/>
        </w:pBdr>
      </w:pPr>
    </w:p>
    <w:p>
      <w:pPr>
        <w:pStyle w:val="Heading3"/>
      </w:pPr>
      <w:r>
        <w:rPr>
          <w:rFonts w:ascii="Calibri" w:hAnsi="Calibri"/>
          <w:b/>
          <w:color w:val="007B7F"/>
          <w:sz w:val="26"/>
        </w:rPr>
        <w:t>1.5.1  Assessment Approach</w:t>
      </w:r>
    </w:p>
    <w:p>
      <w:pPr>
        <w:spacing w:after="120" w:before="0"/>
      </w:pPr>
      <w:r>
        <w:rPr>
          <w:rFonts w:ascii="Calibri" w:hAnsi="Calibri" w:eastAsia="Calibri"/>
          <w:b w:val="0"/>
          <w:i w:val="0"/>
          <w:color w:val="333333"/>
          <w:sz w:val="22"/>
        </w:rPr>
        <w:t>The assessment utilized a qualitative maturity-based analysis methodology grounded in structured evidence collection and stakeholder interviews. Each of the 89 control questions was evaluated against a five-point implementation scale: Not in Place (0%), Partially Implemented (25%), Mostly Implemented (50%), Fully Implemented and Evolving (75%), and Not Applicable (excluded from scoring). Domain scores were calculated as percentages of maximum achievable points, with overall maturity determined through weighted aggregation of domain scores. Control responses were validated through corroborating evidence requests and cross-referencing with process documentation where available.</w:t>
      </w:r>
    </w:p>
    <w:p>
      <w:pPr>
        <w:pStyle w:val="Heading3"/>
      </w:pPr>
      <w:r>
        <w:rPr>
          <w:rFonts w:ascii="Calibri" w:hAnsi="Calibri"/>
          <w:b/>
          <w:color w:val="007B7F"/>
          <w:sz w:val="26"/>
        </w:rPr>
        <w:t>1.5.2  Evidence Reviewed</w:t>
      </w:r>
    </w:p>
    <w:p>
      <w:pPr>
        <w:spacing w:after="120" w:before="0"/>
      </w:pPr>
      <w:r>
        <w:rPr>
          <w:rFonts w:ascii="Calibri" w:hAnsi="Calibri" w:eastAsia="Calibri"/>
          <w:b w:val="0"/>
          <w:i w:val="0"/>
          <w:color w:val="333333"/>
          <w:sz w:val="22"/>
        </w:rPr>
        <w:t>Evidence sources included structured internal assessment questionnaire responses from 89 applicable control questions across six domains, complemented by semi-structured interviews with 14 key stakeholders including IT administrators, the CISO, department heads, and operational staff. Documentary evidence reviewed included existing IT policies and procedures, system inventories, vendor contracts, network diagrams, incident logs, and training records. Where documented evidence was absent, oral testimony was noted and scored conservatively. All responses were validated against the NIST CSF 2.0 implementation guidance and cross-referenced with NIST SP 800-53 control families.</w:t>
      </w:r>
    </w:p>
    <w:p>
      <w:pPr>
        <w:pStyle w:val="Heading2"/>
      </w:pPr>
      <w:r>
        <w:rPr>
          <w:rFonts w:ascii="Calibri" w:hAnsi="Calibri"/>
          <w:b/>
          <w:color w:val="1A3C6E"/>
          <w:sz w:val="32"/>
        </w:rPr>
        <w:t>1.6  Assumptions &amp; Limitations</w:t>
      </w:r>
    </w:p>
    <w:p>
      <w:pPr>
        <w:spacing w:before="40" w:after="160"/>
        <w:pBdr>
          <w:bottom w:val="single" w:sz="6" w:space="1" w:color="007B7F"/>
        </w:pBdr>
      </w:pPr>
    </w:p>
    <w:p>
      <w:pPr>
        <w:spacing w:after="120" w:before="0"/>
      </w:pPr>
      <w:r>
        <w:rPr>
          <w:rFonts w:ascii="Calibri" w:hAnsi="Calibri" w:eastAsia="Calibri"/>
          <w:b w:val="0"/>
          <w:i w:val="0"/>
          <w:color w:val="333333"/>
          <w:sz w:val="22"/>
        </w:rPr>
        <w:t>Not specified</w:t>
      </w:r>
    </w:p>
    <w:p>
      <w:r>
        <w:br w:type="page"/>
      </w:r>
    </w:p>
    <w:p>
      <w:pPr>
        <w:pStyle w:val="Heading1"/>
      </w:pPr>
      <w:r>
        <w:rPr>
          <w:rFonts w:ascii="Calibri" w:hAnsi="Calibri"/>
          <w:b/>
          <w:color w:val="002B5C"/>
          <w:sz w:val="44"/>
        </w:rPr>
        <w:t>2. RISK &amp; MATURITY METHODOLOGY</w:t>
      </w:r>
    </w:p>
    <w:p>
      <w:pPr>
        <w:spacing w:before="40" w:after="160"/>
        <w:pBdr>
          <w:bottom w:val="single" w:sz="6" w:space="1" w:color="007B7F"/>
        </w:pBdr>
      </w:pPr>
    </w:p>
    <w:p>
      <w:pPr>
        <w:pStyle w:val="Heading2"/>
      </w:pPr>
      <w:r>
        <w:rPr>
          <w:rFonts w:ascii="Calibri" w:hAnsi="Calibri"/>
          <w:b/>
          <w:color w:val="1A3C6E"/>
          <w:sz w:val="32"/>
        </w:rPr>
        <w:t>2.1  Risk Assessment Model</w:t>
      </w:r>
    </w:p>
    <w:p>
      <w:pPr>
        <w:spacing w:before="40" w:after="160"/>
        <w:pBdr>
          <w:bottom w:val="single" w:sz="6" w:space="1" w:color="007B7F"/>
        </w:pBdr>
      </w:pPr>
    </w:p>
    <w:p>
      <w:pPr>
        <w:spacing w:after="120" w:before="0"/>
      </w:pPr>
      <w:r>
        <w:rPr>
          <w:rFonts w:ascii="Calibri" w:hAnsi="Calibri" w:eastAsia="Calibri"/>
          <w:b w:val="0"/>
          <w:i w:val="0"/>
          <w:color w:val="333333"/>
          <w:sz w:val="22"/>
        </w:rPr>
        <w:t>Risk was evaluated using a combined likelihood and impact methodology derived from NIST SP 800-30 principles, applied to each identified control implementation gap and governance weakness. Each control deficiency was assessed for potential business impact on confidentiality, integrity, and availability, with residual risk exposure calculated based on the absence of primary and compensating controls. Risk ratings were assigned as Critical, High, Moderate, or Low using a 5x5 severity scoring matrix that multiplies likelihood (1–5 scale) by impact (1–5 scale), resulting in a composite score mapped to risk bands: Critical (16–25), High (9–15), Moderate (4–8), and Low (1–3). This methodology enables consistent risk prioritization and supports risk treatment decision-making aligned with organizational risk appetite.</w:t>
      </w:r>
    </w:p>
    <w:p>
      <w:pPr>
        <w:pStyle w:val="Heading2"/>
      </w:pPr>
      <w:r>
        <w:rPr>
          <w:rFonts w:ascii="Calibri" w:hAnsi="Calibri"/>
          <w:b/>
          <w:color w:val="1A3C6E"/>
          <w:sz w:val="32"/>
        </w:rPr>
        <w:t>2.2  Definitions</w:t>
      </w:r>
    </w:p>
    <w:p>
      <w:pPr>
        <w:spacing w:before="40" w:after="160"/>
        <w:pBdr>
          <w:bottom w:val="single" w:sz="6" w:space="1" w:color="007B7F"/>
        </w:pBdr>
      </w:pPr>
    </w:p>
    <w:tbl>
      <w:tblPr>
        <w:tblW w:type="auto" w:w="0"/>
        <w:jc w:val="center"/>
        <w:tblLayout w:type="autofi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4680"/>
        <w:gridCol w:w="4680"/>
      </w:tblGrid>
      <w:tr>
        <w:tc>
          <w:tcPr>
            <w:tcW w:type="dxa" w:w="4680"/>
            <w:shd w:fill="002B5C" w:val="clear"/>
          </w:tcPr>
          <w:p>
            <w:pPr>
              <w:jc w:val="center"/>
            </w:pPr>
            <w:r/>
            <w:r>
              <w:rPr>
                <w:rFonts w:ascii="Calibri" w:hAnsi="Calibri"/>
                <w:b/>
                <w:color w:val="FFFFFF"/>
                <w:sz w:val="20"/>
              </w:rPr>
              <w:t>Term</w:t>
            </w:r>
          </w:p>
        </w:tc>
        <w:tc>
          <w:tcPr>
            <w:tcW w:type="dxa" w:w="4680"/>
            <w:shd w:fill="002B5C" w:val="clear"/>
          </w:tcPr>
          <w:p>
            <w:pPr>
              <w:jc w:val="center"/>
            </w:pPr>
            <w:r/>
            <w:r>
              <w:rPr>
                <w:rFonts w:ascii="Calibri" w:hAnsi="Calibri"/>
                <w:b/>
                <w:color w:val="FFFFFF"/>
                <w:sz w:val="20"/>
              </w:rPr>
              <w:t>Definition</w:t>
            </w:r>
          </w:p>
        </w:tc>
      </w:tr>
      <w:tr>
        <w:tc>
          <w:tcPr>
            <w:tcW w:type="dxa" w:w="4680"/>
          </w:tcPr>
          <w:p>
            <w:r/>
            <w:r>
              <w:rPr>
                <w:rFonts w:ascii="Calibri" w:hAnsi="Calibri"/>
                <w:color w:val="333333"/>
                <w:sz w:val="20"/>
              </w:rPr>
              <w:t>THREAT</w:t>
            </w:r>
          </w:p>
        </w:tc>
        <w:tc>
          <w:tcPr>
            <w:tcW w:type="dxa" w:w="4680"/>
          </w:tcPr>
          <w:p>
            <w:r/>
            <w:r>
              <w:rPr>
                <w:rFonts w:ascii="Calibri" w:hAnsi="Calibri"/>
                <w:color w:val="333333"/>
                <w:sz w:val="20"/>
              </w:rPr>
              <w:t>Any circumstance or event with the potential to adversely impact organizational operations, assets, individuals, or the enterprise through unauthorized access, destruction, disclosure, modification, or denial of information or information systems. Threats may originate from external actors (cybercriminals, nation-states, hacktivists), internal actors (malicious insiders, negligent employees), or environmental factors (natural disasters, power failures).</w:t>
            </w:r>
          </w:p>
        </w:tc>
      </w:tr>
      <w:tr>
        <w:tc>
          <w:tcPr>
            <w:tcW w:type="dxa" w:w="4680"/>
            <w:shd w:fill="F2F2F2" w:val="clear"/>
          </w:tcPr>
          <w:p>
            <w:r/>
            <w:r>
              <w:rPr>
                <w:rFonts w:ascii="Calibri" w:hAnsi="Calibri"/>
                <w:color w:val="333333"/>
                <w:sz w:val="20"/>
              </w:rPr>
              <w:t>VULNERABILITY</w:t>
            </w:r>
          </w:p>
        </w:tc>
        <w:tc>
          <w:tcPr>
            <w:tcW w:type="dxa" w:w="4680"/>
            <w:shd w:fill="F2F2F2" w:val="clear"/>
          </w:tcPr>
          <w:p>
            <w:r/>
            <w:r>
              <w:rPr>
                <w:rFonts w:ascii="Calibri" w:hAnsi="Calibri"/>
                <w:color w:val="333333"/>
                <w:sz w:val="20"/>
              </w:rPr>
              <w:t>A weakness in system security procedures, design, implementation, or internal controls that could be exploited by a threat source to cause harm or compromise system integrity, confidentiality, or availability. Vulnerabilities may exist in technology components, human processes, physical controls, or supplier relationships and are identified through scanning, assessments, threat intelligence, and operational experience.</w:t>
            </w:r>
          </w:p>
        </w:tc>
      </w:tr>
      <w:tr>
        <w:tc>
          <w:tcPr>
            <w:tcW w:type="dxa" w:w="4680"/>
          </w:tcPr>
          <w:p>
            <w:r/>
            <w:r>
              <w:rPr>
                <w:rFonts w:ascii="Calibri" w:hAnsi="Calibri"/>
                <w:color w:val="333333"/>
                <w:sz w:val="20"/>
              </w:rPr>
              <w:t>RISK</w:t>
            </w:r>
          </w:p>
        </w:tc>
        <w:tc>
          <w:tcPr>
            <w:tcW w:type="dxa" w:w="4680"/>
          </w:tcPr>
          <w:p>
            <w:r/>
            <w:r>
              <w:rPr>
                <w:rFonts w:ascii="Calibri" w:hAnsi="Calibri"/>
                <w:color w:val="333333"/>
                <w:sz w:val="20"/>
              </w:rPr>
              <w:t>The combination of the likelihood that a threat will exploit a vulnerability and the resulting impact on organizational operations, assets, individuals, or the mission. Risk is a function of threat probability, vulnerability severity, and asset value. It is expressed in terms of potential consequences (financial, operational, reputational, regulatory) and probability of occurrence. Risk treatment options include acceptance, avoidance, mitigation, and transfer.</w:t>
            </w:r>
          </w:p>
        </w:tc>
      </w:tr>
      <w:tr>
        <w:tc>
          <w:tcPr>
            <w:tcW w:type="dxa" w:w="4680"/>
            <w:shd w:fill="F2F2F2" w:val="clear"/>
          </w:tcPr>
          <w:p>
            <w:r/>
            <w:r>
              <w:rPr>
                <w:rFonts w:ascii="Calibri" w:hAnsi="Calibri"/>
                <w:color w:val="333333"/>
                <w:sz w:val="20"/>
              </w:rPr>
              <w:t>CONTROL</w:t>
            </w:r>
          </w:p>
        </w:tc>
        <w:tc>
          <w:tcPr>
            <w:tcW w:type="dxa" w:w="4680"/>
            <w:shd w:fill="F2F2F2" w:val="clear"/>
          </w:tcPr>
          <w:p>
            <w:r/>
            <w:r>
              <w:rPr>
                <w:rFonts w:ascii="Calibri" w:hAnsi="Calibri"/>
                <w:color w:val="333333"/>
                <w:sz w:val="20"/>
              </w:rPr>
              <w:t>A safeguard or countermeasure designed to reduce the likelihood or impact of a cybersecurity risk. Controls may be preventive (blocking threats), detective (identifying incidents), corrective (remediating damage), or compensating (providing alternative protection where primary controls are absent).</w:t>
            </w:r>
          </w:p>
        </w:tc>
      </w:tr>
      <w:tr>
        <w:tc>
          <w:tcPr>
            <w:tcW w:type="dxa" w:w="4680"/>
          </w:tcPr>
          <w:p>
            <w:r/>
            <w:r>
              <w:rPr>
                <w:rFonts w:ascii="Calibri" w:hAnsi="Calibri"/>
                <w:color w:val="333333"/>
                <w:sz w:val="20"/>
              </w:rPr>
              <w:t>RESIDUAL_RISK</w:t>
            </w:r>
          </w:p>
        </w:tc>
        <w:tc>
          <w:tcPr>
            <w:tcW w:type="dxa" w:w="4680"/>
          </w:tcPr>
          <w:p>
            <w:r/>
            <w:r>
              <w:rPr>
                <w:rFonts w:ascii="Calibri" w:hAnsi="Calibri"/>
                <w:color w:val="333333"/>
                <w:sz w:val="20"/>
              </w:rPr>
              <w:t>The risk remaining after security controls have been applied. Residual risk reflects the portion of identified risk that is not fully mitigated and must be accepted, monitored, or further reduced. Residual risk should be formally reviewed and accepted by appropriate organizational leadership.</w:t>
            </w:r>
          </w:p>
        </w:tc>
      </w:tr>
    </w:tbl>
    <w:p/>
    <w:p>
      <w:pPr>
        <w:pStyle w:val="Heading2"/>
      </w:pPr>
      <w:r>
        <w:rPr>
          <w:rFonts w:ascii="Calibri" w:hAnsi="Calibri"/>
          <w:b/>
          <w:color w:val="1A3C6E"/>
          <w:sz w:val="32"/>
        </w:rPr>
        <w:t>2.3  Asset Criticality Method</w:t>
      </w:r>
    </w:p>
    <w:p>
      <w:pPr>
        <w:spacing w:before="40" w:after="160"/>
        <w:pBdr>
          <w:bottom w:val="single" w:sz="6" w:space="1" w:color="007B7F"/>
        </w:pBdr>
      </w:pPr>
    </w:p>
    <w:p>
      <w:pPr>
        <w:spacing w:after="120" w:before="0"/>
      </w:pPr>
      <w:r>
        <w:rPr>
          <w:rFonts w:ascii="Calibri" w:hAnsi="Calibri" w:eastAsia="Calibri"/>
          <w:b w:val="0"/>
          <w:i w:val="0"/>
          <w:color w:val="333333"/>
          <w:sz w:val="22"/>
        </w:rPr>
        <w:t>Assets are prioritized based on a three-factor scoring model with weighted components: (1) Operational dependency (40% weight) — measures impact on business continuity if the asset becomes unavailable, scored 1–5; (2) Data sensitivity (40% weight) — evaluates confidentiality and integrity requirements, including classification of data processed or stored; and (3) Regulatory exposure (20% weight) — accounts for compliance obligations associated with the asset, including data protection, financial reporting, or sector-specific requirements. The composite criticality score determines asset classification as Critical, High, Medium, or Low. Critical assets receive priority in risk treatment, vulnerability remediation, and resource allocation. Asset criticality is reviewed annually and upon significant changes to the operational environment.</w:t>
      </w:r>
    </w:p>
    <w:p>
      <w:pPr>
        <w:pStyle w:val="Heading2"/>
      </w:pPr>
      <w:r>
        <w:rPr>
          <w:rFonts w:ascii="Calibri" w:hAnsi="Calibri"/>
          <w:b/>
          <w:color w:val="1A3C6E"/>
          <w:sz w:val="32"/>
        </w:rPr>
        <w:t>2.4  Likelihood &amp; Impact Criteria</w:t>
      </w:r>
    </w:p>
    <w:p>
      <w:pPr>
        <w:spacing w:before="40" w:after="160"/>
        <w:pBdr>
          <w:bottom w:val="single" w:sz="6" w:space="1" w:color="007B7F"/>
        </w:pBdr>
      </w:pPr>
    </w:p>
    <w:p>
      <w:pPr>
        <w:spacing w:after="120" w:before="0"/>
      </w:pPr>
      <w:r>
        <w:rPr>
          <w:rFonts w:ascii="Calibri" w:hAnsi="Calibri" w:eastAsia="Calibri"/>
          <w:b w:val="0"/>
          <w:i w:val="0"/>
          <w:color w:val="333333"/>
          <w:sz w:val="22"/>
        </w:rPr>
        <w:t>Likelihood ratings applied in this assessment: (5) Very High — controls absent or ineffective, known threat actors actively targeting, previous incidents recorded; (4) High — minimal controls present, significant vulnerability exposure, sector-targeted threat activity; (3) Medium — partial controls present, generic threats, moderate vulnerability density; (2) Low — adequate controls, limited exposure, low threat actor interest; (1) Very Low — strong multi-layered controls, minimal attack surface, no known threat activity. Impact ratings: (5) Critical — catastrophic operational failure, severe regulatory penalties exceeding €10M or equivalent, sustained reputational damage, data breach affecting &gt;10,000 individuals; (4) High — major service disruption &gt;24 hours, significant regulatory exposure, substantial reputational harm; (3) Medium — moderate service degradation, limited data exposure, manageable regulatory notification; (2) Low — minor operational inconvenience, no external impact, internal resolution within hours; (1) Very Low — negligible disruption, no data at risk, no external notification required.</w:t>
      </w:r>
    </w:p>
    <w:p>
      <w:pPr>
        <w:pStyle w:val="Heading2"/>
      </w:pPr>
      <w:r>
        <w:rPr>
          <w:rFonts w:ascii="Calibri" w:hAnsi="Calibri"/>
          <w:b/>
          <w:color w:val="1A3C6E"/>
          <w:sz w:val="32"/>
        </w:rPr>
        <w:t>2.5  Risk Rating &amp; Heat Map</w:t>
      </w:r>
    </w:p>
    <w:p>
      <w:pPr>
        <w:spacing w:before="40" w:after="160"/>
        <w:pBdr>
          <w:bottom w:val="single" w:sz="6" w:space="1" w:color="007B7F"/>
        </w:pBdr>
      </w:pPr>
    </w:p>
    <w:p>
      <w:pPr>
        <w:spacing w:after="120" w:before="0"/>
      </w:pPr>
      <w:r>
        <w:rPr>
          <w:rFonts w:ascii="Calibri" w:hAnsi="Calibri" w:eastAsia="Calibri"/>
          <w:b w:val="0"/>
          <w:i w:val="0"/>
          <w:color w:val="333333"/>
          <w:sz w:val="22"/>
        </w:rPr>
        <w:t>Risk concentration analysis identifies five critical and high-risk domains. Critical risk concentration: Governance formalization (44.4% maturity, no documented policies or roles creating accountability vacuum), System Logging (completely absent — zero forensic capability across all systems), and Incident Response Planning (documentation entirely missing — inability to respond effectively to any security incident). High risk concentration: Network Protection (multiple controls not in place including segmentation, IPS, and firewall review procedures), Configuration Management (no baseline configurations established for any system type, creating unknown vulnerability exposure). Moderate risk exists in Identity and Access Management (inconsistent privileged access controls), Event Analysis (methodology not standardized), and Supply Chain Risk (incomplete pre-engagement assessments). Low risk observed in Asset Inventory Management (strong hardware and software tracking), Threat Intelligence Integration (well-established feeds and analysis), and Recovery Prioritization (clearly defined and practiced).</w:t>
      </w:r>
    </w:p>
    <w:p>
      <w:pPr>
        <w:pStyle w:val="Heading2"/>
      </w:pPr>
      <w:r>
        <w:rPr>
          <w:rFonts w:ascii="Calibri" w:hAnsi="Calibri"/>
          <w:b/>
          <w:color w:val="1A3C6E"/>
          <w:sz w:val="32"/>
        </w:rPr>
        <w:t>2.6  Implementation Tier Evaluation</w:t>
      </w:r>
    </w:p>
    <w:p>
      <w:pPr>
        <w:spacing w:before="40" w:after="160"/>
        <w:pBdr>
          <w:bottom w:val="single" w:sz="6" w:space="1" w:color="007B7F"/>
        </w:pBdr>
      </w:pPr>
    </w:p>
    <w:p>
      <w:pPr>
        <w:spacing w:after="120" w:before="0"/>
      </w:pPr>
      <w:r>
        <w:rPr>
          <w:rFonts w:ascii="Calibri" w:hAnsi="Calibri" w:eastAsia="Calibri"/>
          <w:b w:val="0"/>
          <w:i w:val="0"/>
          <w:color w:val="333333"/>
          <w:sz w:val="22"/>
        </w:rPr>
        <w:t>Tier determination is based on four NIST CSF 2.0 criteria: (1) Risk Management Process — informal risk practices exist with partial documentation; risks are identified but not consistently recorded in a formal register; risk management activities are not integrated with strategic planning. (2) Integrated Risk Management Program — cybersecurity risk management is conducted in isolation from enterprise risk management; cross-functional risk integration is absent; risk information does not regularly inform executive decisions. (3) External Participation — threat intelligence is consumed from commercial feeds and government advisories; external risk information sharing is reactive rather than proactive; industry collaboration is limited and informal. (4) Governance Documentation — cybersecurity policies exist informally but are not documented, approved, or communicated; roles and responsibilities are understood operationally but not formally assigned. Overall assessment confirms Tier 2 (Risk Informed) with five specific capability gaps preventing advancement to Tier 3.</w:t>
      </w:r>
    </w:p>
    <w:p>
      <w:pPr>
        <w:pStyle w:val="Heading2"/>
      </w:pPr>
      <w:r>
        <w:rPr>
          <w:rFonts w:ascii="Calibri" w:hAnsi="Calibri"/>
          <w:b/>
          <w:color w:val="1A3C6E"/>
          <w:sz w:val="32"/>
        </w:rPr>
        <w:t>2.7  Maturity Scoring Model</w:t>
      </w:r>
    </w:p>
    <w:p>
      <w:pPr>
        <w:spacing w:before="40" w:after="160"/>
        <w:pBdr>
          <w:bottom w:val="single" w:sz="6" w:space="1" w:color="007B7F"/>
        </w:pBdr>
      </w:pPr>
    </w:p>
    <w:p>
      <w:pPr>
        <w:spacing w:after="120" w:before="0"/>
      </w:pPr>
      <w:r>
        <w:rPr>
          <w:rFonts w:ascii="Calibri" w:hAnsi="Calibri" w:eastAsia="Calibri"/>
          <w:b w:val="0"/>
          <w:i w:val="0"/>
          <w:color w:val="333333"/>
          <w:sz w:val="22"/>
        </w:rPr>
        <w:t>Maturity scoring uses a five-level scale aligned with Capability Maturity Model Integration (CMMI) principles and NIST CSF 2.0 implementation tiers: Level 1 (Initial) — 0–20%, completely ad-hoc, no defined processes, individual-dependent; Level 2 (Managed) — 21–40%, reactive processes, emerging documentation, inconsistent execution; Level 3 (Defined) — 41–60%, standardized processes documented and communicated, consistent execution within domains; Level 4 (Quantitatively Managed) — 61–80%, processes measured and controlled using metrics, data-driven decisions; Level 5 (Optimizing) — 81–100%, continuously improving, proactive risk management, innovation-driven security. Current overall maturity is 48.3%, placing Urbego at Level 3 (Defined) with significant intra-domain variation: Respond leads at 54.5% while Govern lags at 44.4%. No domain has achieved Level 4 maturity.</w:t>
      </w:r>
    </w:p>
    <w:p>
      <w:r>
        <w:br w:type="page"/>
      </w:r>
    </w:p>
    <w:p>
      <w:pPr>
        <w:pStyle w:val="Heading1"/>
      </w:pPr>
      <w:r>
        <w:rPr>
          <w:rFonts w:ascii="Calibri" w:hAnsi="Calibri"/>
          <w:b/>
          <w:color w:val="002B5C"/>
          <w:sz w:val="44"/>
        </w:rPr>
        <w:t>3. EXECUTIVE SUMMARY</w:t>
      </w:r>
    </w:p>
    <w:p>
      <w:pPr>
        <w:spacing w:before="40" w:after="160"/>
        <w:pBdr>
          <w:bottom w:val="single" w:sz="6" w:space="1" w:color="007B7F"/>
        </w:pBdr>
      </w:pPr>
    </w:p>
    <w:p>
      <w:pPr>
        <w:pStyle w:val="Heading2"/>
      </w:pPr>
      <w:r>
        <w:rPr>
          <w:rFonts w:ascii="Calibri" w:hAnsi="Calibri"/>
          <w:b/>
          <w:color w:val="1A3C6E"/>
          <w:sz w:val="32"/>
        </w:rPr>
        <w:t>3.1  Overall Cybersecurity Posture</w:t>
      </w:r>
    </w:p>
    <w:p>
      <w:pPr>
        <w:spacing w:before="40" w:after="160"/>
        <w:pBdr>
          <w:bottom w:val="single" w:sz="6" w:space="1" w:color="007B7F"/>
        </w:pBdr>
      </w:pPr>
    </w:p>
    <w:p>
      <w:pPr>
        <w:spacing w:after="120" w:before="0"/>
      </w:pPr>
      <w:r>
        <w:rPr>
          <w:rFonts w:ascii="Calibri" w:hAnsi="Calibri" w:eastAsia="Calibri"/>
          <w:b w:val="0"/>
          <w:i w:val="0"/>
          <w:color w:val="333333"/>
          <w:sz w:val="22"/>
        </w:rPr>
        <w:t>Urbego Cybersecurity demonstrates moderate operational maturity with a current overall score of 48.3% across all six NIST CSF 2.0 functions. The organization exhibits strong capabilities in asset lifecycle management, threat intelligence integration, network anomaly detection, and recovery prioritization — reflecting operational discipline developed through practical experience. However, significant governance formalization gaps exist, with critical foundational controls missing in incident response documentation, centralized logging, and configuration management. The posture reflects a 'risk-informed' organization where cybersecurity risks are recognized and operationally addressed but not consistently documented, institutionalized, or integrated into enterprise governance. This creates an unbalanced risk profile: strong detection capability exists without the forensic infrastructure or documented response procedures needed to leverage it effectively during a serious security incident.</w:t>
      </w:r>
    </w:p>
    <w:p>
      <w:pPr>
        <w:pStyle w:val="Heading2"/>
      </w:pPr>
      <w:r>
        <w:rPr>
          <w:rFonts w:ascii="Calibri" w:hAnsi="Calibri"/>
          <w:b/>
          <w:color w:val="1A3C6E"/>
          <w:sz w:val="32"/>
        </w:rPr>
        <w:t>3.2  Current vs Target Profile Overview</w:t>
      </w:r>
    </w:p>
    <w:p>
      <w:pPr>
        <w:spacing w:before="40" w:after="160"/>
        <w:pBdr>
          <w:bottom w:val="single" w:sz="6" w:space="1" w:color="007B7F"/>
        </w:pBdr>
      </w:pPr>
    </w:p>
    <w:p>
      <w:pPr>
        <w:spacing w:after="120" w:before="0"/>
      </w:pPr>
      <w:r>
        <w:rPr>
          <w:rFonts w:ascii="Calibri" w:hAnsi="Calibri" w:eastAsia="Calibri"/>
          <w:b w:val="0"/>
          <w:i w:val="0"/>
          <w:color w:val="333333"/>
          <w:sz w:val="22"/>
        </w:rPr>
        <w:t>Current Profile (Tier 2 – Risk Informed): Characterized by leadership awareness of cybersecurity risks, partial implementation of operational controls with inconsistent coverage, significant documentation gaps, reactive governance practices, and absence of formal metrics or performance management. Risk management activities are conducted informally and are dependent on individual expertise rather than institutional process. Target Profile (Tier 3 – Repeatable): Requires fully documented and leadership-approved cybersecurity policies, consistent control implementation across all domains, formal incident response lifecycle with tested procedures, integrated risk management processes connected to enterprise risk, institutionalized governance frameworks with defined accountability, and measurable performance monitoring. The gap between current and target state requires an estimated 25–30% maturity increase across all domains. The most critical gap areas requiring immediate attention are incident response planning, system logging infrastructure, and governance documentation.</w:t>
      </w:r>
    </w:p>
    <w:p>
      <w:pPr>
        <w:pStyle w:val="Heading2"/>
      </w:pPr>
      <w:r>
        <w:rPr>
          <w:rFonts w:ascii="Calibri" w:hAnsi="Calibri"/>
          <w:b/>
          <w:color w:val="1A3C6E"/>
          <w:sz w:val="32"/>
        </w:rPr>
        <w:t>3.3  Implementation Tier Justification</w:t>
      </w:r>
    </w:p>
    <w:p>
      <w:pPr>
        <w:spacing w:before="40" w:after="160"/>
        <w:pBdr>
          <w:bottom w:val="single" w:sz="6" w:space="1" w:color="007B7F"/>
        </w:pBdr>
      </w:pPr>
    </w:p>
    <w:p>
      <w:pPr>
        <w:spacing w:after="120" w:before="0"/>
      </w:pPr>
      <w:r>
        <w:rPr>
          <w:rFonts w:ascii="Calibri" w:hAnsi="Calibri" w:eastAsia="Calibri"/>
          <w:b w:val="0"/>
          <w:i w:val="0"/>
          <w:color w:val="333333"/>
          <w:sz w:val="22"/>
        </w:rPr>
        <w:t>Tier 2 (Risk Informed) is confirmed based on four positive indicators: (1) demonstrated leadership awareness and documented understanding of cybersecurity risks at the executive level; (2) operational monitoring capabilities in network anomaly detection and threat intelligence integration performing effectively; (3) asset management practices with criticality prioritization and lifecycle tracking functioning well; and (4) partial incident response execution capability demonstrated during minor incidents. However, advancement to Tier 3 is prevented by five key deficiencies: (1) complete absence of a documented and tested incident response plan — the most significant gap; (2) system logging not implemented across any critical systems, eliminating forensic investigation capability; (3) configuration management framework missing — no secure baselines exist for any system type; (4) network protection controls incomplete — segmentation partial, no IPS, firewall rules reviewed infrequently; (5) governance policy framework absent — no documented acceptable use policy, access control policy, or data protection policy. These deficiencies indicate that cybersecurity practices, while operationally functional, are not yet repeatable, documented, or institutionalized.</w:t>
      </w:r>
    </w:p>
    <w:p>
      <w:pPr>
        <w:pStyle w:val="Heading2"/>
      </w:pPr>
      <w:r>
        <w:rPr>
          <w:rFonts w:ascii="Calibri" w:hAnsi="Calibri"/>
          <w:b/>
          <w:color w:val="1A3C6E"/>
          <w:sz w:val="32"/>
        </w:rPr>
        <w:t>3.4  Overall Risk &amp; Maturity Rating</w:t>
      </w:r>
    </w:p>
    <w:p>
      <w:pPr>
        <w:spacing w:before="40" w:after="160"/>
        <w:pBdr>
          <w:bottom w:val="single" w:sz="6" w:space="1" w:color="007B7F"/>
        </w:pBdr>
      </w:pPr>
    </w:p>
    <w:p>
      <w:pPr>
        <w:spacing w:after="120" w:before="0"/>
      </w:pPr>
      <w:r>
        <w:rPr>
          <w:rFonts w:ascii="Calibri" w:hAnsi="Calibri" w:eastAsia="Calibri"/>
          <w:b w:val="0"/>
          <w:i w:val="0"/>
          <w:color w:val="333333"/>
          <w:sz w:val="22"/>
        </w:rPr>
        <w:t>Overall Maturity: 48.3% (Level 3 – Defined). Residual Risk Exposure: Moderate-High. Risk is unevenly distributed across functions, with Governance and Protection carrying the highest residual risk. Key risk drivers in order of severity: (1) Absence of documented incident response plan — significantly extends breach dwell time and increases regulatory and reputational exposure; (2) Lack of system logging — eliminates forensic investigation capability, prevents timeline reconstruction during incidents, and creates compliance gaps under data protection regulations; (3) Missing configuration management — unknown configuration drift creates undocumented vulnerability exposure across all managed systems; (4) Incomplete network protection — partial segmentation and absent intrusion prevention allow lateral movement during incidents; (5) Governance documentation gaps — create accountability ambiguity, policy enforcement challenges, and audit exposure. Compensating strengths that partially mitigate residual risk include effective threat intelligence integration, strong network monitoring, and disciplined asset management.</w:t>
      </w:r>
    </w:p>
    <w:p>
      <w:pPr>
        <w:pStyle w:val="Heading2"/>
      </w:pPr>
      <w:r>
        <w:rPr>
          <w:rFonts w:ascii="Calibri" w:hAnsi="Calibri"/>
          <w:b/>
          <w:color w:val="1A3C6E"/>
          <w:sz w:val="32"/>
        </w:rPr>
        <w:t>3.5  Key Strengths</w:t>
      </w:r>
    </w:p>
    <w:p>
      <w:pPr>
        <w:spacing w:before="40" w:after="160"/>
        <w:pBdr>
          <w:bottom w:val="single" w:sz="6" w:space="1" w:color="007B7F"/>
        </w:pBdr>
      </w:pPr>
    </w:p>
    <w:p>
      <w:pPr>
        <w:spacing w:after="60"/>
      </w:pPr>
      <w:r>
        <w:rPr>
          <w:b/>
          <w:color w:val="27AE60"/>
          <w:sz w:val="24"/>
        </w:rPr>
        <w:t xml:space="preserve">✔  </w:t>
      </w:r>
      <w:r>
        <w:rPr>
          <w:rFonts w:ascii="Calibri" w:hAnsi="Calibri"/>
          <w:color w:val="333333"/>
          <w:sz w:val="22"/>
        </w:rPr>
        <w:t>Asset lifecycle management with criticality-based prioritization — hardware and software inventories maintained with consistent metadata capture and classification (Fully Implemented at 75%)</w:t>
      </w:r>
    </w:p>
    <w:p>
      <w:pPr>
        <w:spacing w:after="60"/>
      </w:pPr>
      <w:r>
        <w:rPr>
          <w:b/>
          <w:color w:val="27AE60"/>
          <w:sz w:val="24"/>
        </w:rPr>
        <w:t xml:space="preserve">✔  </w:t>
      </w:r>
      <w:r>
        <w:rPr>
          <w:rFonts w:ascii="Calibri" w:hAnsi="Calibri"/>
          <w:color w:val="333333"/>
          <w:sz w:val="22"/>
        </w:rPr>
        <w:t>Data flow mapping and network architecture documentation — critical data flows and network connections are well-documented, supporting both risk analysis and incident investigation (Fully Implemented at 75%)</w:t>
      </w:r>
    </w:p>
    <w:p>
      <w:pPr>
        <w:spacing w:after="60"/>
      </w:pPr>
      <w:r>
        <w:rPr>
          <w:b/>
          <w:color w:val="27AE60"/>
          <w:sz w:val="24"/>
        </w:rPr>
        <w:t xml:space="preserve">✔  </w:t>
      </w:r>
      <w:r>
        <w:rPr>
          <w:rFonts w:ascii="Calibri" w:hAnsi="Calibri"/>
          <w:color w:val="333333"/>
          <w:sz w:val="22"/>
        </w:rPr>
        <w:t>Threat intelligence integration for proactive threat detection — commercial and open-source threat intelligence feeds actively consumed and operationalized into monitoring processes (Fully Implemented at 75%)</w:t>
      </w:r>
    </w:p>
    <w:p>
      <w:pPr>
        <w:spacing w:after="60"/>
      </w:pPr>
      <w:r>
        <w:rPr>
          <w:b/>
          <w:color w:val="27AE60"/>
          <w:sz w:val="24"/>
        </w:rPr>
        <w:t xml:space="preserve">✔  </w:t>
      </w:r>
      <w:r>
        <w:rPr>
          <w:rFonts w:ascii="Calibri" w:hAnsi="Calibri"/>
          <w:color w:val="333333"/>
          <w:sz w:val="22"/>
        </w:rPr>
        <w:t>Network anomaly monitoring capabilities — network traffic analysis and anomaly detection tools deployed and actively monitored by operations team (Fully Implemented at 75%)</w:t>
      </w:r>
    </w:p>
    <w:p>
      <w:pPr>
        <w:spacing w:after="60"/>
      </w:pPr>
      <w:r>
        <w:rPr>
          <w:b/>
          <w:color w:val="27AE60"/>
          <w:sz w:val="24"/>
        </w:rPr>
        <w:t xml:space="preserve">✔  </w:t>
      </w:r>
      <w:r>
        <w:rPr>
          <w:rFonts w:ascii="Calibri" w:hAnsi="Calibri"/>
          <w:color w:val="333333"/>
          <w:sz w:val="22"/>
        </w:rPr>
        <w:t>Recovery prioritization based on business impact — recovery steps clearly defined and consistently executed with risk-based sequencing for critical service restoration (Fully Implemented at 75%)</w:t>
      </w:r>
    </w:p>
    <w:p>
      <w:pPr>
        <w:spacing w:after="60"/>
      </w:pPr>
      <w:r>
        <w:rPr>
          <w:b/>
          <w:color w:val="27AE60"/>
          <w:sz w:val="24"/>
        </w:rPr>
        <w:t xml:space="preserve">✔  </w:t>
      </w:r>
      <w:r>
        <w:rPr>
          <w:rFonts w:ascii="Calibri" w:hAnsi="Calibri"/>
          <w:color w:val="333333"/>
          <w:sz w:val="22"/>
        </w:rPr>
        <w:t>Regulatory compliance awareness and management — compliance obligations are actively tracked and managed, particularly for data protection requirements (Fully Implemented at 75%)</w:t>
      </w:r>
    </w:p>
    <w:p>
      <w:pPr>
        <w:spacing w:after="60"/>
      </w:pPr>
      <w:r>
        <w:rPr>
          <w:b/>
          <w:color w:val="27AE60"/>
          <w:sz w:val="24"/>
        </w:rPr>
        <w:t xml:space="preserve">✔  </w:t>
      </w:r>
      <w:r>
        <w:rPr>
          <w:rFonts w:ascii="Calibri" w:hAnsi="Calibri"/>
          <w:color w:val="333333"/>
          <w:sz w:val="22"/>
        </w:rPr>
        <w:t>Secure hardware asset maintenance and physical access controls — hardware assets physically secured with controlled access, asset disposition handled per secure disposal standards (Fully Implemented at 75%)</w:t>
      </w:r>
    </w:p>
    <w:p>
      <w:pPr>
        <w:spacing w:after="60"/>
      </w:pPr>
      <w:r>
        <w:rPr>
          <w:b/>
          <w:color w:val="27AE60"/>
          <w:sz w:val="24"/>
        </w:rPr>
        <w:t xml:space="preserve">✔  </w:t>
      </w:r>
      <w:r>
        <w:rPr>
          <w:rFonts w:ascii="Calibri" w:hAnsi="Calibri"/>
          <w:color w:val="333333"/>
          <w:sz w:val="22"/>
        </w:rPr>
        <w:t>Internal and external communication during incidents — established communication channels for coordinating incident response with internal teams and external parties (Fully Implemented at 75%)</w:t>
      </w:r>
    </w:p>
    <w:p>
      <w:pPr>
        <w:pStyle w:val="Heading2"/>
      </w:pPr>
      <w:r>
        <w:rPr>
          <w:rFonts w:ascii="Calibri" w:hAnsi="Calibri"/>
          <w:b/>
          <w:color w:val="1A3C6E"/>
          <w:sz w:val="32"/>
        </w:rPr>
        <w:t>3.6  High-Risk Findings &amp; Key Recommendations</w:t>
      </w:r>
    </w:p>
    <w:p>
      <w:pPr>
        <w:spacing w:before="40" w:after="160"/>
        <w:pBdr>
          <w:bottom w:val="single" w:sz="6" w:space="1" w:color="007B7F"/>
        </w:pBdr>
      </w:pPr>
    </w:p>
    <w:p>
      <w:r>
        <w:rPr>
          <w:color w:val="C0392B"/>
          <w:sz w:val="24"/>
        </w:rPr>
        <w:t xml:space="preserve">⚠  </w:t>
      </w:r>
      <w:r>
        <w:rPr>
          <w:rFonts w:ascii="Calibri" w:hAnsi="Calibri"/>
          <w:b/>
          <w:color w:val="333333"/>
          <w:sz w:val="22"/>
        </w:rPr>
        <w:t>Finding: No documented incident response plan exists across any business unit or function</w:t>
      </w:r>
    </w:p>
    <w:p>
      <w:pPr>
        <w:ind w:left="432"/>
      </w:pPr>
      <w:r>
        <w:rPr>
          <w:rFonts w:ascii="Calibri" w:hAnsi="Calibri"/>
          <w:color w:val="666666"/>
          <w:sz w:val="20"/>
        </w:rPr>
        <w:t xml:space="preserve">Risk Level: </w:t>
      </w:r>
      <w:r>
        <w:rPr>
          <w:rFonts w:ascii="Calibri" w:hAnsi="Calibri"/>
          <w:b/>
          <w:color w:val="C0392B"/>
          <w:sz w:val="20"/>
        </w:rPr>
        <w:t>Critical</w:t>
      </w:r>
    </w:p>
    <w:p>
      <w:pPr>
        <w:spacing w:after="200"/>
        <w:ind w:left="432"/>
      </w:pPr>
      <w:r>
        <w:rPr>
          <w:rFonts w:ascii="Calibri" w:hAnsi="Calibri"/>
          <w:color w:val="666666"/>
          <w:sz w:val="20"/>
        </w:rPr>
        <w:t xml:space="preserve">Recommendation: </w:t>
      </w:r>
      <w:r>
        <w:rPr>
          <w:rFonts w:ascii="Calibri" w:hAnsi="Calibri"/>
          <w:color w:val="333333"/>
          <w:sz w:val="20"/>
        </w:rPr>
        <w:t>Develop and formally approve an incident response plan aligned with NIST SP 800-61 Rev. 2, covering incident classification, escalation procedures, communication protocols, containment strategies, evidence preservation, and post-incident review. Assign an Incident Response Team (IRT) with defined roles. Conduct tabletop exercises within 90 days of plan approval. Review and update plan annually or following significant incidents.</w:t>
      </w:r>
    </w:p>
    <w:p>
      <w:r>
        <w:rPr>
          <w:color w:val="C0392B"/>
          <w:sz w:val="24"/>
        </w:rPr>
        <w:t xml:space="preserve">⚠  </w:t>
      </w:r>
      <w:r>
        <w:rPr>
          <w:rFonts w:ascii="Calibri" w:hAnsi="Calibri"/>
          <w:b/>
          <w:color w:val="333333"/>
          <w:sz w:val="22"/>
        </w:rPr>
        <w:t>Finding: System logging not implemented across critical infrastructure and endpoints</w:t>
      </w:r>
    </w:p>
    <w:p>
      <w:pPr>
        <w:ind w:left="432"/>
      </w:pPr>
      <w:r>
        <w:rPr>
          <w:rFonts w:ascii="Calibri" w:hAnsi="Calibri"/>
          <w:color w:val="666666"/>
          <w:sz w:val="20"/>
        </w:rPr>
        <w:t xml:space="preserve">Risk Level: </w:t>
      </w:r>
      <w:r>
        <w:rPr>
          <w:rFonts w:ascii="Calibri" w:hAnsi="Calibri"/>
          <w:b/>
          <w:color w:val="C0392B"/>
          <w:sz w:val="20"/>
        </w:rPr>
        <w:t>Critical</w:t>
      </w:r>
    </w:p>
    <w:p>
      <w:pPr>
        <w:spacing w:after="200"/>
        <w:ind w:left="432"/>
      </w:pPr>
      <w:r>
        <w:rPr>
          <w:rFonts w:ascii="Calibri" w:hAnsi="Calibri"/>
          <w:color w:val="666666"/>
          <w:sz w:val="20"/>
        </w:rPr>
        <w:t xml:space="preserve">Recommendation: </w:t>
      </w:r>
      <w:r>
        <w:rPr>
          <w:rFonts w:ascii="Calibri" w:hAnsi="Calibri"/>
          <w:color w:val="333333"/>
          <w:sz w:val="20"/>
        </w:rPr>
        <w:t>Implement a centralized log management solution (SIEM or dedicated log management platform) covering all critical systems, servers, network devices, and endpoints. Define log retention periods aligned with regulatory obligations (minimum 12 months online, 36 months archived). Establish log integrity controls to prevent tampering. Configure automated alerting for critical security events. Target deployment within 120 days with phased rollout: critical servers in Days 1–60, network infrastructure in Days 61–90, endpoints in Days 91–120.</w:t>
      </w:r>
    </w:p>
    <w:p>
      <w:r>
        <w:rPr>
          <w:color w:val="C0392B"/>
          <w:sz w:val="24"/>
        </w:rPr>
        <w:t xml:space="preserve">⚠  </w:t>
      </w:r>
      <w:r>
        <w:rPr>
          <w:rFonts w:ascii="Calibri" w:hAnsi="Calibri"/>
          <w:b/>
          <w:color w:val="333333"/>
          <w:sz w:val="22"/>
        </w:rPr>
        <w:t>Finding: Configuration management framework completely absent — no secure baselines established for any system type</w:t>
      </w:r>
    </w:p>
    <w:p>
      <w:pPr>
        <w:ind w:left="432"/>
      </w:pPr>
      <w:r>
        <w:rPr>
          <w:rFonts w:ascii="Calibri" w:hAnsi="Calibri"/>
          <w:color w:val="666666"/>
          <w:sz w:val="20"/>
        </w:rPr>
        <w:t xml:space="preserve">Risk Level: </w:t>
      </w:r>
      <w:r>
        <w:rPr>
          <w:rFonts w:ascii="Calibri" w:hAnsi="Calibri"/>
          <w:b/>
          <w:color w:val="C0392B"/>
          <w:sz w:val="20"/>
        </w:rPr>
        <w:t>High</w:t>
      </w:r>
    </w:p>
    <w:p>
      <w:pPr>
        <w:spacing w:after="200"/>
        <w:ind w:left="432"/>
      </w:pPr>
      <w:r>
        <w:rPr>
          <w:rFonts w:ascii="Calibri" w:hAnsi="Calibri"/>
          <w:color w:val="666666"/>
          <w:sz w:val="20"/>
        </w:rPr>
        <w:t xml:space="preserve">Recommendation: </w:t>
      </w:r>
      <w:r>
        <w:rPr>
          <w:rFonts w:ascii="Calibri" w:hAnsi="Calibri"/>
          <w:color w:val="333333"/>
          <w:sz w:val="20"/>
        </w:rPr>
        <w:t>Establish secure configuration baselines for all system types using CIS Benchmarks or DISA STIGs as foundation. Implement configuration management tooling (e.g., Ansible, Chef, or equivalent) to enforce and monitor compliance. Establish a change management process requiring security review for configuration changes. Prioritize internet-facing and critical systems for baseline implementation within 90 days. Conduct full configuration audit across all systems within 180 days.</w:t>
      </w:r>
    </w:p>
    <w:p>
      <w:r>
        <w:rPr>
          <w:color w:val="C0392B"/>
          <w:sz w:val="24"/>
        </w:rPr>
        <w:t xml:space="preserve">⚠  </w:t>
      </w:r>
      <w:r>
        <w:rPr>
          <w:rFonts w:ascii="Calibri" w:hAnsi="Calibri"/>
          <w:b/>
          <w:color w:val="333333"/>
          <w:sz w:val="22"/>
        </w:rPr>
        <w:t>Finding: Network protection controls incomplete — segmentation partial, no intrusion prevention, firewall reviews infrequent</w:t>
      </w:r>
    </w:p>
    <w:p>
      <w:pPr>
        <w:ind w:left="432"/>
      </w:pPr>
      <w:r>
        <w:rPr>
          <w:rFonts w:ascii="Calibri" w:hAnsi="Calibri"/>
          <w:color w:val="666666"/>
          <w:sz w:val="20"/>
        </w:rPr>
        <w:t xml:space="preserve">Risk Level: </w:t>
      </w:r>
      <w:r>
        <w:rPr>
          <w:rFonts w:ascii="Calibri" w:hAnsi="Calibri"/>
          <w:b/>
          <w:color w:val="C0392B"/>
          <w:sz w:val="20"/>
        </w:rPr>
        <w:t>High</w:t>
      </w:r>
    </w:p>
    <w:p>
      <w:pPr>
        <w:spacing w:after="200"/>
        <w:ind w:left="432"/>
      </w:pPr>
      <w:r>
        <w:rPr>
          <w:rFonts w:ascii="Calibri" w:hAnsi="Calibri"/>
          <w:color w:val="666666"/>
          <w:sz w:val="20"/>
        </w:rPr>
        <w:t xml:space="preserve">Recommendation: </w:t>
      </w:r>
      <w:r>
        <w:rPr>
          <w:rFonts w:ascii="Calibri" w:hAnsi="Calibri"/>
          <w:color w:val="333333"/>
          <w:sz w:val="20"/>
        </w:rPr>
        <w:t>Execute a network segmentation strategy defining security zones for critical assets, user workstations, servers, and external-facing systems. Implement network access controls enforcing zone boundaries. Deploy intrusion prevention capabilities at network perimeter and critical internal boundaries. Establish quarterly firewall rule review process with formal approval and documentation. Develop network hardening standards and apply to all active network devices. Complete within 180 days.</w:t>
      </w:r>
    </w:p>
    <w:p>
      <w:r>
        <w:rPr>
          <w:color w:val="C0392B"/>
          <w:sz w:val="24"/>
        </w:rPr>
        <w:t xml:space="preserve">⚠  </w:t>
      </w:r>
      <w:r>
        <w:rPr>
          <w:rFonts w:ascii="Calibri" w:hAnsi="Calibri"/>
          <w:b/>
          <w:color w:val="333333"/>
          <w:sz w:val="22"/>
        </w:rPr>
        <w:t>Finding: Cybersecurity governance policy framework entirely missing — no documented acceptable use, access control, incident response, or data protection policies</w:t>
      </w:r>
    </w:p>
    <w:p>
      <w:pPr>
        <w:ind w:left="432"/>
      </w:pPr>
      <w:r>
        <w:rPr>
          <w:rFonts w:ascii="Calibri" w:hAnsi="Calibri"/>
          <w:color w:val="666666"/>
          <w:sz w:val="20"/>
        </w:rPr>
        <w:t xml:space="preserve">Risk Level: </w:t>
      </w:r>
      <w:r>
        <w:rPr>
          <w:rFonts w:ascii="Calibri" w:hAnsi="Calibri"/>
          <w:b/>
          <w:color w:val="C0392B"/>
          <w:sz w:val="20"/>
        </w:rPr>
        <w:t>High</w:t>
      </w:r>
    </w:p>
    <w:p>
      <w:pPr>
        <w:spacing w:after="200"/>
        <w:ind w:left="432"/>
      </w:pPr>
      <w:r>
        <w:rPr>
          <w:rFonts w:ascii="Calibri" w:hAnsi="Calibri"/>
          <w:color w:val="666666"/>
          <w:sz w:val="20"/>
        </w:rPr>
        <w:t xml:space="preserve">Recommendation: </w:t>
      </w:r>
      <w:r>
        <w:rPr>
          <w:rFonts w:ascii="Calibri" w:hAnsi="Calibri"/>
          <w:color w:val="333333"/>
          <w:sz w:val="20"/>
        </w:rPr>
        <w:t>Develop a comprehensive cybersecurity policy framework comprising at minimum: (1) Cybersecurity Governance Charter, (2) Acceptable Use Policy, (3) Access Control Policy, (4) Data Classification and Handling Policy, (5) Incident Response Policy, (6) Remote Work and Mobile Device Policy, and (7) Third-Party Risk Management Policy. Obtain CISO and executive leadership approval. Distribute to all employees with acknowledgement tracking. Establish annual review cycle. Complete initial framework within 90 days.</w:t>
      </w:r>
    </w:p>
    <w:p>
      <w:pPr>
        <w:pStyle w:val="Heading2"/>
      </w:pPr>
      <w:r>
        <w:rPr>
          <w:rFonts w:ascii="Calibri" w:hAnsi="Calibri"/>
          <w:b/>
          <w:color w:val="1A3C6E"/>
          <w:sz w:val="32"/>
        </w:rPr>
        <w:t>3.7  Strategic Roadmap Overview</w:t>
      </w:r>
    </w:p>
    <w:p>
      <w:pPr>
        <w:spacing w:before="40" w:after="160"/>
        <w:pBdr>
          <w:bottom w:val="single" w:sz="6" w:space="1" w:color="007B7F"/>
        </w:pBdr>
      </w:pPr>
    </w:p>
    <w:p>
      <w:pPr>
        <w:pStyle w:val="Heading3"/>
      </w:pPr>
      <w:r>
        <w:rPr>
          <w:rFonts w:ascii="Calibri" w:hAnsi="Calibri"/>
          <w:b/>
          <w:color w:val="007B7F"/>
          <w:sz w:val="26"/>
        </w:rPr>
        <w:t>Phase 1 0 90 Days Governance Foundation</w:t>
      </w:r>
    </w:p>
    <w:p>
      <w:pPr>
        <w:spacing w:after="120" w:before="0"/>
      </w:pPr>
      <w:r>
        <w:rPr>
          <w:rFonts w:ascii="Calibri" w:hAnsi="Calibri" w:eastAsia="Calibri"/>
          <w:b w:val="0"/>
          <w:i w:val="0"/>
          <w:color w:val="333333"/>
          <w:sz w:val="22"/>
        </w:rPr>
        <w:t>Establish formal cybersecurity governance charter with leadership approval. Document core policies (Acceptable Use, Access Control, Data Protection, Incident Response). Define and publish RACI matrix for all cybersecurity functions. Develop and approve incident response plan aligned with NIST SP 800-61. Conduct initial incident response tabletop exercise. Initiate centralized logging procurement and architecture planning. Begin SIEM platform evaluation and vendor selection.</w:t>
      </w:r>
    </w:p>
    <w:p>
      <w:pPr>
        <w:pStyle w:val="Heading3"/>
      </w:pPr>
      <w:r>
        <w:rPr>
          <w:rFonts w:ascii="Calibri" w:hAnsi="Calibri"/>
          <w:b/>
          <w:color w:val="007B7F"/>
          <w:sz w:val="26"/>
        </w:rPr>
        <w:t>Phase 2 90 180 Days Operational Controls</w:t>
      </w:r>
    </w:p>
    <w:p>
      <w:pPr>
        <w:spacing w:after="120" w:before="0"/>
      </w:pPr>
      <w:r>
        <w:rPr>
          <w:rFonts w:ascii="Calibri" w:hAnsi="Calibri" w:eastAsia="Calibri"/>
          <w:b w:val="0"/>
          <w:i w:val="0"/>
          <w:color w:val="333333"/>
          <w:sz w:val="22"/>
        </w:rPr>
        <w:t>Deploy centralized logging solution across critical systems and network infrastructure. Implement configuration management framework with secure baselines for critical assets. Complete network protection controls including segmentation, firewall review process, and intrusion detection deployment. Establish formal risk register with documented impact and likelihood assessments. Conduct first full incident response exercise with lessons learned capture. Begin privileged access management implementation.</w:t>
      </w:r>
    </w:p>
    <w:p>
      <w:pPr>
        <w:pStyle w:val="Heading3"/>
      </w:pPr>
      <w:r>
        <w:rPr>
          <w:rFonts w:ascii="Calibri" w:hAnsi="Calibri"/>
          <w:b/>
          <w:color w:val="007B7F"/>
          <w:sz w:val="26"/>
        </w:rPr>
        <w:t>Phase 3 180 270 Days Institutionalization</w:t>
      </w:r>
    </w:p>
    <w:p>
      <w:pPr>
        <w:spacing w:after="120" w:before="0"/>
      </w:pPr>
      <w:r>
        <w:rPr>
          <w:rFonts w:ascii="Calibri" w:hAnsi="Calibri" w:eastAsia="Calibri"/>
          <w:b w:val="0"/>
          <w:i w:val="0"/>
          <w:color w:val="333333"/>
          <w:sz w:val="22"/>
        </w:rPr>
        <w:t>Integrate cybersecurity metrics into quarterly leadership reporting. Automate configuration compliance monitoring and alerting. Implement supplier risk assessment program with pre-engagement screening. Deploy role-based security awareness training with phishing simulation capability. Extend logging coverage to all endpoints. Formalize change management process with security integration. Conduct first external penetration test.</w:t>
      </w:r>
    </w:p>
    <w:p>
      <w:pPr>
        <w:pStyle w:val="Heading3"/>
      </w:pPr>
      <w:r>
        <w:rPr>
          <w:rFonts w:ascii="Calibri" w:hAnsi="Calibri"/>
          <w:b/>
          <w:color w:val="007B7F"/>
          <w:sz w:val="26"/>
        </w:rPr>
        <w:t>Phase 4 270 365 Days Continuous Improvement</w:t>
      </w:r>
    </w:p>
    <w:p>
      <w:pPr>
        <w:spacing w:after="120" w:before="0"/>
      </w:pPr>
      <w:r>
        <w:rPr>
          <w:rFonts w:ascii="Calibri" w:hAnsi="Calibri" w:eastAsia="Calibri"/>
          <w:b w:val="0"/>
          <w:i w:val="0"/>
          <w:color w:val="333333"/>
          <w:sz w:val="22"/>
        </w:rPr>
        <w:t>Achieve Tier 3 maturity across all domains through systematic gap closure and institutionalization. Implement continuous monitoring improvements including automated threat hunting. Establish red team exercise program. Develop quantitative risk metrics and maturity trending. Conduct comprehensive NIST CSF 2.0 reassessment to validate Tier 3 achievement. Publish first annual cybersecurity report to executive leadership with performance data.</w:t>
      </w:r>
    </w:p>
    <w:p>
      <w:r>
        <w:br w:type="page"/>
      </w:r>
    </w:p>
    <w:p>
      <w:pPr>
        <w:pStyle w:val="Heading1"/>
      </w:pPr>
      <w:r>
        <w:rPr>
          <w:rFonts w:ascii="Calibri" w:hAnsi="Calibri"/>
          <w:b/>
          <w:color w:val="002B5C"/>
          <w:sz w:val="44"/>
        </w:rPr>
        <w:t>4. CSF FUNCTION ASSESSMENTS</w:t>
      </w:r>
    </w:p>
    <w:p>
      <w:pPr>
        <w:spacing w:before="40" w:after="160"/>
        <w:pBdr>
          <w:bottom w:val="single" w:sz="6" w:space="1" w:color="007B7F"/>
        </w:pBdr>
      </w:pPr>
    </w:p>
    <w:p>
      <w:pPr>
        <w:pStyle w:val="Heading2"/>
      </w:pPr>
      <w:r>
        <w:rPr>
          <w:rFonts w:ascii="Calibri" w:hAnsi="Calibri"/>
          <w:b/>
          <w:color w:val="1A3C6E"/>
          <w:sz w:val="32"/>
        </w:rPr>
        <w:t>4.1  GOVERN (GV)</w:t>
      </w:r>
    </w:p>
    <w:p>
      <w:pPr>
        <w:spacing w:before="40" w:after="160"/>
        <w:pBdr>
          <w:bottom w:val="single" w:sz="6" w:space="1" w:color="007B7F"/>
        </w:pBdr>
      </w:pPr>
    </w:p>
    <w:p>
      <w:pPr>
        <w:spacing w:after="120" w:before="0"/>
      </w:pPr>
      <w:r>
        <w:rPr>
          <w:rFonts w:ascii="Calibri" w:hAnsi="Calibri" w:eastAsia="Calibri"/>
          <w:b w:val="0"/>
          <w:i w:val="0"/>
          <w:color w:val="333333"/>
          <w:sz w:val="22"/>
        </w:rPr>
        <w:t>Governance function maturity is 44.4%, reflecting partial implementation with significant documentation and formalization gaps. Leadership demonstrates clear awareness of cybersecurity priorities and informal risk management is practiced, but the organization lacks a formal policy framework, documented role assignments, and structured accountability mechanisms. Risk appetite is understood at the leadership level but has never been formally documented or communicated. Supply chain risk governance shows early implementation with critical gaps in pre-engagement assessment and supplier lifecycle management. The absence of a metrics program means governance effectiveness cannot be measured or reported. Governance is the lowest-scoring function and represents the most impactful area for improvement, as governance deficiencies cascade negatively across all other functions.</w:t>
      </w:r>
    </w:p>
    <w:p>
      <w:pPr>
        <w:pStyle w:val="Heading3"/>
      </w:pPr>
      <w:r>
        <w:rPr>
          <w:rFonts w:ascii="Calibri" w:hAnsi="Calibri"/>
          <w:b/>
          <w:color w:val="007B7F"/>
          <w:sz w:val="26"/>
        </w:rPr>
        <w:t>4.1.1  GV OC ORGANIZATIONAL CONTEXT</w:t>
      </w:r>
    </w:p>
    <w:p>
      <w:r>
        <w:rPr>
          <w:rFonts w:ascii="Calibri" w:hAnsi="Calibri"/>
          <w:b/>
          <w:color w:val="666666"/>
          <w:sz w:val="22"/>
        </w:rPr>
        <w:t xml:space="preserve">Status: </w:t>
      </w:r>
      <w:r>
        <w:rPr>
          <w:rFonts w:ascii="Calibri" w:hAnsi="Calibri"/>
          <w:b/>
          <w:color w:val="27AE60"/>
          <w:sz w:val="22"/>
        </w:rPr>
        <w:t>Mostly Implemented (50%)</w:t>
      </w:r>
    </w:p>
    <w:p>
      <w:pPr>
        <w:spacing w:after="120" w:before="0"/>
      </w:pPr>
      <w:r>
        <w:rPr>
          <w:rFonts w:ascii="Calibri" w:hAnsi="Calibri" w:eastAsia="Calibri"/>
          <w:b w:val="0"/>
          <w:i w:val="0"/>
          <w:color w:val="333333"/>
          <w:sz w:val="22"/>
        </w:rPr>
        <w:t>Findings: Organizational mission guides cybersecurity priorities at the operational level, though this alignment is not formally documented in a cybersecurity charter or strategic plan. Critical services and business processes have been informally identified by IT leadership, with some understanding of their cybersecurity dependencies. Stakeholder expectations from customers, regulators, and partners are partially understood but have not been systematically captured or mapped to cybersecurity requirements.</w:t>
      </w:r>
    </w:p>
    <w:p>
      <w:pPr>
        <w:spacing w:after="120" w:before="0"/>
      </w:pPr>
      <w:r>
        <w:rPr>
          <w:rFonts w:ascii="Calibri" w:hAnsi="Calibri" w:eastAsia="Calibri"/>
          <w:b/>
          <w:i w:val="0"/>
          <w:color w:val="C0392B"/>
          <w:sz w:val="22"/>
        </w:rPr>
        <w:t>Gaps:</w:t>
      </w:r>
    </w:p>
    <w:p>
      <w:pPr>
        <w:spacing w:after="120" w:before="0"/>
      </w:pPr>
      <w:r>
        <w:rPr>
          <w:rFonts w:ascii="Calibri" w:hAnsi="Calibri" w:eastAsia="Calibri"/>
          <w:b w:val="0"/>
          <w:i w:val="0"/>
          <w:color w:val="333333"/>
          <w:sz w:val="22"/>
        </w:rPr>
        <w:t>No formal cybersecurity charter exists that documents organizational context, mission alignment, or strategic cybersecurity objectives. Strategic opportunities arising from cybersecurity investments (e.g., competitive differentiation, customer trust) are not systematically identified or communicated to leadership. Stakeholder communication channels for cybersecurity matters are undefined, leading to inconsistent messaging and unclear escalation paths. Business continuity planning does not formally incorporate cybersecurity risk scenarios.</w:t>
      </w:r>
    </w:p>
    <w:p>
      <w:pPr>
        <w:spacing w:after="120" w:before="0"/>
      </w:pPr>
      <w:r>
        <w:rPr>
          <w:rFonts w:ascii="Calibri" w:hAnsi="Calibri" w:eastAsia="Calibri"/>
          <w:b/>
          <w:i w:val="0"/>
          <w:color w:val="007B7F"/>
          <w:sz w:val="22"/>
        </w:rPr>
        <w:t>Recommendations:</w:t>
      </w:r>
    </w:p>
    <w:p>
      <w:pPr>
        <w:spacing w:after="120" w:before="0"/>
      </w:pPr>
      <w:r>
        <w:rPr>
          <w:rFonts w:ascii="Calibri" w:hAnsi="Calibri" w:eastAsia="Calibri"/>
          <w:b w:val="0"/>
          <w:i w:val="0"/>
          <w:color w:val="333333"/>
          <w:sz w:val="22"/>
        </w:rPr>
        <w:t>Develop and formally approve a Cybersecurity Governance Charter that articulates mission alignment, strategic objectives, stakeholder expectations, and the relationship between cybersecurity and organizational success. Establish a stakeholder engagement framework with defined communication channels for cybersecurity risk updates. Conduct a strategic opportunity analysis to identify where cybersecurity investments create business value. Integrate cybersecurity context into existing business continuity planning documentation.</w:t>
      </w:r>
    </w:p>
    <w:p>
      <w:pPr>
        <w:pStyle w:val="Heading3"/>
      </w:pPr>
      <w:r>
        <w:rPr>
          <w:rFonts w:ascii="Calibri" w:hAnsi="Calibri"/>
          <w:b/>
          <w:color w:val="007B7F"/>
          <w:sz w:val="26"/>
        </w:rPr>
        <w:t>4.1.2  GV RM RISK MANAGEMENT STRATEGY</w:t>
      </w:r>
    </w:p>
    <w:p>
      <w:r>
        <w:rPr>
          <w:rFonts w:ascii="Calibri" w:hAnsi="Calibri"/>
          <w:b/>
          <w:color w:val="666666"/>
          <w:sz w:val="22"/>
        </w:rPr>
        <w:t xml:space="preserve">Status: </w:t>
      </w:r>
      <w:r>
        <w:rPr>
          <w:rFonts w:ascii="Calibri" w:hAnsi="Calibri"/>
          <w:b/>
          <w:color w:val="27AE60"/>
          <w:sz w:val="22"/>
        </w:rPr>
        <w:t>Partially Implemented (37.5%)</w:t>
      </w:r>
    </w:p>
    <w:p>
      <w:pPr>
        <w:spacing w:after="120" w:before="0"/>
      </w:pPr>
      <w:r>
        <w:rPr>
          <w:rFonts w:ascii="Calibri" w:hAnsi="Calibri" w:eastAsia="Calibri"/>
          <w:b w:val="0"/>
          <w:i w:val="0"/>
          <w:color w:val="333333"/>
          <w:sz w:val="22"/>
        </w:rPr>
        <w:t>Findings: Risk appetite is informally understood by senior leadership and operationally influences security investment decisions, but has never been formally documented, approved, or communicated organization-wide. A basic risk assessment methodology exists for some operational areas and informs decisions in an ad-hoc manner. Risk response strategies have been partially defined for known threats but are inconsistent across domains. Enterprise risk management does not formally incorporate cybersecurity risk inputs.</w:t>
      </w:r>
    </w:p>
    <w:p>
      <w:pPr>
        <w:spacing w:after="120" w:before="0"/>
      </w:pPr>
      <w:r>
        <w:rPr>
          <w:rFonts w:ascii="Calibri" w:hAnsi="Calibri" w:eastAsia="Calibri"/>
          <w:b/>
          <w:i w:val="0"/>
          <w:color w:val="C0392B"/>
          <w:sz w:val="22"/>
        </w:rPr>
        <w:t>Gaps:</w:t>
      </w:r>
    </w:p>
    <w:p>
      <w:pPr>
        <w:spacing w:after="120" w:before="0"/>
      </w:pPr>
      <w:r>
        <w:rPr>
          <w:rFonts w:ascii="Calibri" w:hAnsi="Calibri" w:eastAsia="Calibri"/>
          <w:b w:val="0"/>
          <w:i w:val="0"/>
          <w:color w:val="333333"/>
          <w:sz w:val="22"/>
        </w:rPr>
        <w:t>Formal risk tolerance levels and appetite statements have not been documented or approved by the board or executive leadership. Risk management objectives are not formally defined, prioritized, or approved, resulting in inconsistent risk treatment decisions. Enterprise risk management integration is absent — cybersecurity risk operates in a silo disconnected from strategic and operational risk discussions. Risk acceptance decisions are made informally without documentation or authorization trails. No risk register exists to track identified risks, treatment plans, and residual exposures.</w:t>
      </w:r>
    </w:p>
    <w:p>
      <w:pPr>
        <w:spacing w:after="120" w:before="0"/>
      </w:pPr>
      <w:r>
        <w:rPr>
          <w:rFonts w:ascii="Calibri" w:hAnsi="Calibri" w:eastAsia="Calibri"/>
          <w:b/>
          <w:i w:val="0"/>
          <w:color w:val="007B7F"/>
          <w:sz w:val="22"/>
        </w:rPr>
        <w:t>Recommendations:</w:t>
      </w:r>
    </w:p>
    <w:p>
      <w:pPr>
        <w:spacing w:after="120" w:before="0"/>
      </w:pPr>
      <w:r>
        <w:rPr>
          <w:rFonts w:ascii="Calibri" w:hAnsi="Calibri" w:eastAsia="Calibri"/>
          <w:b w:val="0"/>
          <w:i w:val="0"/>
          <w:color w:val="333333"/>
          <w:sz w:val="22"/>
        </w:rPr>
        <w:t>Develop a formal Risk Appetite Statement approved by executive leadership that defines acceptable risk thresholds for key risk categories including cybersecurity. Establish documented risk management objectives aligned with organizational strategy. Implement a risk register as the central repository for identified risks with assigned owners, treatment plans, target dates, and residual risk assessments. Integrate cybersecurity risk into the enterprise risk management framework and ensure quarterly reporting to executive leadership. Define formal risk acceptance procedures with authorization requirements.</w:t>
      </w:r>
    </w:p>
    <w:p>
      <w:pPr>
        <w:pStyle w:val="Heading3"/>
      </w:pPr>
      <w:r>
        <w:rPr>
          <w:rFonts w:ascii="Calibri" w:hAnsi="Calibri"/>
          <w:b/>
          <w:color w:val="007B7F"/>
          <w:sz w:val="26"/>
        </w:rPr>
        <w:t>4.1.3  GV RR ROLES RESPONSIBILITIES</w:t>
      </w:r>
    </w:p>
    <w:p>
      <w:r>
        <w:rPr>
          <w:rFonts w:ascii="Calibri" w:hAnsi="Calibri"/>
          <w:b/>
          <w:color w:val="666666"/>
          <w:sz w:val="22"/>
        </w:rPr>
        <w:t xml:space="preserve">Status: </w:t>
      </w:r>
      <w:r>
        <w:rPr>
          <w:rFonts w:ascii="Calibri" w:hAnsi="Calibri"/>
          <w:b/>
          <w:color w:val="C0392B"/>
          <w:sz w:val="22"/>
        </w:rPr>
        <w:t>Not in Place (0%)</w:t>
      </w:r>
    </w:p>
    <w:p>
      <w:pPr>
        <w:spacing w:after="120" w:before="0"/>
      </w:pPr>
      <w:r>
        <w:rPr>
          <w:rFonts w:ascii="Calibri" w:hAnsi="Calibri" w:eastAsia="Calibri"/>
          <w:b w:val="0"/>
          <w:i w:val="0"/>
          <w:color w:val="333333"/>
          <w:sz w:val="22"/>
        </w:rPr>
        <w:t>Findings: Cybersecurity roles exist informally and are operationally functional — key individuals know their security responsibilities through organizational culture and informal understanding. However, no formal job descriptions, accountability structures, or role definitions have been documented for cybersecurity functions. Responsibility for organizational security culture is not explicitly assigned to any role or leader. Resource allocation for cybersecurity functions is below industry benchmarks and has not been formally assessed against organizational requirements.</w:t>
      </w:r>
    </w:p>
    <w:p>
      <w:pPr>
        <w:spacing w:after="120" w:before="0"/>
      </w:pPr>
      <w:r>
        <w:rPr>
          <w:rFonts w:ascii="Calibri" w:hAnsi="Calibri" w:eastAsia="Calibri"/>
          <w:b/>
          <w:i w:val="0"/>
          <w:color w:val="C0392B"/>
          <w:sz w:val="22"/>
        </w:rPr>
        <w:t>Gaps:</w:t>
      </w:r>
    </w:p>
    <w:p>
      <w:pPr>
        <w:spacing w:after="120" w:before="0"/>
      </w:pPr>
      <w:r>
        <w:rPr>
          <w:rFonts w:ascii="Calibri" w:hAnsi="Calibri" w:eastAsia="Calibri"/>
          <w:b w:val="0"/>
          <w:i w:val="0"/>
          <w:color w:val="333333"/>
          <w:sz w:val="22"/>
        </w:rPr>
        <w:t>No documented role definitions or RACI matrix exists for cybersecurity functions, creating accountability ambiguity and single-point-of-failure risks. Cybersecurity resources are insufficient for the scope of controls required — workforce planning has not been conducted. Accountability for security outcomes is not enforced through performance management or reporting structures. Human resources processes (recruitment, onboarding, offboarding) are not consistently integrated with security requirements. Succession planning for critical cybersecurity roles is absent.</w:t>
      </w:r>
    </w:p>
    <w:p>
      <w:pPr>
        <w:spacing w:after="120" w:before="0"/>
      </w:pPr>
      <w:r>
        <w:rPr>
          <w:rFonts w:ascii="Calibri" w:hAnsi="Calibri" w:eastAsia="Calibri"/>
          <w:b/>
          <w:i w:val="0"/>
          <w:color w:val="007B7F"/>
          <w:sz w:val="22"/>
        </w:rPr>
        <w:t>Recommendations:</w:t>
      </w:r>
    </w:p>
    <w:p>
      <w:pPr>
        <w:spacing w:after="120" w:before="0"/>
      </w:pPr>
      <w:r>
        <w:rPr>
          <w:rFonts w:ascii="Calibri" w:hAnsi="Calibri" w:eastAsia="Calibri"/>
          <w:b w:val="0"/>
          <w:i w:val="0"/>
          <w:color w:val="333333"/>
          <w:sz w:val="22"/>
        </w:rPr>
        <w:t>Develop a comprehensive RACI (Responsible, Accountable, Consulted, Informed) matrix covering all cybersecurity functions and integrate it into organizational governance documentation. Conduct a cybersecurity workforce gap analysis to quantify resource requirements and identify critical staffing gaps. Update job descriptions for all roles with security responsibilities. Integrate security responsibilities into HR processes including onboarding, annual performance reviews, and offboarding procedures. Establish accountability metrics and review security role performance quarterly.</w:t>
      </w:r>
    </w:p>
    <w:p>
      <w:pPr>
        <w:pStyle w:val="Heading3"/>
      </w:pPr>
      <w:r>
        <w:rPr>
          <w:rFonts w:ascii="Calibri" w:hAnsi="Calibri"/>
          <w:b/>
          <w:color w:val="007B7F"/>
          <w:sz w:val="26"/>
        </w:rPr>
        <w:t>4.1.4  GV PO POLICY FRAMEWORK</w:t>
      </w:r>
    </w:p>
    <w:p>
      <w:r>
        <w:rPr>
          <w:rFonts w:ascii="Calibri" w:hAnsi="Calibri"/>
          <w:b/>
          <w:color w:val="666666"/>
          <w:sz w:val="22"/>
        </w:rPr>
        <w:t xml:space="preserve">Status: </w:t>
      </w:r>
      <w:r>
        <w:rPr>
          <w:rFonts w:ascii="Calibri" w:hAnsi="Calibri"/>
          <w:b/>
          <w:color w:val="C0392B"/>
          <w:sz w:val="22"/>
        </w:rPr>
        <w:t>Not in Place (0%)</w:t>
      </w:r>
    </w:p>
    <w:p>
      <w:pPr>
        <w:spacing w:after="120" w:before="0"/>
      </w:pPr>
      <w:r>
        <w:rPr>
          <w:rFonts w:ascii="Calibri" w:hAnsi="Calibri" w:eastAsia="Calibri"/>
          <w:b w:val="0"/>
          <w:i w:val="0"/>
          <w:color w:val="333333"/>
          <w:sz w:val="22"/>
        </w:rPr>
        <w:t>Findings: No formally documented cybersecurity policy aligned with organizational needs and NIST CSF 2.0 requirements exists. Informal guidance has been communicated verbally to staff in some areas, but there is no documented policy lifecycle including development, approval, communication, and review. Oversight mechanisms for policy compliance are absent. Employees are expected to apply security common sense without documented standards.</w:t>
      </w:r>
    </w:p>
    <w:p>
      <w:pPr>
        <w:spacing w:after="120" w:before="0"/>
      </w:pPr>
      <w:r>
        <w:rPr>
          <w:rFonts w:ascii="Calibri" w:hAnsi="Calibri" w:eastAsia="Calibri"/>
          <w:b/>
          <w:i w:val="0"/>
          <w:color w:val="C0392B"/>
          <w:sz w:val="22"/>
        </w:rPr>
        <w:t>Gaps:</w:t>
      </w:r>
    </w:p>
    <w:p>
      <w:pPr>
        <w:spacing w:after="120" w:before="0"/>
      </w:pPr>
      <w:r>
        <w:rPr>
          <w:rFonts w:ascii="Calibri" w:hAnsi="Calibri" w:eastAsia="Calibri"/>
          <w:b w:val="0"/>
          <w:i w:val="0"/>
          <w:color w:val="333333"/>
          <w:sz w:val="22"/>
        </w:rPr>
        <w:t>A comprehensive cybersecurity policy framework covering all key domains is entirely missing. No policy approval and governance process exists. Regular policy review cycles have never been established. Exception management procedures are undefined, creating inconsistent handling of legitimate deviations. Policy communication and employee acknowledgement tracking are absent. Audit and compliance teams have no documented standards against which to assess controls.</w:t>
      </w:r>
    </w:p>
    <w:p>
      <w:pPr>
        <w:spacing w:after="120" w:before="0"/>
      </w:pPr>
      <w:r>
        <w:rPr>
          <w:rFonts w:ascii="Calibri" w:hAnsi="Calibri" w:eastAsia="Calibri"/>
          <w:b/>
          <w:i w:val="0"/>
          <w:color w:val="007B7F"/>
          <w:sz w:val="22"/>
        </w:rPr>
        <w:t>Recommendations:</w:t>
      </w:r>
    </w:p>
    <w:p>
      <w:pPr>
        <w:spacing w:after="120" w:before="0"/>
      </w:pPr>
      <w:r>
        <w:rPr>
          <w:rFonts w:ascii="Calibri" w:hAnsi="Calibri" w:eastAsia="Calibri"/>
          <w:b w:val="0"/>
          <w:i w:val="0"/>
          <w:color w:val="333333"/>
          <w:sz w:val="22"/>
        </w:rPr>
        <w:t>Develop a core cybersecurity policy framework comprising seven foundational policies: Cybersecurity Governance Charter, Acceptable Use Policy, Access Control and Authentication Policy, Data Classification and Handling Policy, Incident Response Policy, Vendor and Third-Party Security Policy, and Remote Access and Mobile Device Policy. Establish a policy governance committee with CISO oversight. Define a biennial review cycle with ad-hoc updates triggered by significant changes. Implement a policy acknowledgement process. Create an exception management procedure with risk owner approval requirements.</w:t>
      </w:r>
    </w:p>
    <w:p>
      <w:pPr>
        <w:pStyle w:val="Heading3"/>
      </w:pPr>
      <w:r>
        <w:rPr>
          <w:rFonts w:ascii="Calibri" w:hAnsi="Calibri"/>
          <w:b/>
          <w:color w:val="007B7F"/>
          <w:sz w:val="26"/>
        </w:rPr>
        <w:t>4.1.5  GV SC SUPPLY CHAIN GOVERNANCE</w:t>
      </w:r>
    </w:p>
    <w:p>
      <w:r>
        <w:rPr>
          <w:rFonts w:ascii="Calibri" w:hAnsi="Calibri"/>
          <w:b/>
          <w:color w:val="666666"/>
          <w:sz w:val="22"/>
        </w:rPr>
        <w:t xml:space="preserve">Status: </w:t>
      </w:r>
      <w:r>
        <w:rPr>
          <w:rFonts w:ascii="Calibri" w:hAnsi="Calibri"/>
          <w:b/>
          <w:color w:val="27AE60"/>
          <w:sz w:val="22"/>
        </w:rPr>
        <w:t>Partially Implemented (31.3%)</w:t>
      </w:r>
    </w:p>
    <w:p>
      <w:pPr>
        <w:spacing w:after="120" w:before="0"/>
      </w:pPr>
      <w:r>
        <w:rPr>
          <w:rFonts w:ascii="Calibri" w:hAnsi="Calibri" w:eastAsia="Calibri"/>
          <w:b w:val="0"/>
          <w:i w:val="0"/>
          <w:color w:val="333333"/>
          <w:sz w:val="22"/>
        </w:rPr>
        <w:t>Findings: Supplier and vendor relationships are partially monitored during active engagement. Security requirements are included in some contracts, particularly with higher-value technology vendors. A list of critical suppliers has been developed informally. Some supplier assessments have been performed on an ad-hoc basis for key technology partners.</w:t>
      </w:r>
    </w:p>
    <w:p>
      <w:pPr>
        <w:spacing w:after="120" w:before="0"/>
      </w:pPr>
      <w:r>
        <w:rPr>
          <w:rFonts w:ascii="Calibri" w:hAnsi="Calibri" w:eastAsia="Calibri"/>
          <w:b/>
          <w:i w:val="0"/>
          <w:color w:val="C0392B"/>
          <w:sz w:val="22"/>
        </w:rPr>
        <w:t>Gaps:</w:t>
      </w:r>
    </w:p>
    <w:p>
      <w:pPr>
        <w:spacing w:after="120" w:before="0"/>
      </w:pPr>
      <w:r>
        <w:rPr>
          <w:rFonts w:ascii="Calibri" w:hAnsi="Calibri" w:eastAsia="Calibri"/>
          <w:b w:val="0"/>
          <w:i w:val="0"/>
          <w:color w:val="333333"/>
          <w:sz w:val="22"/>
        </w:rPr>
        <w:t>Pre-engagement risk assessment screening is not performed before onboarding new suppliers, creating blind spots for new risks introduced through vendor relationships. Post-termination procedures are undefined — data return, access revocation, and system decommissioning are handled informally. Integration of supplier security incidents into organizational incident response is incomplete. Supplier performance monitoring against security requirements is inconsistent. Fourth-party (sub-processor) risk is not assessed. No standard contract security requirements template exists.</w:t>
      </w:r>
    </w:p>
    <w:p>
      <w:pPr>
        <w:spacing w:after="120" w:before="0"/>
      </w:pPr>
      <w:r>
        <w:rPr>
          <w:rFonts w:ascii="Calibri" w:hAnsi="Calibri" w:eastAsia="Calibri"/>
          <w:b/>
          <w:i w:val="0"/>
          <w:color w:val="007B7F"/>
          <w:sz w:val="22"/>
        </w:rPr>
        <w:t>Recommendations:</w:t>
      </w:r>
    </w:p>
    <w:p>
      <w:pPr>
        <w:spacing w:after="120" w:before="0"/>
      </w:pPr>
      <w:r>
        <w:rPr>
          <w:rFonts w:ascii="Calibri" w:hAnsi="Calibri" w:eastAsia="Calibri"/>
          <w:b w:val="0"/>
          <w:i w:val="0"/>
          <w:color w:val="333333"/>
          <w:sz w:val="22"/>
        </w:rPr>
        <w:t>Implement a formal supplier pre-screening and onboarding process that includes security questionnaire assessment, evidence collection, and risk rating before contract execution. Develop a contract security requirements template with mandatory minimum controls for all supplier categories. Establish formal supplier offboarding procedures covering data deletion confirmation, access revocation verification, and system decommissioning. Integrate critical suppliers into organizational incident response planning. Implement annual supplier security performance reviews for critical and high-risk vendors.</w:t>
      </w:r>
    </w:p>
    <w:p>
      <w:pPr>
        <w:pStyle w:val="Heading3"/>
      </w:pPr>
      <w:r>
        <w:rPr>
          <w:rFonts w:ascii="Calibri" w:hAnsi="Calibri"/>
          <w:b/>
          <w:color w:val="007B7F"/>
          <w:sz w:val="26"/>
        </w:rPr>
        <w:t>4.1.6  GV ME METRICS MONITORING</w:t>
      </w:r>
    </w:p>
    <w:p>
      <w:r>
        <w:rPr>
          <w:rFonts w:ascii="Calibri" w:hAnsi="Calibri"/>
          <w:b/>
          <w:color w:val="666666"/>
          <w:sz w:val="22"/>
        </w:rPr>
        <w:t xml:space="preserve">Status: </w:t>
      </w:r>
      <w:r>
        <w:rPr>
          <w:rFonts w:ascii="Calibri" w:hAnsi="Calibri"/>
          <w:b/>
          <w:color w:val="C0392B"/>
          <w:sz w:val="22"/>
        </w:rPr>
        <w:t>Not in Place (0%)</w:t>
      </w:r>
    </w:p>
    <w:p>
      <w:pPr>
        <w:spacing w:after="120" w:before="0"/>
      </w:pPr>
      <w:r>
        <w:rPr>
          <w:rFonts w:ascii="Calibri" w:hAnsi="Calibri" w:eastAsia="Calibri"/>
          <w:b w:val="0"/>
          <w:i w:val="0"/>
          <w:color w:val="333333"/>
          <w:sz w:val="22"/>
        </w:rPr>
        <w:t>Findings: No formal cybersecurity metrics program exists. Leadership reviews of cybersecurity activities occur informally and are based on qualitative updates rather than quantitative performance data. There are no key performance indicators (KPIs) or key risk indicators (KRIs) defined for cybersecurity functions. Communication of risk information to executive leadership does not follow a structured cadence or format.</w:t>
      </w:r>
    </w:p>
    <w:p>
      <w:pPr>
        <w:spacing w:after="120" w:before="0"/>
      </w:pPr>
      <w:r>
        <w:rPr>
          <w:rFonts w:ascii="Calibri" w:hAnsi="Calibri" w:eastAsia="Calibri"/>
          <w:b/>
          <w:i w:val="0"/>
          <w:color w:val="C0392B"/>
          <w:sz w:val="22"/>
        </w:rPr>
        <w:t>Gaps:</w:t>
      </w:r>
    </w:p>
    <w:p>
      <w:pPr>
        <w:spacing w:after="120" w:before="0"/>
      </w:pPr>
      <w:r>
        <w:rPr>
          <w:rFonts w:ascii="Calibri" w:hAnsi="Calibri" w:eastAsia="Calibri"/>
          <w:b w:val="0"/>
          <w:i w:val="0"/>
          <w:color w:val="333333"/>
          <w:sz w:val="22"/>
        </w:rPr>
        <w:t>A cybersecurity metrics framework has not been defined — no KPIs, KRIs, or performance targets have been established for any control domain. Regular performance reporting to leadership is absent; cybersecurity updates are reactive and unstructured. Risk communication protocols do not exist, leading to inconsistent information reaching decision-makers. Improvement tracking against identified gaps is absent, making it impossible to demonstrate progress over time. No cybersecurity dashboard or reporting tool is in place.</w:t>
      </w:r>
    </w:p>
    <w:p>
      <w:pPr>
        <w:spacing w:after="120" w:before="0"/>
      </w:pPr>
      <w:r>
        <w:rPr>
          <w:rFonts w:ascii="Calibri" w:hAnsi="Calibri" w:eastAsia="Calibri"/>
          <w:b/>
          <w:i w:val="0"/>
          <w:color w:val="007B7F"/>
          <w:sz w:val="22"/>
        </w:rPr>
        <w:t>Recommendations:</w:t>
      </w:r>
    </w:p>
    <w:p>
      <w:pPr>
        <w:spacing w:after="120" w:before="0"/>
      </w:pPr>
      <w:r>
        <w:rPr>
          <w:rFonts w:ascii="Calibri" w:hAnsi="Calibri" w:eastAsia="Calibri"/>
          <w:b w:val="0"/>
          <w:i w:val="0"/>
          <w:color w:val="333333"/>
          <w:sz w:val="22"/>
        </w:rPr>
        <w:t>Define a cybersecurity metrics framework with 10–15 key metrics aligned with business objectives, covering domains such as vulnerability management, incident response, access management, training completion, and patching SLA adherence. Establish a quarterly cybersecurity reporting cycle to executive leadership using a standardized dashboard format. Implement a risk communication protocol defining who receives what information, at what frequency, and through what channels. Deploy a metrics tracking tool (SIEM dashboard, GRC platform, or equivalent). Create a remediation tracking system to monitor progress against identified gaps from this assessment.</w:t>
      </w:r>
    </w:p>
    <w:p>
      <w:pPr>
        <w:pStyle w:val="Heading3"/>
      </w:pPr>
      <w:r>
        <w:rPr>
          <w:rFonts w:ascii="Calibri" w:hAnsi="Calibri"/>
          <w:b/>
          <w:color w:val="007B7F"/>
          <w:sz w:val="26"/>
        </w:rPr>
        <w:t>4.1  Findings &amp; Recommendations</w:t>
      </w:r>
    </w:p>
    <w:p>
      <w:pPr>
        <w:spacing w:after="120" w:before="0"/>
      </w:pPr>
      <w:r>
        <w:rPr>
          <w:rFonts w:ascii="Calibri" w:hAnsi="Calibri" w:eastAsia="Calibri"/>
          <w:b/>
          <w:i w:val="0"/>
          <w:color w:val="C0392B"/>
          <w:sz w:val="22"/>
        </w:rPr>
        <w:t>Key Gaps:</w:t>
      </w:r>
    </w:p>
    <w:p>
      <w:pPr>
        <w:spacing w:after="60" w:before="20"/>
      </w:pPr>
      <w:r>
        <w:rPr>
          <w:rFonts w:ascii="Calibri" w:hAnsi="Calibri"/>
          <w:color w:val="333333"/>
          <w:sz w:val="22"/>
        </w:rPr>
        <w:t>●  No documented cybersecurity policy framework — all seven foundational policies missing</w:t>
      </w:r>
    </w:p>
    <w:p>
      <w:pPr>
        <w:spacing w:after="60" w:before="20"/>
      </w:pPr>
      <w:r>
        <w:rPr>
          <w:rFonts w:ascii="Calibri" w:hAnsi="Calibri"/>
          <w:color w:val="333333"/>
          <w:sz w:val="22"/>
        </w:rPr>
        <w:t>●  Roles and responsibilities entirely undocumented — RACI matrix absent across all cybersecurity functions</w:t>
      </w:r>
    </w:p>
    <w:p>
      <w:pPr>
        <w:spacing w:after="60" w:before="20"/>
      </w:pPr>
      <w:r>
        <w:rPr>
          <w:rFonts w:ascii="Calibri" w:hAnsi="Calibri"/>
          <w:color w:val="333333"/>
          <w:sz w:val="22"/>
        </w:rPr>
        <w:t>●  Cybersecurity resource allocation insufficient and not formally assessed</w:t>
      </w:r>
    </w:p>
    <w:p>
      <w:pPr>
        <w:spacing w:after="60" w:before="20"/>
      </w:pPr>
      <w:r>
        <w:rPr>
          <w:rFonts w:ascii="Calibri" w:hAnsi="Calibri"/>
          <w:color w:val="333333"/>
          <w:sz w:val="22"/>
        </w:rPr>
        <w:t>●  Supplier pre-engagement risk assessments not performed</w:t>
      </w:r>
    </w:p>
    <w:p>
      <w:pPr>
        <w:spacing w:after="60" w:before="20"/>
      </w:pPr>
      <w:r>
        <w:rPr>
          <w:rFonts w:ascii="Calibri" w:hAnsi="Calibri"/>
          <w:color w:val="333333"/>
          <w:sz w:val="22"/>
        </w:rPr>
        <w:t>●  No cybersecurity metrics program — leadership reporting entirely qualitative</w:t>
      </w:r>
    </w:p>
    <w:p>
      <w:pPr>
        <w:spacing w:after="60" w:before="20"/>
      </w:pPr>
      <w:r>
        <w:rPr>
          <w:rFonts w:ascii="Calibri" w:hAnsi="Calibri"/>
          <w:color w:val="333333"/>
          <w:sz w:val="22"/>
        </w:rPr>
        <w:t>●  Risk appetite and tolerance thresholds never formally documented or approved</w:t>
      </w:r>
    </w:p>
    <w:p>
      <w:pPr>
        <w:spacing w:after="60" w:before="20"/>
      </w:pPr>
      <w:r>
        <w:rPr>
          <w:rFonts w:ascii="Calibri" w:hAnsi="Calibri"/>
          <w:color w:val="333333"/>
          <w:sz w:val="22"/>
        </w:rPr>
        <w:t>●  No formal risk register to track identified risks and treatment activities</w:t>
      </w:r>
    </w:p>
    <w:p>
      <w:pPr>
        <w:spacing w:after="60" w:before="20"/>
      </w:pPr>
      <w:r>
        <w:rPr>
          <w:rFonts w:ascii="Calibri" w:hAnsi="Calibri"/>
          <w:color w:val="333333"/>
          <w:sz w:val="22"/>
        </w:rPr>
        <w:t>●  HR processes not integrated with cybersecurity requirements</w:t>
      </w:r>
    </w:p>
    <w:p>
      <w:pPr>
        <w:spacing w:after="120" w:before="0"/>
      </w:pPr>
      <w:r>
        <w:rPr>
          <w:rFonts w:ascii="Calibri" w:hAnsi="Calibri" w:eastAsia="Calibri"/>
          <w:b/>
          <w:i w:val="0"/>
          <w:color w:val="27AE60"/>
          <w:sz w:val="22"/>
        </w:rPr>
        <w:t>Recommendations:</w:t>
      </w:r>
    </w:p>
    <w:p>
      <w:pPr>
        <w:spacing w:after="60" w:before="20"/>
      </w:pPr>
      <w:r>
        <w:rPr>
          <w:rFonts w:ascii="Calibri" w:hAnsi="Calibri"/>
          <w:color w:val="333333"/>
          <w:sz w:val="22"/>
        </w:rPr>
        <w:t>●  Establish a formal cybersecurity governance charter with board or executive leadership approval within 60 days</w:t>
      </w:r>
    </w:p>
    <w:p>
      <w:pPr>
        <w:spacing w:after="60" w:before="20"/>
      </w:pPr>
      <w:r>
        <w:rPr>
          <w:rFonts w:ascii="Calibri" w:hAnsi="Calibri"/>
          <w:color w:val="333333"/>
          <w:sz w:val="22"/>
        </w:rPr>
        <w:t>●  Document risk appetite and tolerance statements and integrate into enterprise risk management framework</w:t>
      </w:r>
    </w:p>
    <w:p>
      <w:pPr>
        <w:spacing w:after="60" w:before="20"/>
      </w:pPr>
      <w:r>
        <w:rPr>
          <w:rFonts w:ascii="Calibri" w:hAnsi="Calibri"/>
          <w:color w:val="333333"/>
          <w:sz w:val="22"/>
        </w:rPr>
        <w:t>●  Create comprehensive RACI matrix for all cybersecurity functions and enforce accountability through performance management</w:t>
      </w:r>
    </w:p>
    <w:p>
      <w:pPr>
        <w:spacing w:after="60" w:before="20"/>
      </w:pPr>
      <w:r>
        <w:rPr>
          <w:rFonts w:ascii="Calibri" w:hAnsi="Calibri"/>
          <w:color w:val="333333"/>
          <w:sz w:val="22"/>
        </w:rPr>
        <w:t>●  Develop core policy framework — minimum seven foundational policies — with leadership approval and staff acknowledgement tracking</w:t>
      </w:r>
    </w:p>
    <w:p>
      <w:pPr>
        <w:spacing w:after="60" w:before="20"/>
      </w:pPr>
      <w:r>
        <w:rPr>
          <w:rFonts w:ascii="Calibri" w:hAnsi="Calibri"/>
          <w:color w:val="333333"/>
          <w:sz w:val="22"/>
        </w:rPr>
        <w:t>●  Implement full supplier risk management lifecycle including pre-engagement screening, ongoing monitoring, and secure offboarding</w:t>
      </w:r>
    </w:p>
    <w:p>
      <w:pPr>
        <w:spacing w:after="60" w:before="20"/>
      </w:pPr>
      <w:r>
        <w:rPr>
          <w:rFonts w:ascii="Calibri" w:hAnsi="Calibri"/>
          <w:color w:val="333333"/>
          <w:sz w:val="22"/>
        </w:rPr>
        <w:t>●  Establish cybersecurity metrics program with quarterly executive reporting and remediation progress tracking</w:t>
      </w:r>
    </w:p>
    <w:p>
      <w:pPr>
        <w:spacing w:after="60" w:before="20"/>
      </w:pPr>
      <w:r>
        <w:rPr>
          <w:rFonts w:ascii="Calibri" w:hAnsi="Calibri"/>
          <w:color w:val="333333"/>
          <w:sz w:val="22"/>
        </w:rPr>
        <w:t>●  Conduct resource gap analysis and develop cybersecurity staffing plan aligned with organizational risk profile</w:t>
      </w:r>
    </w:p>
    <w:p>
      <w:pPr>
        <w:spacing w:after="60" w:before="20"/>
      </w:pPr>
      <w:r>
        <w:rPr>
          <w:rFonts w:ascii="Calibri" w:hAnsi="Calibri"/>
          <w:color w:val="333333"/>
          <w:sz w:val="22"/>
        </w:rPr>
        <w:t>●  Implement formal risk register as central repository for risk tracking, treatment, and residual risk documentation</w:t>
      </w:r>
    </w:p>
    <w:p>
      <w:r>
        <w:br w:type="page"/>
      </w:r>
    </w:p>
    <w:p>
      <w:pPr>
        <w:pStyle w:val="Heading2"/>
      </w:pPr>
      <w:r>
        <w:rPr>
          <w:rFonts w:ascii="Calibri" w:hAnsi="Calibri"/>
          <w:b/>
          <w:color w:val="1A3C6E"/>
          <w:sz w:val="32"/>
        </w:rPr>
        <w:t>4.2  IDENTIFY (ID)</w:t>
      </w:r>
    </w:p>
    <w:p>
      <w:pPr>
        <w:spacing w:before="40" w:after="160"/>
        <w:pBdr>
          <w:bottom w:val="single" w:sz="6" w:space="1" w:color="007B7F"/>
        </w:pBdr>
      </w:pPr>
    </w:p>
    <w:p>
      <w:pPr>
        <w:spacing w:after="120" w:before="0"/>
      </w:pPr>
      <w:r>
        <w:rPr>
          <w:rFonts w:ascii="Calibri" w:hAnsi="Calibri" w:eastAsia="Calibri"/>
          <w:b w:val="0"/>
          <w:i w:val="0"/>
          <w:color w:val="333333"/>
          <w:sz w:val="22"/>
        </w:rPr>
        <w:t>Identify function maturity is 50.0%, representing moderate capability with well-developed asset visibility and business environment awareness, partially offset by weak risk assessment formalization and inconsistent improvement planning. Hardware and software asset inventories are well-maintained with criticality-based prioritization. Data flow mapping and network architecture documentation are strong, providing good foundational visibility. However, risk impacts and likelihoods are not formally recorded in a risk register, change risk assessments are inconsistently performed, and supply chain risk management lacks systemic pre-engagement controls. Improvement planning occurs informally without structured tracking or lessons-learned documentation.</w:t>
      </w:r>
    </w:p>
    <w:p>
      <w:pPr>
        <w:pStyle w:val="Heading3"/>
      </w:pPr>
      <w:r>
        <w:rPr>
          <w:rFonts w:ascii="Calibri" w:hAnsi="Calibri"/>
          <w:b/>
          <w:color w:val="007B7F"/>
          <w:sz w:val="26"/>
        </w:rPr>
        <w:t>4.2.1  ID AM ASSET DATA MANAGEMENT</w:t>
      </w:r>
    </w:p>
    <w:p>
      <w:r>
        <w:rPr>
          <w:rFonts w:ascii="Calibri" w:hAnsi="Calibri"/>
          <w:b/>
          <w:color w:val="666666"/>
          <w:sz w:val="22"/>
        </w:rPr>
        <w:t xml:space="preserve">Status: </w:t>
      </w:r>
      <w:r>
        <w:rPr>
          <w:rFonts w:ascii="Calibri" w:hAnsi="Calibri"/>
          <w:b/>
          <w:color w:val="27AE60"/>
          <w:sz w:val="22"/>
        </w:rPr>
        <w:t>Mostly Implemented (62.5%)</w:t>
      </w:r>
    </w:p>
    <w:p>
      <w:pPr>
        <w:spacing w:after="120" w:before="0"/>
      </w:pPr>
      <w:r>
        <w:rPr>
          <w:rFonts w:ascii="Calibri" w:hAnsi="Calibri" w:eastAsia="Calibri"/>
          <w:b w:val="0"/>
          <w:i w:val="0"/>
          <w:color w:val="333333"/>
          <w:sz w:val="22"/>
        </w:rPr>
        <w:t>Findings: Hardware and software asset inventories are actively maintained with reasonable completeness for known systems. Data inventories include relevant metadata such as data classification, owner, storage location, and processing purpose. Assets are prioritized based on criticality scores, and this prioritization informs security investment decisions. Full asset lifecycle management is practiced from procurement through secure disposal, with documented disposal procedures for hardware assets.</w:t>
      </w:r>
    </w:p>
    <w:p>
      <w:pPr>
        <w:spacing w:after="120" w:before="0"/>
      </w:pPr>
      <w:r>
        <w:rPr>
          <w:rFonts w:ascii="Calibri" w:hAnsi="Calibri" w:eastAsia="Calibri"/>
          <w:b/>
          <w:i w:val="0"/>
          <w:color w:val="C0392B"/>
          <w:sz w:val="22"/>
        </w:rPr>
        <w:t>Gaps:</w:t>
      </w:r>
    </w:p>
    <w:p>
      <w:pPr>
        <w:spacing w:after="120" w:before="0"/>
      </w:pPr>
      <w:r>
        <w:rPr>
          <w:rFonts w:ascii="Calibri" w:hAnsi="Calibri" w:eastAsia="Calibri"/>
          <w:b w:val="0"/>
          <w:i w:val="0"/>
          <w:color w:val="333333"/>
          <w:sz w:val="22"/>
        </w:rPr>
        <w:t>Software and hardware authenticity verification prior to deployment is not consistently performed — there is no formal process to validate that assets are genuine and uncompromised before introduction into the production environment. Inventory completeness has not been independently validated — shadow IT assets and recently acquired systems may not be fully captured. Metadata consistency across inventory records varies, with some assets lacking complete classification or ownership information. Cloud asset discovery and inventory management is not fully integrated with the overall inventory process.</w:t>
      </w:r>
    </w:p>
    <w:p>
      <w:pPr>
        <w:spacing w:after="120" w:before="0"/>
      </w:pPr>
      <w:r>
        <w:rPr>
          <w:rFonts w:ascii="Calibri" w:hAnsi="Calibri" w:eastAsia="Calibri"/>
          <w:b/>
          <w:i w:val="0"/>
          <w:color w:val="007B7F"/>
          <w:sz w:val="22"/>
        </w:rPr>
        <w:t>Recommendations:</w:t>
      </w:r>
    </w:p>
    <w:p>
      <w:pPr>
        <w:spacing w:after="120" w:before="0"/>
      </w:pPr>
      <w:r>
        <w:rPr>
          <w:rFonts w:ascii="Calibri" w:hAnsi="Calibri" w:eastAsia="Calibri"/>
          <w:b w:val="0"/>
          <w:i w:val="0"/>
          <w:color w:val="333333"/>
          <w:sz w:val="22"/>
        </w:rPr>
        <w:t>Implement a formal software and hardware authenticity verification process covering supply chain attestation, certificate validation, and hash verification prior to deployment. Conduct a comprehensive inventory validation exercise using automated discovery tools to identify assets not currently captured. Establish metadata standards and conduct a data quality review to ensure all inventory records are complete and accurate. Integrate cloud asset management into the enterprise inventory system with automated discovery capabilities.</w:t>
      </w:r>
    </w:p>
    <w:p>
      <w:pPr>
        <w:pStyle w:val="Heading3"/>
      </w:pPr>
      <w:r>
        <w:rPr>
          <w:rFonts w:ascii="Calibri" w:hAnsi="Calibri"/>
          <w:b/>
          <w:color w:val="007B7F"/>
          <w:sz w:val="26"/>
        </w:rPr>
        <w:t>4.2.2  ID BE BUSINESS ENVIRONMENT</w:t>
      </w:r>
    </w:p>
    <w:p>
      <w:r>
        <w:rPr>
          <w:rFonts w:ascii="Calibri" w:hAnsi="Calibri"/>
          <w:b/>
          <w:color w:val="666666"/>
          <w:sz w:val="22"/>
        </w:rPr>
        <w:t xml:space="preserve">Status: </w:t>
      </w:r>
      <w:r>
        <w:rPr>
          <w:rFonts w:ascii="Calibri" w:hAnsi="Calibri"/>
          <w:b/>
          <w:color w:val="27AE60"/>
          <w:sz w:val="22"/>
        </w:rPr>
        <w:t>Fully Implemented (75%)</w:t>
      </w:r>
    </w:p>
    <w:p>
      <w:pPr>
        <w:spacing w:after="120" w:before="0"/>
      </w:pPr>
      <w:r>
        <w:rPr>
          <w:rFonts w:ascii="Calibri" w:hAnsi="Calibri" w:eastAsia="Calibri"/>
          <w:b w:val="0"/>
          <w:i w:val="0"/>
          <w:color w:val="333333"/>
          <w:sz w:val="22"/>
        </w:rPr>
        <w:t>Findings: Critical services and business processes are clearly identified and aligned with organizational mission. External service dependencies, including cloud providers and critical third-party services, are understood and documented. Data flows and network connections are mapped to a level of detail that supports risk analysis and incident response planning. The business environment documentation provides a strong foundation for risk assessment and continuity planning activities.</w:t>
      </w:r>
    </w:p>
    <w:p>
      <w:pPr>
        <w:spacing w:after="120" w:before="0"/>
      </w:pPr>
      <w:r>
        <w:rPr>
          <w:rFonts w:ascii="Calibri" w:hAnsi="Calibri" w:eastAsia="Calibri"/>
          <w:b/>
          <w:i w:val="0"/>
          <w:color w:val="C0392B"/>
          <w:sz w:val="22"/>
        </w:rPr>
        <w:t>Gaps:</w:t>
      </w:r>
    </w:p>
    <w:p>
      <w:pPr>
        <w:spacing w:after="120" w:before="0"/>
      </w:pPr>
      <w:r>
        <w:rPr>
          <w:rFonts w:ascii="Calibri" w:hAnsi="Calibri" w:eastAsia="Calibri"/>
          <w:b w:val="0"/>
          <w:i w:val="0"/>
          <w:color w:val="333333"/>
          <w:sz w:val="22"/>
        </w:rPr>
        <w:t>Business environment documentation is not formally integrated with business continuity and disaster recovery (BCDR) planning, resulting in a gap between cybersecurity risk context and operational recovery planning. Stakeholder expectations from external parties, including regulators and key customers, are only partially documented and have not been formally mapped to cybersecurity requirements.</w:t>
      </w:r>
    </w:p>
    <w:p>
      <w:pPr>
        <w:spacing w:after="120" w:before="0"/>
      </w:pPr>
      <w:r>
        <w:rPr>
          <w:rFonts w:ascii="Calibri" w:hAnsi="Calibri" w:eastAsia="Calibri"/>
          <w:b/>
          <w:i w:val="0"/>
          <w:color w:val="007B7F"/>
          <w:sz w:val="22"/>
        </w:rPr>
        <w:t>Recommendations:</w:t>
      </w:r>
    </w:p>
    <w:p>
      <w:pPr>
        <w:spacing w:after="120" w:before="0"/>
      </w:pPr>
      <w:r>
        <w:rPr>
          <w:rFonts w:ascii="Calibri" w:hAnsi="Calibri" w:eastAsia="Calibri"/>
          <w:b w:val="0"/>
          <w:i w:val="0"/>
          <w:color w:val="333333"/>
          <w:sz w:val="22"/>
        </w:rPr>
        <w:t>Integrate business environment documentation with BCDR planning by conducting a joint review that maps critical services and dependencies to recovery requirements. Formalize a stakeholder expectation register that captures requirements from regulators, customers, and key partners, and maps these expectations to specific cybersecurity controls or assurance activities.</w:t>
      </w:r>
    </w:p>
    <w:p>
      <w:pPr>
        <w:pStyle w:val="Heading3"/>
      </w:pPr>
      <w:r>
        <w:rPr>
          <w:rFonts w:ascii="Calibri" w:hAnsi="Calibri"/>
          <w:b/>
          <w:color w:val="007B7F"/>
          <w:sz w:val="26"/>
        </w:rPr>
        <w:t>4.2.3  ID RA RISK ASSESSMENT</w:t>
      </w:r>
    </w:p>
    <w:p>
      <w:r>
        <w:rPr>
          <w:rFonts w:ascii="Calibri" w:hAnsi="Calibri"/>
          <w:b/>
          <w:color w:val="666666"/>
          <w:sz w:val="22"/>
        </w:rPr>
        <w:t xml:space="preserve">Status: </w:t>
      </w:r>
      <w:r>
        <w:rPr>
          <w:rFonts w:ascii="Calibri" w:hAnsi="Calibri"/>
          <w:b/>
          <w:color w:val="27AE60"/>
          <w:sz w:val="22"/>
        </w:rPr>
        <w:t>Partially Implemented (31.3%)</w:t>
      </w:r>
    </w:p>
    <w:p>
      <w:pPr>
        <w:spacing w:after="120" w:before="0"/>
      </w:pPr>
      <w:r>
        <w:rPr>
          <w:rFonts w:ascii="Calibri" w:hAnsi="Calibri" w:eastAsia="Calibri"/>
          <w:b w:val="0"/>
          <w:i w:val="0"/>
          <w:color w:val="333333"/>
          <w:sz w:val="22"/>
        </w:rPr>
        <w:t>Findings: Threat intelligence is gathered from reliable commercial and open-source sources and is integrated into monitoring activities. System vulnerabilities are identified through informal channels including vendor advisories and operational observations. Risk responses are communicated informally through operational discussions between IT staff and leadership.</w:t>
      </w:r>
    </w:p>
    <w:p>
      <w:pPr>
        <w:spacing w:after="120" w:before="0"/>
      </w:pPr>
      <w:r>
        <w:rPr>
          <w:rFonts w:ascii="Calibri" w:hAnsi="Calibri" w:eastAsia="Calibri"/>
          <w:b/>
          <w:i w:val="0"/>
          <w:color w:val="C0392B"/>
          <w:sz w:val="22"/>
        </w:rPr>
        <w:t>Gaps:</w:t>
      </w:r>
    </w:p>
    <w:p>
      <w:pPr>
        <w:spacing w:after="120" w:before="0"/>
      </w:pPr>
      <w:r>
        <w:rPr>
          <w:rFonts w:ascii="Calibri" w:hAnsi="Calibri" w:eastAsia="Calibri"/>
          <w:b w:val="0"/>
          <w:i w:val="0"/>
          <w:color w:val="333333"/>
          <w:sz w:val="22"/>
        </w:rPr>
        <w:t>Risk impacts and likelihoods are not formally recorded — no risk register exists, and identified risks are not consistently documented with owner assignment and treatment plans. Vulnerability identification is inconsistent — no regular automated scanning program exists, and vulnerability prioritization is not formally tied to asset criticality or business impact. Change risk assessments are not performed as part of the change management process, creating unmanaged risk exposure from system changes. Risk documentation is not standardized, resulting in inconsistent risk assessment quality across different assessors.</w:t>
      </w:r>
    </w:p>
    <w:p>
      <w:pPr>
        <w:spacing w:after="120" w:before="0"/>
      </w:pPr>
      <w:r>
        <w:rPr>
          <w:rFonts w:ascii="Calibri" w:hAnsi="Calibri" w:eastAsia="Calibri"/>
          <w:b/>
          <w:i w:val="0"/>
          <w:color w:val="007B7F"/>
          <w:sz w:val="22"/>
        </w:rPr>
        <w:t>Recommendations:</w:t>
      </w:r>
    </w:p>
    <w:p>
      <w:pPr>
        <w:spacing w:after="120" w:before="0"/>
      </w:pPr>
      <w:r>
        <w:rPr>
          <w:rFonts w:ascii="Calibri" w:hAnsi="Calibri" w:eastAsia="Calibri"/>
          <w:b w:val="0"/>
          <w:i w:val="0"/>
          <w:color w:val="333333"/>
          <w:sz w:val="22"/>
        </w:rPr>
        <w:t>Implement a formal risk register as the authoritative repository for all identified cybersecurity risks, capturing threat, vulnerability, likelihood, impact, risk rating, owner, treatment plan, target date, and residual risk for each entry. Establish a regular vulnerability scanning program with scan frequency aligned to asset criticality — weekly for critical assets, monthly for high assets, quarterly for medium assets. Integrate risk assessment into the change management process, requiring a documented risk assessment for all significant changes. Standardize the risk assessment methodology and train all relevant staff.</w:t>
      </w:r>
    </w:p>
    <w:p>
      <w:pPr>
        <w:pStyle w:val="Heading3"/>
      </w:pPr>
      <w:r>
        <w:rPr>
          <w:rFonts w:ascii="Calibri" w:hAnsi="Calibri"/>
          <w:b/>
          <w:color w:val="007B7F"/>
          <w:sz w:val="26"/>
        </w:rPr>
        <w:t>4.2.4  ID IM IMPROVEMENT PLANNING</w:t>
      </w:r>
    </w:p>
    <w:p>
      <w:r>
        <w:rPr>
          <w:rFonts w:ascii="Calibri" w:hAnsi="Calibri"/>
          <w:b/>
          <w:color w:val="666666"/>
          <w:sz w:val="22"/>
        </w:rPr>
        <w:t xml:space="preserve">Status: </w:t>
      </w:r>
      <w:r>
        <w:rPr>
          <w:rFonts w:ascii="Calibri" w:hAnsi="Calibri"/>
          <w:b/>
          <w:color w:val="27AE60"/>
          <w:sz w:val="22"/>
        </w:rPr>
        <w:t>Partially Implemented (37.5%)</w:t>
      </w:r>
    </w:p>
    <w:p>
      <w:pPr>
        <w:spacing w:after="120" w:before="0"/>
      </w:pPr>
      <w:r>
        <w:rPr>
          <w:rFonts w:ascii="Calibri" w:hAnsi="Calibri" w:eastAsia="Calibri"/>
          <w:b w:val="0"/>
          <w:i w:val="0"/>
          <w:color w:val="333333"/>
          <w:sz w:val="22"/>
        </w:rPr>
        <w:t>Findings: Cybersecurity activities are periodically reviewed for improvement opportunities, particularly following security events or assessment activities. Incident response plans have been updated partially based on post-incident observations. Control improvements identified through training exercises and operational experience are sometimes implemented informally.</w:t>
      </w:r>
    </w:p>
    <w:p>
      <w:pPr>
        <w:spacing w:after="120" w:before="0"/>
      </w:pPr>
      <w:r>
        <w:rPr>
          <w:rFonts w:ascii="Calibri" w:hAnsi="Calibri" w:eastAsia="Calibri"/>
          <w:b/>
          <w:i w:val="0"/>
          <w:color w:val="C0392B"/>
          <w:sz w:val="22"/>
        </w:rPr>
        <w:t>Gaps:</w:t>
      </w:r>
    </w:p>
    <w:p>
      <w:pPr>
        <w:spacing w:after="120" w:before="0"/>
      </w:pPr>
      <w:r>
        <w:rPr>
          <w:rFonts w:ascii="Calibri" w:hAnsi="Calibri" w:eastAsia="Calibri"/>
          <w:b w:val="0"/>
          <w:i w:val="0"/>
          <w:color w:val="333333"/>
          <w:sz w:val="22"/>
        </w:rPr>
        <w:t>Gap tracking is not systematic — improvements identified from assessments, incidents, and exercises are not consistently recorded, assigned, tracked to completion, or reported to leadership. Improvement planning is not formally documented, resulting in good intentions that are not followed through consistently. Lessons learned from incidents and exercises are not consistently captured in a referenceable format. The vulnerability disclosure process for external researchers and third parties is incomplete, with no defined intake, acknowledgement, or resolution process.</w:t>
      </w:r>
    </w:p>
    <w:p>
      <w:pPr>
        <w:spacing w:after="120" w:before="0"/>
      </w:pPr>
      <w:r>
        <w:rPr>
          <w:rFonts w:ascii="Calibri" w:hAnsi="Calibri" w:eastAsia="Calibri"/>
          <w:b/>
          <w:i w:val="0"/>
          <w:color w:val="007B7F"/>
          <w:sz w:val="22"/>
        </w:rPr>
        <w:t>Recommendations:</w:t>
      </w:r>
    </w:p>
    <w:p>
      <w:pPr>
        <w:spacing w:after="120" w:before="0"/>
      </w:pPr>
      <w:r>
        <w:rPr>
          <w:rFonts w:ascii="Calibri" w:hAnsi="Calibri" w:eastAsia="Calibri"/>
          <w:b w:val="0"/>
          <w:i w:val="0"/>
          <w:color w:val="333333"/>
          <w:sz w:val="22"/>
        </w:rPr>
        <w:t>Establish a formal improvement tracking system using a GRC platform or project management tool to capture, assign, track, and report all identified improvements from assessments, incidents, exercises, and audits. Implement a lessons-learned process that captures key findings from every significant incident and exercise in a searchable repository. Develop and publish a vulnerability disclosure policy for external researchers. Conduct quarterly improvement reviews with IT leadership to review progress against open items.</w:t>
      </w:r>
    </w:p>
    <w:p>
      <w:pPr>
        <w:pStyle w:val="Heading3"/>
      </w:pPr>
      <w:r>
        <w:rPr>
          <w:rFonts w:ascii="Calibri" w:hAnsi="Calibri"/>
          <w:b/>
          <w:color w:val="007B7F"/>
          <w:sz w:val="26"/>
        </w:rPr>
        <w:t>4.2.5  ID SC SUPPLY CHAIN RISK</w:t>
      </w:r>
    </w:p>
    <w:p>
      <w:r>
        <w:rPr>
          <w:rFonts w:ascii="Calibri" w:hAnsi="Calibri"/>
          <w:b/>
          <w:color w:val="666666"/>
          <w:sz w:val="22"/>
        </w:rPr>
        <w:t xml:space="preserve">Status: </w:t>
      </w:r>
      <w:r>
        <w:rPr>
          <w:rFonts w:ascii="Calibri" w:hAnsi="Calibri"/>
          <w:b/>
          <w:color w:val="27AE60"/>
          <w:sz w:val="22"/>
        </w:rPr>
        <w:t>Partially Implemented (25%)</w:t>
      </w:r>
    </w:p>
    <w:p>
      <w:pPr>
        <w:spacing w:after="120" w:before="0"/>
      </w:pPr>
      <w:r>
        <w:rPr>
          <w:rFonts w:ascii="Calibri" w:hAnsi="Calibri" w:eastAsia="Calibri"/>
          <w:b w:val="0"/>
          <w:i w:val="0"/>
          <w:color w:val="333333"/>
          <w:sz w:val="22"/>
        </w:rPr>
        <w:t>Findings: Third-party services are tracked and a basic list of key vendors is maintained. Supplier security assessments have been performed for some higher-risk vendors on an ad-hoc basis. There is some awareness of supply chain risk among IT leadership.</w:t>
      </w:r>
    </w:p>
    <w:p>
      <w:pPr>
        <w:spacing w:after="120" w:before="0"/>
      </w:pPr>
      <w:r>
        <w:rPr>
          <w:rFonts w:ascii="Calibri" w:hAnsi="Calibri" w:eastAsia="Calibri"/>
          <w:b/>
          <w:i w:val="0"/>
          <w:color w:val="C0392B"/>
          <w:sz w:val="22"/>
        </w:rPr>
        <w:t>Gaps:</w:t>
      </w:r>
    </w:p>
    <w:p>
      <w:pPr>
        <w:spacing w:after="120" w:before="0"/>
      </w:pPr>
      <w:r>
        <w:rPr>
          <w:rFonts w:ascii="Calibri" w:hAnsi="Calibri" w:eastAsia="Calibri"/>
          <w:b w:val="0"/>
          <w:i w:val="0"/>
          <w:color w:val="333333"/>
          <w:sz w:val="22"/>
        </w:rPr>
        <w:t>Pre-engagement risk assessments are not conducted consistently before onboarding new suppliers, meaning new vendors may introduce unknown risks before security requirements are established. Supply chain risk is not integrated with enterprise risk management — supplier risks are managed in isolation from the broader organizational risk picture. Verification controls for critical software and hardware components (e.g., software composition analysis, hardware attestation) are missing. Critical supplier identification is inconsistent and not formally maintained or updated.</w:t>
      </w:r>
    </w:p>
    <w:p>
      <w:pPr>
        <w:spacing w:after="120" w:before="0"/>
      </w:pPr>
      <w:r>
        <w:rPr>
          <w:rFonts w:ascii="Calibri" w:hAnsi="Calibri" w:eastAsia="Calibri"/>
          <w:b/>
          <w:i w:val="0"/>
          <w:color w:val="007B7F"/>
          <w:sz w:val="22"/>
        </w:rPr>
        <w:t>Recommendations:</w:t>
      </w:r>
    </w:p>
    <w:p>
      <w:pPr>
        <w:spacing w:after="120" w:before="0"/>
      </w:pPr>
      <w:r>
        <w:rPr>
          <w:rFonts w:ascii="Calibri" w:hAnsi="Calibri" w:eastAsia="Calibri"/>
          <w:b w:val="0"/>
          <w:i w:val="0"/>
          <w:color w:val="333333"/>
          <w:sz w:val="22"/>
        </w:rPr>
        <w:t>Standardize the supplier risk assessment process with a tiered approach — enhanced due diligence for critical suppliers, standard assessment for high suppliers, and questionnaire-based for medium suppliers. Implement verification controls for critical software components using software composition analysis tools. Integrate supply chain risk into the enterprise risk register with formal risk owner assignment. Maintain and regularly update a formal critical supplier register with risk ratings and annual review requirements.</w:t>
      </w:r>
    </w:p>
    <w:p>
      <w:pPr>
        <w:pStyle w:val="Heading3"/>
      </w:pPr>
      <w:r>
        <w:rPr>
          <w:rFonts w:ascii="Calibri" w:hAnsi="Calibri"/>
          <w:b/>
          <w:color w:val="007B7F"/>
          <w:sz w:val="26"/>
        </w:rPr>
        <w:t>4.2  Findings &amp; Recommendations</w:t>
      </w:r>
    </w:p>
    <w:p>
      <w:pPr>
        <w:spacing w:after="120" w:before="0"/>
      </w:pPr>
      <w:r>
        <w:rPr>
          <w:rFonts w:ascii="Calibri" w:hAnsi="Calibri" w:eastAsia="Calibri"/>
          <w:b/>
          <w:i w:val="0"/>
          <w:color w:val="C0392B"/>
          <w:sz w:val="22"/>
        </w:rPr>
        <w:t>Key Gaps:</w:t>
      </w:r>
    </w:p>
    <w:p>
      <w:pPr>
        <w:spacing w:after="60" w:before="20"/>
      </w:pPr>
      <w:r>
        <w:rPr>
          <w:rFonts w:ascii="Calibri" w:hAnsi="Calibri"/>
          <w:color w:val="333333"/>
          <w:sz w:val="22"/>
        </w:rPr>
        <w:t>●  Formal risk register absent — risk impacts and likelihoods not documented for any identified risk</w:t>
      </w:r>
    </w:p>
    <w:p>
      <w:pPr>
        <w:spacing w:after="60" w:before="20"/>
      </w:pPr>
      <w:r>
        <w:rPr>
          <w:rFonts w:ascii="Calibri" w:hAnsi="Calibri"/>
          <w:color w:val="333333"/>
          <w:sz w:val="22"/>
        </w:rPr>
        <w:t>●  Change management process not integrated with risk assessment requirements</w:t>
      </w:r>
    </w:p>
    <w:p>
      <w:pPr>
        <w:spacing w:after="60" w:before="20"/>
      </w:pPr>
      <w:r>
        <w:rPr>
          <w:rFonts w:ascii="Calibri" w:hAnsi="Calibri"/>
          <w:color w:val="333333"/>
          <w:sz w:val="22"/>
        </w:rPr>
        <w:t>●  Authenticity verification controls for software and hardware before deployment missing</w:t>
      </w:r>
    </w:p>
    <w:p>
      <w:pPr>
        <w:spacing w:after="60" w:before="20"/>
      </w:pPr>
      <w:r>
        <w:rPr>
          <w:rFonts w:ascii="Calibri" w:hAnsi="Calibri"/>
          <w:color w:val="333333"/>
          <w:sz w:val="22"/>
        </w:rPr>
        <w:t>●  Automated vulnerability scanning program not established</w:t>
      </w:r>
    </w:p>
    <w:p>
      <w:pPr>
        <w:spacing w:after="60" w:before="20"/>
      </w:pPr>
      <w:r>
        <w:rPr>
          <w:rFonts w:ascii="Calibri" w:hAnsi="Calibri"/>
          <w:color w:val="333333"/>
          <w:sz w:val="22"/>
        </w:rPr>
        <w:t>●  Improvement tracking not systematic — gap remediation cannot be demonstrated</w:t>
      </w:r>
    </w:p>
    <w:p>
      <w:pPr>
        <w:spacing w:after="60" w:before="20"/>
      </w:pPr>
      <w:r>
        <w:rPr>
          <w:rFonts w:ascii="Calibri" w:hAnsi="Calibri"/>
          <w:color w:val="333333"/>
          <w:sz w:val="22"/>
        </w:rPr>
        <w:t>●  Supply chain pre-engagement risk assessments not consistently performed</w:t>
      </w:r>
    </w:p>
    <w:p>
      <w:pPr>
        <w:spacing w:after="60" w:before="20"/>
      </w:pPr>
      <w:r>
        <w:rPr>
          <w:rFonts w:ascii="Calibri" w:hAnsi="Calibri"/>
          <w:color w:val="333333"/>
          <w:sz w:val="22"/>
        </w:rPr>
        <w:t>●  Vulnerability disclosure policy absent</w:t>
      </w:r>
    </w:p>
    <w:p>
      <w:pPr>
        <w:spacing w:after="120" w:before="0"/>
      </w:pPr>
      <w:r>
        <w:rPr>
          <w:rFonts w:ascii="Calibri" w:hAnsi="Calibri" w:eastAsia="Calibri"/>
          <w:b/>
          <w:i w:val="0"/>
          <w:color w:val="27AE60"/>
          <w:sz w:val="22"/>
        </w:rPr>
        <w:t>Recommendations:</w:t>
      </w:r>
    </w:p>
    <w:p>
      <w:pPr>
        <w:spacing w:after="60" w:before="20"/>
      </w:pPr>
      <w:r>
        <w:rPr>
          <w:rFonts w:ascii="Calibri" w:hAnsi="Calibri"/>
          <w:color w:val="333333"/>
          <w:sz w:val="22"/>
        </w:rPr>
        <w:t>●  Implement formal risk register covering all identified cybersecurity risks with owner, treatment plan, and residual risk tracking</w:t>
      </w:r>
    </w:p>
    <w:p>
      <w:pPr>
        <w:spacing w:after="60" w:before="20"/>
      </w:pPr>
      <w:r>
        <w:rPr>
          <w:rFonts w:ascii="Calibri" w:hAnsi="Calibri"/>
          <w:color w:val="333333"/>
          <w:sz w:val="22"/>
        </w:rPr>
        <w:t>●  Integrate risk assessment into change management process as a mandatory gate for significant changes</w:t>
      </w:r>
    </w:p>
    <w:p>
      <w:pPr>
        <w:spacing w:after="60" w:before="20"/>
      </w:pPr>
      <w:r>
        <w:rPr>
          <w:rFonts w:ascii="Calibri" w:hAnsi="Calibri"/>
          <w:color w:val="333333"/>
          <w:sz w:val="22"/>
        </w:rPr>
        <w:t>●  Implement software and hardware authenticity verification procedures for all assets entering the production environment</w:t>
      </w:r>
    </w:p>
    <w:p>
      <w:pPr>
        <w:spacing w:after="60" w:before="20"/>
      </w:pPr>
      <w:r>
        <w:rPr>
          <w:rFonts w:ascii="Calibri" w:hAnsi="Calibri"/>
          <w:color w:val="333333"/>
          <w:sz w:val="22"/>
        </w:rPr>
        <w:t>●  Establish regular automated vulnerability scanning program with frequency aligned to asset criticality</w:t>
      </w:r>
    </w:p>
    <w:p>
      <w:pPr>
        <w:spacing w:after="60" w:before="20"/>
      </w:pPr>
      <w:r>
        <w:rPr>
          <w:rFonts w:ascii="Calibri" w:hAnsi="Calibri"/>
          <w:color w:val="333333"/>
          <w:sz w:val="22"/>
        </w:rPr>
        <w:t>●  Deploy improvement tracking system for systematic gap remediation management and leadership reporting</w:t>
      </w:r>
    </w:p>
    <w:p>
      <w:pPr>
        <w:spacing w:after="60" w:before="20"/>
      </w:pPr>
      <w:r>
        <w:rPr>
          <w:rFonts w:ascii="Calibri" w:hAnsi="Calibri"/>
          <w:color w:val="333333"/>
          <w:sz w:val="22"/>
        </w:rPr>
        <w:t>●  Standardize supplier risk assessment with tiered due diligence requirements</w:t>
      </w:r>
    </w:p>
    <w:p>
      <w:pPr>
        <w:spacing w:after="60" w:before="20"/>
      </w:pPr>
      <w:r>
        <w:rPr>
          <w:rFonts w:ascii="Calibri" w:hAnsi="Calibri"/>
          <w:color w:val="333333"/>
          <w:sz w:val="22"/>
        </w:rPr>
        <w:t>●  Develop and publish vulnerability disclosure policy for external researchers</w:t>
      </w:r>
    </w:p>
    <w:p>
      <w:r>
        <w:br w:type="page"/>
      </w:r>
    </w:p>
    <w:p>
      <w:pPr>
        <w:pStyle w:val="Heading2"/>
      </w:pPr>
      <w:r>
        <w:rPr>
          <w:rFonts w:ascii="Calibri" w:hAnsi="Calibri"/>
          <w:b/>
          <w:color w:val="1A3C6E"/>
          <w:sz w:val="32"/>
        </w:rPr>
        <w:t>4.3  PROTECT (PR)</w:t>
      </w:r>
    </w:p>
    <w:p>
      <w:pPr>
        <w:spacing w:before="40" w:after="160"/>
        <w:pBdr>
          <w:bottom w:val="single" w:sz="6" w:space="1" w:color="007B7F"/>
        </w:pBdr>
      </w:pPr>
    </w:p>
    <w:p>
      <w:pPr>
        <w:spacing w:after="120" w:before="0"/>
      </w:pPr>
      <w:r>
        <w:rPr>
          <w:rFonts w:ascii="Calibri" w:hAnsi="Calibri" w:eastAsia="Calibri"/>
          <w:b w:val="0"/>
          <w:i w:val="0"/>
          <w:color w:val="333333"/>
          <w:sz w:val="22"/>
        </w:rPr>
        <w:t>Protect function maturity is 45.6%, reflecting strong data protection and physical security controls alongside significant gaps in preventive safeguards. Data at rest is well-protected, physical access to hardware assets is controlled, and employees receive some cybersecurity training. However, system logging is completely absent across all environments, network protection controls are incomplete, configuration management is entirely missing, and application security is inconsistently applied. The patch management program is not formally established. These preventive control gaps significantly increase the organization's vulnerability exposure and create risk of undetected compromise.</w:t>
      </w:r>
    </w:p>
    <w:p>
      <w:pPr>
        <w:pStyle w:val="Heading3"/>
      </w:pPr>
      <w:r>
        <w:rPr>
          <w:rFonts w:ascii="Calibri" w:hAnsi="Calibri"/>
          <w:b/>
          <w:color w:val="007B7F"/>
          <w:sz w:val="26"/>
        </w:rPr>
        <w:t>4.3.1  PR AA IDENTITY ACCESS MANAGEMENT</w:t>
      </w:r>
    </w:p>
    <w:p>
      <w:r>
        <w:rPr>
          <w:rFonts w:ascii="Calibri" w:hAnsi="Calibri"/>
          <w:b/>
          <w:color w:val="666666"/>
          <w:sz w:val="22"/>
        </w:rPr>
        <w:t xml:space="preserve">Status: </w:t>
      </w:r>
      <w:r>
        <w:rPr>
          <w:rFonts w:ascii="Calibri" w:hAnsi="Calibri"/>
          <w:b/>
          <w:color w:val="27AE60"/>
          <w:sz w:val="22"/>
        </w:rPr>
        <w:t>Partially Implemented (37.5%)</w:t>
      </w:r>
    </w:p>
    <w:p>
      <w:pPr>
        <w:spacing w:after="120" w:before="0"/>
      </w:pPr>
      <w:r>
        <w:rPr>
          <w:rFonts w:ascii="Calibri" w:hAnsi="Calibri" w:eastAsia="Calibri"/>
          <w:b w:val="0"/>
          <w:i w:val="0"/>
          <w:color w:val="333333"/>
          <w:sz w:val="22"/>
        </w:rPr>
        <w:t>Findings: User authentication is partially implemented across organizational systems, with stronger controls in place for core business applications and weaker controls for supporting systems. Device authentication is inconsistently enforced. Identity proofing is performed for regular users during onboarding but is less rigorous for contractor and third-party accounts. Identity assertions are protected during active sessions for most critical systems.</w:t>
      </w:r>
    </w:p>
    <w:p>
      <w:pPr>
        <w:spacing w:after="120" w:before="0"/>
      </w:pPr>
      <w:r>
        <w:rPr>
          <w:rFonts w:ascii="Calibri" w:hAnsi="Calibri" w:eastAsia="Calibri"/>
          <w:b/>
          <w:i w:val="0"/>
          <w:color w:val="C0392B"/>
          <w:sz w:val="22"/>
        </w:rPr>
        <w:t>Gaps:</w:t>
      </w:r>
    </w:p>
    <w:p>
      <w:pPr>
        <w:spacing w:after="120" w:before="0"/>
      </w:pPr>
      <w:r>
        <w:rPr>
          <w:rFonts w:ascii="Calibri" w:hAnsi="Calibri" w:eastAsia="Calibri"/>
          <w:b w:val="0"/>
          <w:i w:val="0"/>
          <w:color w:val="333333"/>
          <w:sz w:val="22"/>
        </w:rPr>
        <w:t>Authentication is not consistently enforced across all systems — some legacy and supporting systems use weak or shared credentials. Identity management is not centralized through an identity provider, creating fragmented access management that is difficult to audit and control. Privileged access management (PAM) is incomplete — privileged accounts are not systematically inventoried, credentials are not stored in a vault, and privileged session monitoring is absent. Access reviews are not conducted on a regular schedule — access accumulation over time is a known risk. Multi-factor authentication is not universally deployed, particularly for remote access and privileged accounts.</w:t>
      </w:r>
    </w:p>
    <w:p>
      <w:pPr>
        <w:spacing w:after="120" w:before="0"/>
      </w:pPr>
      <w:r>
        <w:rPr>
          <w:rFonts w:ascii="Calibri" w:hAnsi="Calibri" w:eastAsia="Calibri"/>
          <w:b/>
          <w:i w:val="0"/>
          <w:color w:val="007B7F"/>
          <w:sz w:val="22"/>
        </w:rPr>
        <w:t>Recommendations:</w:t>
      </w:r>
    </w:p>
    <w:p>
      <w:pPr>
        <w:spacing w:after="120" w:before="0"/>
      </w:pPr>
      <w:r>
        <w:rPr>
          <w:rFonts w:ascii="Calibri" w:hAnsi="Calibri" w:eastAsia="Calibri"/>
          <w:b w:val="0"/>
          <w:i w:val="0"/>
          <w:color w:val="333333"/>
          <w:sz w:val="22"/>
        </w:rPr>
        <w:t>Implement a centralized identity management platform to consolidate user provisioning, deprovisioning, and access management. Deploy privileged access management (PAM) solution covering all privileged accounts with credential vaulting, session monitoring, and just-in-time access capabilities. Establish quarterly access review program for all user accounts, with annual review for standard users and quarterly review for privileged accounts. Mandate multi-factor authentication for all remote access, privileged accounts, and critical business applications. Standardize authentication requirements across all systems in a documented access control policy.</w:t>
      </w:r>
    </w:p>
    <w:p>
      <w:pPr>
        <w:pStyle w:val="Heading3"/>
      </w:pPr>
      <w:r>
        <w:rPr>
          <w:rFonts w:ascii="Calibri" w:hAnsi="Calibri"/>
          <w:b/>
          <w:color w:val="007B7F"/>
          <w:sz w:val="26"/>
        </w:rPr>
        <w:t>4.3.2  PR AT AWARENESS TRAINING</w:t>
      </w:r>
    </w:p>
    <w:p>
      <w:r>
        <w:rPr>
          <w:rFonts w:ascii="Calibri" w:hAnsi="Calibri"/>
          <w:b/>
          <w:color w:val="666666"/>
          <w:sz w:val="22"/>
        </w:rPr>
        <w:t xml:space="preserve">Status: </w:t>
      </w:r>
      <w:r>
        <w:rPr>
          <w:rFonts w:ascii="Calibri" w:hAnsi="Calibri"/>
          <w:b/>
          <w:color w:val="27AE60"/>
          <w:sz w:val="22"/>
        </w:rPr>
        <w:t>Mostly Implemented (50%)</w:t>
      </w:r>
    </w:p>
    <w:p>
      <w:pPr>
        <w:spacing w:after="120" w:before="0"/>
      </w:pPr>
      <w:r>
        <w:rPr>
          <w:rFonts w:ascii="Calibri" w:hAnsi="Calibri" w:eastAsia="Calibri"/>
          <w:b w:val="0"/>
          <w:i w:val="0"/>
          <w:color w:val="333333"/>
          <w:sz w:val="22"/>
        </w:rPr>
        <w:t>Findings: General cybersecurity awareness training is delivered to employees, covering common threats such as phishing, social engineering, and secure password practices. Security specialists receive role-targeted technical training aligned to their responsibilities. Training is generally well-received by employees.</w:t>
      </w:r>
    </w:p>
    <w:p>
      <w:pPr>
        <w:spacing w:after="120" w:before="0"/>
      </w:pPr>
      <w:r>
        <w:rPr>
          <w:rFonts w:ascii="Calibri" w:hAnsi="Calibri" w:eastAsia="Calibri"/>
          <w:b/>
          <w:i w:val="0"/>
          <w:color w:val="C0392B"/>
          <w:sz w:val="22"/>
        </w:rPr>
        <w:t>Gaps:</w:t>
      </w:r>
    </w:p>
    <w:p>
      <w:pPr>
        <w:spacing w:after="120" w:before="0"/>
      </w:pPr>
      <w:r>
        <w:rPr>
          <w:rFonts w:ascii="Calibri" w:hAnsi="Calibri" w:eastAsia="Calibri"/>
          <w:b w:val="0"/>
          <w:i w:val="0"/>
          <w:color w:val="333333"/>
          <w:sz w:val="22"/>
        </w:rPr>
        <w:t>Training completion tracking is incomplete — there is no learning management system (LMS) to confirm all employees have completed required training or to enforce annual retraining. Training effectiveness is not measured through assessments, knowledge checks, or behavioral observation, making it impossible to demonstrate ROI or identify knowledge gaps. The awareness program is not sufficiently tailored to different organizational roles — the same generic training is delivered to technical and non-technical staff. Phishing simulation exercises are not conducted, missing a critical tool for behavioral security reinforcement. Training content has not been updated to reflect recent threat landscape developments.</w:t>
      </w:r>
    </w:p>
    <w:p>
      <w:pPr>
        <w:spacing w:after="120" w:before="0"/>
      </w:pPr>
      <w:r>
        <w:rPr>
          <w:rFonts w:ascii="Calibri" w:hAnsi="Calibri" w:eastAsia="Calibri"/>
          <w:b/>
          <w:i w:val="0"/>
          <w:color w:val="007B7F"/>
          <w:sz w:val="22"/>
        </w:rPr>
        <w:t>Recommendations:</w:t>
      </w:r>
    </w:p>
    <w:p>
      <w:pPr>
        <w:spacing w:after="120" w:before="0"/>
      </w:pPr>
      <w:r>
        <w:rPr>
          <w:rFonts w:ascii="Calibri" w:hAnsi="Calibri" w:eastAsia="Calibri"/>
          <w:b w:val="0"/>
          <w:i w:val="0"/>
          <w:color w:val="333333"/>
          <w:sz w:val="22"/>
        </w:rPr>
        <w:t>Implement a learning management system (LMS) to manage, track, and report on security training completion across the entire organization. Develop differentiated role-based training curricula for at minimum three tracks: general employees, IT and technical staff, and leadership. Conduct quarterly phishing simulation campaigns with follow-up training for employees who are susceptible. Introduce pre- and post-training assessments to measure knowledge improvement. Update training content annually to reflect current threat intelligence and emerging attack techniques.</w:t>
      </w:r>
    </w:p>
    <w:p>
      <w:pPr>
        <w:pStyle w:val="Heading3"/>
      </w:pPr>
      <w:r>
        <w:rPr>
          <w:rFonts w:ascii="Calibri" w:hAnsi="Calibri"/>
          <w:b/>
          <w:color w:val="007B7F"/>
          <w:sz w:val="26"/>
        </w:rPr>
        <w:t>4.3.3  PR DS DATA SECURITY</w:t>
      </w:r>
    </w:p>
    <w:p>
      <w:r>
        <w:rPr>
          <w:rFonts w:ascii="Calibri" w:hAnsi="Calibri"/>
          <w:b/>
          <w:color w:val="666666"/>
          <w:sz w:val="22"/>
        </w:rPr>
        <w:t xml:space="preserve">Status: </w:t>
      </w:r>
      <w:r>
        <w:rPr>
          <w:rFonts w:ascii="Calibri" w:hAnsi="Calibri"/>
          <w:b/>
          <w:color w:val="27AE60"/>
          <w:sz w:val="22"/>
        </w:rPr>
        <w:t>Fully Implemented (75%)</w:t>
      </w:r>
    </w:p>
    <w:p>
      <w:pPr>
        <w:spacing w:after="120" w:before="0"/>
      </w:pPr>
      <w:r>
        <w:rPr>
          <w:rFonts w:ascii="Calibri" w:hAnsi="Calibri" w:eastAsia="Calibri"/>
          <w:b w:val="0"/>
          <w:i w:val="0"/>
          <w:color w:val="333333"/>
          <w:sz w:val="22"/>
        </w:rPr>
        <w:t>Findings: Data at rest protection controls are implemented and effective, with encryption applied to critical data stores and sensitive file repositories. Sensitive data handling follows documented standards for key data categories. Data in transit is protected for most communication pathways, with encrypted channels established for critical data transfers.</w:t>
      </w:r>
    </w:p>
    <w:p>
      <w:pPr>
        <w:spacing w:after="120" w:before="0"/>
      </w:pPr>
      <w:r>
        <w:rPr>
          <w:rFonts w:ascii="Calibri" w:hAnsi="Calibri" w:eastAsia="Calibri"/>
          <w:b/>
          <w:i w:val="0"/>
          <w:color w:val="C0392B"/>
          <w:sz w:val="22"/>
        </w:rPr>
        <w:t>Gaps:</w:t>
      </w:r>
    </w:p>
    <w:p>
      <w:pPr>
        <w:spacing w:after="120" w:before="0"/>
      </w:pPr>
      <w:r>
        <w:rPr>
          <w:rFonts w:ascii="Calibri" w:hAnsi="Calibri" w:eastAsia="Calibri"/>
          <w:b w:val="0"/>
          <w:i w:val="0"/>
          <w:color w:val="333333"/>
          <w:sz w:val="22"/>
        </w:rPr>
        <w:t>Data in transit protection is not consistently implemented across all communication channels — some internal system-to-system communications and legacy integrations do not use encrypted transport. Data classification has not been fully implemented across all data stores, resulting in inconsistent application of protection controls based on data sensitivity. Encryption key management lacks formal procedures for key lifecycle management, rotation schedules, and key custodian accountability. Data loss prevention (DLP) controls are absent, creating risk of undetected sensitive data exfiltration.</w:t>
      </w:r>
    </w:p>
    <w:p>
      <w:pPr>
        <w:spacing w:after="120" w:before="0"/>
      </w:pPr>
      <w:r>
        <w:rPr>
          <w:rFonts w:ascii="Calibri" w:hAnsi="Calibri" w:eastAsia="Calibri"/>
          <w:b/>
          <w:i w:val="0"/>
          <w:color w:val="007B7F"/>
          <w:sz w:val="22"/>
        </w:rPr>
        <w:t>Recommendations:</w:t>
      </w:r>
    </w:p>
    <w:p>
      <w:pPr>
        <w:spacing w:after="120" w:before="0"/>
      </w:pPr>
      <w:r>
        <w:rPr>
          <w:rFonts w:ascii="Calibri" w:hAnsi="Calibri" w:eastAsia="Calibri"/>
          <w:b w:val="0"/>
          <w:i w:val="0"/>
          <w:color w:val="333333"/>
          <w:sz w:val="22"/>
        </w:rPr>
        <w:t>Audit all data in transit pathways and enforce TLS 1.2 or higher for all system communications, with legacy exceptions documented and on a migration timeline. Implement a formal data classification program aligned to a defined classification taxonomy (e.g., Public, Internal, Confidential, Restricted). Formalize encryption key management procedures covering key generation, storage, rotation, revocation, and destruction. Evaluate and deploy DLP technology for monitoring and preventing exfiltration of sensitive data categories.</w:t>
      </w:r>
    </w:p>
    <w:p>
      <w:pPr>
        <w:pStyle w:val="Heading3"/>
      </w:pPr>
      <w:r>
        <w:rPr>
          <w:rFonts w:ascii="Calibri" w:hAnsi="Calibri"/>
          <w:b/>
          <w:color w:val="007B7F"/>
          <w:sz w:val="26"/>
        </w:rPr>
        <w:t>4.3.4  PR PS PLATFORM SECURITY</w:t>
      </w:r>
    </w:p>
    <w:p>
      <w:r>
        <w:rPr>
          <w:rFonts w:ascii="Calibri" w:hAnsi="Calibri"/>
          <w:b/>
          <w:color w:val="666666"/>
          <w:sz w:val="22"/>
        </w:rPr>
        <w:t xml:space="preserve">Status: </w:t>
      </w:r>
      <w:r>
        <w:rPr>
          <w:rFonts w:ascii="Calibri" w:hAnsi="Calibri"/>
          <w:b/>
          <w:color w:val="27AE60"/>
          <w:sz w:val="22"/>
        </w:rPr>
        <w:t>Partially Implemented (31.3%)</w:t>
      </w:r>
    </w:p>
    <w:p>
      <w:pPr>
        <w:spacing w:after="120" w:before="0"/>
      </w:pPr>
      <w:r>
        <w:rPr>
          <w:rFonts w:ascii="Calibri" w:hAnsi="Calibri" w:eastAsia="Calibri"/>
          <w:b w:val="0"/>
          <w:i w:val="0"/>
          <w:color w:val="333333"/>
          <w:sz w:val="22"/>
        </w:rPr>
        <w:t>Findings: Hardware assets are maintained securely with physical access controls and asset tagging. Physical access to server rooms and network infrastructure is controlled with access logging. Unauthorized software installation prevention controls are partially in place for managed endpoints.</w:t>
      </w:r>
    </w:p>
    <w:p>
      <w:pPr>
        <w:spacing w:after="120" w:before="0"/>
      </w:pPr>
      <w:r>
        <w:rPr>
          <w:rFonts w:ascii="Calibri" w:hAnsi="Calibri" w:eastAsia="Calibri"/>
          <w:b/>
          <w:i w:val="0"/>
          <w:color w:val="C0392B"/>
          <w:sz w:val="22"/>
        </w:rPr>
        <w:t>Gaps:</w:t>
      </w:r>
    </w:p>
    <w:p>
      <w:pPr>
        <w:spacing w:after="120" w:before="0"/>
      </w:pPr>
      <w:r>
        <w:rPr>
          <w:rFonts w:ascii="Calibri" w:hAnsi="Calibri" w:eastAsia="Calibri"/>
          <w:b w:val="0"/>
          <w:i w:val="0"/>
          <w:color w:val="333333"/>
          <w:sz w:val="22"/>
        </w:rPr>
        <w:t>System and application logging is not implemented across any platform — no centralized log collection exists and individual system logs are not consistently configured or retained. Removal of unsupported software is not consistently enforced — some end-of-life software versions remain in production environments. Platform hardening standards have not been documented or applied — systems are deployed without reference to security hardening benchmarks. Vulnerability management is incomplete — no formal process exists for identifying, prioritizing, and remediating platform vulnerabilities within defined SLAs.</w:t>
      </w:r>
    </w:p>
    <w:p>
      <w:pPr>
        <w:spacing w:after="120" w:before="0"/>
      </w:pPr>
      <w:r>
        <w:rPr>
          <w:rFonts w:ascii="Calibri" w:hAnsi="Calibri" w:eastAsia="Calibri"/>
          <w:b/>
          <w:i w:val="0"/>
          <w:color w:val="007B7F"/>
          <w:sz w:val="22"/>
        </w:rPr>
        <w:t>Recommendations:</w:t>
      </w:r>
    </w:p>
    <w:p>
      <w:pPr>
        <w:spacing w:after="120" w:before="0"/>
      </w:pPr>
      <w:r>
        <w:rPr>
          <w:rFonts w:ascii="Calibri" w:hAnsi="Calibri" w:eastAsia="Calibri"/>
          <w:b w:val="0"/>
          <w:i w:val="0"/>
          <w:color w:val="333333"/>
          <w:sz w:val="22"/>
        </w:rPr>
        <w:t>Implement centralized logging across all platforms with a defined logging standard specifying minimum log events, retention periods, and integrity controls. Develop and execute an end-of-life software inventory and remediation plan to remove or isolate all unsupported software within 90 days. Develop platform hardening standards based on CIS Benchmarks for all system types and apply to all new and existing systems. Establish a vulnerability management program with defined remediation SLAs aligned to CVSS severity ratings.</w:t>
      </w:r>
    </w:p>
    <w:p>
      <w:pPr>
        <w:pStyle w:val="Heading3"/>
      </w:pPr>
      <w:r>
        <w:rPr>
          <w:rFonts w:ascii="Calibri" w:hAnsi="Calibri"/>
          <w:b/>
          <w:color w:val="007B7F"/>
          <w:sz w:val="26"/>
        </w:rPr>
        <w:t>4.3.5  PR IR INFRASTRUCTURE RESILIENCE</w:t>
      </w:r>
    </w:p>
    <w:p>
      <w:r>
        <w:rPr>
          <w:rFonts w:ascii="Calibri" w:hAnsi="Calibri"/>
          <w:b/>
          <w:color w:val="666666"/>
          <w:sz w:val="22"/>
        </w:rPr>
        <w:t xml:space="preserve">Status: </w:t>
      </w:r>
      <w:r>
        <w:rPr>
          <w:rFonts w:ascii="Calibri" w:hAnsi="Calibri"/>
          <w:b/>
          <w:color w:val="27AE60"/>
          <w:sz w:val="22"/>
        </w:rPr>
        <w:t>Partially Implemented (25%)</w:t>
      </w:r>
    </w:p>
    <w:p>
      <w:pPr>
        <w:spacing w:after="120" w:before="0"/>
      </w:pPr>
      <w:r>
        <w:rPr>
          <w:rFonts w:ascii="Calibri" w:hAnsi="Calibri" w:eastAsia="Calibri"/>
          <w:b w:val="0"/>
          <w:i w:val="0"/>
          <w:color w:val="333333"/>
          <w:sz w:val="22"/>
        </w:rPr>
        <w:t>Findings: Technology assets are protected from environmental threats with basic physical controls including power redundancy for critical infrastructure and temperature monitoring in server facilities. Some redundancy for critical services has been implemented informally.</w:t>
      </w:r>
    </w:p>
    <w:p>
      <w:pPr>
        <w:spacing w:after="120" w:before="0"/>
      </w:pPr>
      <w:r>
        <w:rPr>
          <w:rFonts w:ascii="Calibri" w:hAnsi="Calibri" w:eastAsia="Calibri"/>
          <w:b/>
          <w:i w:val="0"/>
          <w:color w:val="C0392B"/>
          <w:sz w:val="22"/>
        </w:rPr>
        <w:t>Gaps:</w:t>
      </w:r>
    </w:p>
    <w:p>
      <w:pPr>
        <w:spacing w:after="120" w:before="0"/>
      </w:pPr>
      <w:r>
        <w:rPr>
          <w:rFonts w:ascii="Calibri" w:hAnsi="Calibri" w:eastAsia="Calibri"/>
          <w:b w:val="0"/>
          <w:i w:val="0"/>
          <w:color w:val="333333"/>
          <w:sz w:val="22"/>
        </w:rPr>
        <w:t>Network protection is incomplete — network segmentation is partial with no formally documented segmentation architecture, intrusion prevention capability is absent, and firewall rules have not been reviewed on a regular schedule. Infrastructure resilience measures are insufficient for critical services — no formal capacity planning process exists, and failover procedures have not been tested under realistic failure scenarios. Network hardening standards are not documented or applied. Denial-of-service protection for externally-facing services is not formally implemented.</w:t>
      </w:r>
    </w:p>
    <w:p>
      <w:pPr>
        <w:spacing w:after="120" w:before="0"/>
      </w:pPr>
      <w:r>
        <w:rPr>
          <w:rFonts w:ascii="Calibri" w:hAnsi="Calibri" w:eastAsia="Calibri"/>
          <w:b/>
          <w:i w:val="0"/>
          <w:color w:val="007B7F"/>
          <w:sz w:val="22"/>
        </w:rPr>
        <w:t>Recommendations:</w:t>
      </w:r>
    </w:p>
    <w:p>
      <w:pPr>
        <w:spacing w:after="120" w:before="0"/>
      </w:pPr>
      <w:r>
        <w:rPr>
          <w:rFonts w:ascii="Calibri" w:hAnsi="Calibri" w:eastAsia="Calibri"/>
          <w:b w:val="0"/>
          <w:i w:val="0"/>
          <w:color w:val="333333"/>
          <w:sz w:val="22"/>
        </w:rPr>
        <w:t>Complete network segmentation by defining and implementing a documented segmentation architecture with security zones for critical assets, production systems, development, and user workstations. Deploy network intrusion detection and prevention at perimeter and key internal boundaries. Establish a quarterly firewall rule review process with formal documentation and approval. Develop a resilience planning framework that addresses capacity requirements, redundancy targets, and failover procedures for all critical services. Test resilience capabilities annually through scheduled failover exercises.</w:t>
      </w:r>
    </w:p>
    <w:p>
      <w:pPr>
        <w:pStyle w:val="Heading3"/>
      </w:pPr>
      <w:r>
        <w:rPr>
          <w:rFonts w:ascii="Calibri" w:hAnsi="Calibri"/>
          <w:b/>
          <w:color w:val="007B7F"/>
          <w:sz w:val="26"/>
        </w:rPr>
        <w:t>4.3.6  PR MA MAINTENANCE PATCH</w:t>
      </w:r>
    </w:p>
    <w:p>
      <w:r>
        <w:rPr>
          <w:rFonts w:ascii="Calibri" w:hAnsi="Calibri"/>
          <w:b/>
          <w:color w:val="666666"/>
          <w:sz w:val="22"/>
        </w:rPr>
        <w:t xml:space="preserve">Status: </w:t>
      </w:r>
      <w:r>
        <w:rPr>
          <w:rFonts w:ascii="Calibri" w:hAnsi="Calibri"/>
          <w:b/>
          <w:color w:val="C0392B"/>
          <w:sz w:val="22"/>
        </w:rPr>
        <w:t>Not in Place (0%)</w:t>
      </w:r>
    </w:p>
    <w:p>
      <w:pPr>
        <w:spacing w:after="120" w:before="0"/>
      </w:pPr>
      <w:r>
        <w:rPr>
          <w:rFonts w:ascii="Calibri" w:hAnsi="Calibri" w:eastAsia="Calibri"/>
          <w:b w:val="0"/>
          <w:i w:val="0"/>
          <w:color w:val="333333"/>
          <w:sz w:val="22"/>
        </w:rPr>
        <w:t>Findings: No formal maintenance or patch management program exists. Configuration management is completely absent — no documented baseline configurations have been established for any system type. System maintenance activities are performed reactively when issues arise rather than following a proactive schedule.</w:t>
      </w:r>
    </w:p>
    <w:p>
      <w:pPr>
        <w:spacing w:after="120" w:before="0"/>
      </w:pPr>
      <w:r>
        <w:rPr>
          <w:rFonts w:ascii="Calibri" w:hAnsi="Calibri" w:eastAsia="Calibri"/>
          <w:b/>
          <w:i w:val="0"/>
          <w:color w:val="C0392B"/>
          <w:sz w:val="22"/>
        </w:rPr>
        <w:t>Gaps:</w:t>
      </w:r>
    </w:p>
    <w:p>
      <w:pPr>
        <w:spacing w:after="120" w:before="0"/>
      </w:pPr>
      <w:r>
        <w:rPr>
          <w:rFonts w:ascii="Calibri" w:hAnsi="Calibri" w:eastAsia="Calibri"/>
          <w:b w:val="0"/>
          <w:i w:val="0"/>
          <w:color w:val="333333"/>
          <w:sz w:val="22"/>
        </w:rPr>
        <w:t>A patch management policy defining scope, ownership, SLAs for different vulnerability severity levels, exceptions handling, and compliance reporting is entirely missing. Secure configuration baselines have not been developed for any system type, meaning deviations from secure configurations cannot be detected. Maintenance schedules are undefined and inconsistently practiced. Change control processes are not integrated with security requirements — security reviews are not a standard component of the change approval process. No automated patch deployment or compliance monitoring tooling is in place.</w:t>
      </w:r>
    </w:p>
    <w:p>
      <w:pPr>
        <w:spacing w:after="120" w:before="0"/>
      </w:pPr>
      <w:r>
        <w:rPr>
          <w:rFonts w:ascii="Calibri" w:hAnsi="Calibri" w:eastAsia="Calibri"/>
          <w:b/>
          <w:i w:val="0"/>
          <w:color w:val="007B7F"/>
          <w:sz w:val="22"/>
        </w:rPr>
        <w:t>Recommendations:</w:t>
      </w:r>
    </w:p>
    <w:p>
      <w:pPr>
        <w:spacing w:after="120" w:before="0"/>
      </w:pPr>
      <w:r>
        <w:rPr>
          <w:rFonts w:ascii="Calibri" w:hAnsi="Calibri" w:eastAsia="Calibri"/>
          <w:b w:val="0"/>
          <w:i w:val="0"/>
          <w:color w:val="333333"/>
          <w:sz w:val="22"/>
        </w:rPr>
        <w:t>Establish a comprehensive patch management program including written policy, defined SLA targets (e.g., Critical: 72 hours, High: 7 days, Medium: 30 days, Low: 90 days), patching tooling deployment, exception process, and monthly compliance reporting. Implement secure configuration baselines for all system types using CIS Benchmarks or equivalent, applied to all existing and new systems within 180 days. Define maintenance schedules for all critical systems. Integrate security review as a mandatory component of the change approval process.</w:t>
      </w:r>
    </w:p>
    <w:p>
      <w:pPr>
        <w:pStyle w:val="Heading3"/>
      </w:pPr>
      <w:r>
        <w:rPr>
          <w:rFonts w:ascii="Calibri" w:hAnsi="Calibri"/>
          <w:b/>
          <w:color w:val="007B7F"/>
          <w:sz w:val="26"/>
        </w:rPr>
        <w:t>4.3.7  PR AC APPLICATION SECURITY</w:t>
      </w:r>
    </w:p>
    <w:p>
      <w:r>
        <w:rPr>
          <w:rFonts w:ascii="Calibri" w:hAnsi="Calibri"/>
          <w:b/>
          <w:color w:val="666666"/>
          <w:sz w:val="22"/>
        </w:rPr>
        <w:t xml:space="preserve">Status: </w:t>
      </w:r>
      <w:r>
        <w:rPr>
          <w:rFonts w:ascii="Calibri" w:hAnsi="Calibri"/>
          <w:b/>
          <w:color w:val="27AE60"/>
          <w:sz w:val="22"/>
        </w:rPr>
        <w:t>Partially Implemented (25%)</w:t>
      </w:r>
    </w:p>
    <w:p>
      <w:pPr>
        <w:spacing w:after="120" w:before="0"/>
      </w:pPr>
      <w:r>
        <w:rPr>
          <w:rFonts w:ascii="Calibri" w:hAnsi="Calibri" w:eastAsia="Calibri"/>
          <w:b w:val="0"/>
          <w:i w:val="0"/>
          <w:color w:val="333333"/>
          <w:sz w:val="22"/>
        </w:rPr>
        <w:t>Findings: Secure development practices are followed in some application development activities, with developers having some awareness of common security vulnerabilities. Some manual security review occurs for higher-risk applications.</w:t>
      </w:r>
    </w:p>
    <w:p>
      <w:pPr>
        <w:spacing w:after="120" w:before="0"/>
      </w:pPr>
      <w:r>
        <w:rPr>
          <w:rFonts w:ascii="Calibri" w:hAnsi="Calibri" w:eastAsia="Calibri"/>
          <w:b/>
          <w:i w:val="0"/>
          <w:color w:val="C0392B"/>
          <w:sz w:val="22"/>
        </w:rPr>
        <w:t>Gaps:</w:t>
      </w:r>
    </w:p>
    <w:p>
      <w:pPr>
        <w:spacing w:after="120" w:before="0"/>
      </w:pPr>
      <w:r>
        <w:rPr>
          <w:rFonts w:ascii="Calibri" w:hAnsi="Calibri" w:eastAsia="Calibri"/>
          <w:b w:val="0"/>
          <w:i w:val="0"/>
          <w:color w:val="333333"/>
          <w:sz w:val="22"/>
        </w:rPr>
        <w:t>Application security is not consistently monitored in production — no web application firewall (WAF), runtime application self-protection (RASP), or application security monitoring is deployed. The software development lifecycle (SDLC) is not formally integrated with security requirements, testing gates, or approval criteria. Automated application security testing (SAST, DAST) is not conducted as part of the development pipeline. Third-party application risk assessment is not performed — the security posture of purchased software and SaaS applications is unknown.</w:t>
      </w:r>
    </w:p>
    <w:p>
      <w:pPr>
        <w:spacing w:after="120" w:before="0"/>
      </w:pPr>
      <w:r>
        <w:rPr>
          <w:rFonts w:ascii="Calibri" w:hAnsi="Calibri" w:eastAsia="Calibri"/>
          <w:b/>
          <w:i w:val="0"/>
          <w:color w:val="007B7F"/>
          <w:sz w:val="22"/>
        </w:rPr>
        <w:t>Recommendations:</w:t>
      </w:r>
    </w:p>
    <w:p>
      <w:pPr>
        <w:spacing w:after="120" w:before="0"/>
      </w:pPr>
      <w:r>
        <w:rPr>
          <w:rFonts w:ascii="Calibri" w:hAnsi="Calibri" w:eastAsia="Calibri"/>
          <w:b w:val="0"/>
          <w:i w:val="0"/>
          <w:color w:val="333333"/>
          <w:sz w:val="22"/>
        </w:rPr>
        <w:t>Implement SDLC security gates at key development stages: security requirements in design phase, SAST in build phase, DAST in test phase, and security sign-off in release phase. Deploy WAF for all externally-facing web applications. Establish a third-party application assessment process that evaluates security posture of purchased and SaaS applications before deployment and annually thereafter. Implement application security monitoring in production environments. Provide secure coding training for all development staff.</w:t>
      </w:r>
    </w:p>
    <w:p>
      <w:pPr>
        <w:pStyle w:val="Heading3"/>
      </w:pPr>
      <w:r>
        <w:rPr>
          <w:rFonts w:ascii="Calibri" w:hAnsi="Calibri"/>
          <w:b/>
          <w:color w:val="007B7F"/>
          <w:sz w:val="26"/>
        </w:rPr>
        <w:t>4.3  Findings &amp; Recommendations</w:t>
      </w:r>
    </w:p>
    <w:p>
      <w:pPr>
        <w:spacing w:after="120" w:before="0"/>
      </w:pPr>
      <w:r>
        <w:rPr>
          <w:rFonts w:ascii="Calibri" w:hAnsi="Calibri" w:eastAsia="Calibri"/>
          <w:b/>
          <w:i w:val="0"/>
          <w:color w:val="C0392B"/>
          <w:sz w:val="22"/>
        </w:rPr>
        <w:t>Key Gaps:</w:t>
      </w:r>
    </w:p>
    <w:p>
      <w:pPr>
        <w:spacing w:after="60" w:before="20"/>
      </w:pPr>
      <w:r>
        <w:rPr>
          <w:rFonts w:ascii="Calibri" w:hAnsi="Calibri"/>
          <w:color w:val="333333"/>
          <w:sz w:val="22"/>
        </w:rPr>
        <w:t>●  System logging not implemented across any platform — zero forensic capability</w:t>
      </w:r>
    </w:p>
    <w:p>
      <w:pPr>
        <w:spacing w:after="60" w:before="20"/>
      </w:pPr>
      <w:r>
        <w:rPr>
          <w:rFonts w:ascii="Calibri" w:hAnsi="Calibri"/>
          <w:color w:val="333333"/>
          <w:sz w:val="22"/>
        </w:rPr>
        <w:t>●  Network protection controls incomplete — segmentation partial, IPS absent, firewall reviews infrequent</w:t>
      </w:r>
    </w:p>
    <w:p>
      <w:pPr>
        <w:spacing w:after="60" w:before="20"/>
      </w:pPr>
      <w:r>
        <w:rPr>
          <w:rFonts w:ascii="Calibri" w:hAnsi="Calibri"/>
          <w:color w:val="333333"/>
          <w:sz w:val="22"/>
        </w:rPr>
        <w:t>●  Configuration management entirely absent — no secure baselines for any system type</w:t>
      </w:r>
    </w:p>
    <w:p>
      <w:pPr>
        <w:spacing w:after="60" w:before="20"/>
      </w:pPr>
      <w:r>
        <w:rPr>
          <w:rFonts w:ascii="Calibri" w:hAnsi="Calibri"/>
          <w:color w:val="333333"/>
          <w:sz w:val="22"/>
        </w:rPr>
        <w:t>●  Infrastructure resilience measures insufficient for critical services</w:t>
      </w:r>
    </w:p>
    <w:p>
      <w:pPr>
        <w:spacing w:after="60" w:before="20"/>
      </w:pPr>
      <w:r>
        <w:rPr>
          <w:rFonts w:ascii="Calibri" w:hAnsi="Calibri"/>
          <w:color w:val="333333"/>
          <w:sz w:val="22"/>
        </w:rPr>
        <w:t>●  Patch management program not established — no patching policy, SLAs, or tooling</w:t>
      </w:r>
    </w:p>
    <w:p>
      <w:pPr>
        <w:spacing w:after="60" w:before="20"/>
      </w:pPr>
      <w:r>
        <w:rPr>
          <w:rFonts w:ascii="Calibri" w:hAnsi="Calibri"/>
          <w:color w:val="333333"/>
          <w:sz w:val="22"/>
        </w:rPr>
        <w:t>●  Application security not consistently applied across development and production environments</w:t>
      </w:r>
    </w:p>
    <w:p>
      <w:pPr>
        <w:spacing w:after="60" w:before="20"/>
      </w:pPr>
      <w:r>
        <w:rPr>
          <w:rFonts w:ascii="Calibri" w:hAnsi="Calibri"/>
          <w:color w:val="333333"/>
          <w:sz w:val="22"/>
        </w:rPr>
        <w:t>●  Privileged access management incomplete</w:t>
      </w:r>
    </w:p>
    <w:p>
      <w:pPr>
        <w:spacing w:after="60" w:before="20"/>
      </w:pPr>
      <w:r>
        <w:rPr>
          <w:rFonts w:ascii="Calibri" w:hAnsi="Calibri"/>
          <w:color w:val="333333"/>
          <w:sz w:val="22"/>
        </w:rPr>
        <w:t>●  Data loss prevention controls absent</w:t>
      </w:r>
    </w:p>
    <w:p>
      <w:pPr>
        <w:spacing w:after="120" w:before="0"/>
      </w:pPr>
      <w:r>
        <w:rPr>
          <w:rFonts w:ascii="Calibri" w:hAnsi="Calibri" w:eastAsia="Calibri"/>
          <w:b/>
          <w:i w:val="0"/>
          <w:color w:val="27AE60"/>
          <w:sz w:val="22"/>
        </w:rPr>
        <w:t>Recommendations:</w:t>
      </w:r>
    </w:p>
    <w:p>
      <w:pPr>
        <w:spacing w:after="60" w:before="20"/>
      </w:pPr>
      <w:r>
        <w:rPr>
          <w:rFonts w:ascii="Calibri" w:hAnsi="Calibri"/>
          <w:color w:val="333333"/>
          <w:sz w:val="22"/>
        </w:rPr>
        <w:t>●  Implement centralized logging solution with SIEM integration covering all critical systems and infrastructure within 120 days</w:t>
      </w:r>
    </w:p>
    <w:p>
      <w:pPr>
        <w:spacing w:after="60" w:before="20"/>
      </w:pPr>
      <w:r>
        <w:rPr>
          <w:rFonts w:ascii="Calibri" w:hAnsi="Calibri"/>
          <w:color w:val="333333"/>
          <w:sz w:val="22"/>
        </w:rPr>
        <w:t>●  Complete network protection controls including documented segmentation architecture, IPS deployment, and quarterly firewall review process</w:t>
      </w:r>
    </w:p>
    <w:p>
      <w:pPr>
        <w:spacing w:after="60" w:before="20"/>
      </w:pPr>
      <w:r>
        <w:rPr>
          <w:rFonts w:ascii="Calibri" w:hAnsi="Calibri"/>
          <w:color w:val="333333"/>
          <w:sz w:val="22"/>
        </w:rPr>
        <w:t>●  Establish configuration management program with CIS Benchmark-based secure baselines for all system types within 180 days</w:t>
      </w:r>
    </w:p>
    <w:p>
      <w:pPr>
        <w:spacing w:after="60" w:before="20"/>
      </w:pPr>
      <w:r>
        <w:rPr>
          <w:rFonts w:ascii="Calibri" w:hAnsi="Calibri"/>
          <w:color w:val="333333"/>
          <w:sz w:val="22"/>
        </w:rPr>
        <w:t>●  Develop and implement infrastructure resilience measures including redundancy targets, capacity planning, and tested failover procedures</w:t>
      </w:r>
    </w:p>
    <w:p>
      <w:pPr>
        <w:spacing w:after="60" w:before="20"/>
      </w:pPr>
      <w:r>
        <w:rPr>
          <w:rFonts w:ascii="Calibri" w:hAnsi="Calibri"/>
          <w:color w:val="333333"/>
          <w:sz w:val="22"/>
        </w:rPr>
        <w:t>●  Implement formal patch management program with written policy, defined SLAs, automated tooling, and monthly compliance reporting</w:t>
      </w:r>
    </w:p>
    <w:p>
      <w:pPr>
        <w:spacing w:after="60" w:before="20"/>
      </w:pPr>
      <w:r>
        <w:rPr>
          <w:rFonts w:ascii="Calibri" w:hAnsi="Calibri"/>
          <w:color w:val="333333"/>
          <w:sz w:val="22"/>
        </w:rPr>
        <w:t>●  Integrate security gates into SDLC and deploy automated application security testing in development pipeline</w:t>
      </w:r>
    </w:p>
    <w:p>
      <w:pPr>
        <w:spacing w:after="60" w:before="20"/>
      </w:pPr>
      <w:r>
        <w:rPr>
          <w:rFonts w:ascii="Calibri" w:hAnsi="Calibri"/>
          <w:color w:val="333333"/>
          <w:sz w:val="22"/>
        </w:rPr>
        <w:t>●  Deploy privileged access management solution covering all privileged accounts</w:t>
      </w:r>
    </w:p>
    <w:p>
      <w:pPr>
        <w:spacing w:after="60" w:before="20"/>
      </w:pPr>
      <w:r>
        <w:rPr>
          <w:rFonts w:ascii="Calibri" w:hAnsi="Calibri"/>
          <w:color w:val="333333"/>
          <w:sz w:val="22"/>
        </w:rPr>
        <w:t>●  Evaluate and deploy DLP for sensitive data categories</w:t>
      </w:r>
    </w:p>
    <w:p>
      <w:r>
        <w:br w:type="page"/>
      </w:r>
    </w:p>
    <w:p>
      <w:pPr>
        <w:pStyle w:val="Heading2"/>
      </w:pPr>
      <w:r>
        <w:rPr>
          <w:rFonts w:ascii="Calibri" w:hAnsi="Calibri"/>
          <w:b/>
          <w:color w:val="1A3C6E"/>
          <w:sz w:val="32"/>
        </w:rPr>
        <w:t>4.4  DETECT (DE)</w:t>
      </w:r>
    </w:p>
    <w:p>
      <w:pPr>
        <w:spacing w:before="40" w:after="160"/>
        <w:pBdr>
          <w:bottom w:val="single" w:sz="6" w:space="1" w:color="007B7F"/>
        </w:pBdr>
      </w:pPr>
    </w:p>
    <w:p>
      <w:pPr>
        <w:spacing w:after="120" w:before="0"/>
      </w:pPr>
      <w:r>
        <w:rPr>
          <w:rFonts w:ascii="Calibri" w:hAnsi="Calibri" w:eastAsia="Calibri"/>
          <w:b w:val="0"/>
          <w:i w:val="0"/>
          <w:color w:val="333333"/>
          <w:sz w:val="22"/>
        </w:rPr>
        <w:t>Detect function maturity is 50.0%, demonstrating well-established monitoring capabilities with effective threat intelligence integration and network anomaly detection. The organization has invested meaningfully in detection technology and operational monitoring processes. However, formal incident declaration criteria are undefined — when and how an anomaly becomes a declared incident is not specified. Physical environment monitoring is absent from critical facilities. Event analysis methodology is not standardized, leading to inconsistent analysis quality. Detection gap analysis has not been performed, meaning unknown detection blind spots may exist.</w:t>
      </w:r>
    </w:p>
    <w:p>
      <w:pPr>
        <w:pStyle w:val="Heading3"/>
      </w:pPr>
      <w:r>
        <w:rPr>
          <w:rFonts w:ascii="Calibri" w:hAnsi="Calibri"/>
          <w:b/>
          <w:color w:val="007B7F"/>
          <w:sz w:val="26"/>
        </w:rPr>
        <w:t>4.4.1  DE CM CONTINUOUS MONITORING</w:t>
      </w:r>
    </w:p>
    <w:p>
      <w:r>
        <w:rPr>
          <w:rFonts w:ascii="Calibri" w:hAnsi="Calibri"/>
          <w:b/>
          <w:color w:val="666666"/>
          <w:sz w:val="22"/>
        </w:rPr>
        <w:t xml:space="preserve">Status: </w:t>
      </w:r>
      <w:r>
        <w:rPr>
          <w:rFonts w:ascii="Calibri" w:hAnsi="Calibri"/>
          <w:b/>
          <w:color w:val="27AE60"/>
          <w:sz w:val="22"/>
        </w:rPr>
        <w:t>Partially Implemented (37.5%)</w:t>
      </w:r>
    </w:p>
    <w:p>
      <w:pPr>
        <w:spacing w:after="120" w:before="0"/>
      </w:pPr>
      <w:r>
        <w:rPr>
          <w:rFonts w:ascii="Calibri" w:hAnsi="Calibri" w:eastAsia="Calibri"/>
          <w:b w:val="0"/>
          <w:i w:val="0"/>
          <w:color w:val="333333"/>
          <w:sz w:val="22"/>
        </w:rPr>
        <w:t>Findings: Networks are monitored for anomalies using dedicated monitoring tools with some automated alerting configured. Systems and applications are monitored continuously through operational monitoring tools that alert on availability and performance events with some security alerting integrated. Third-party and partner activities are partially monitored through connection monitoring and access logging.</w:t>
      </w:r>
    </w:p>
    <w:p>
      <w:pPr>
        <w:spacing w:after="120" w:before="0"/>
      </w:pPr>
      <w:r>
        <w:rPr>
          <w:rFonts w:ascii="Calibri" w:hAnsi="Calibri" w:eastAsia="Calibri"/>
          <w:b/>
          <w:i w:val="0"/>
          <w:color w:val="C0392B"/>
          <w:sz w:val="22"/>
        </w:rPr>
        <w:t>Gaps:</w:t>
      </w:r>
    </w:p>
    <w:p>
      <w:pPr>
        <w:spacing w:after="120" w:before="0"/>
      </w:pPr>
      <w:r>
        <w:rPr>
          <w:rFonts w:ascii="Calibri" w:hAnsi="Calibri" w:eastAsia="Calibri"/>
          <w:b w:val="0"/>
          <w:i w:val="0"/>
          <w:color w:val="333333"/>
          <w:sz w:val="22"/>
        </w:rPr>
        <w:t>Physical environment monitoring for critical areas (server rooms, network infrastructure areas, physical access points) is missing — environmental threats such as unauthorized physical access, temperature anomalies, and equipment tampering are not detected through automated monitoring. Personnel activity monitoring for insider threat detection is incomplete and lacks formal policy or privacy framework. Monitoring coverage is not comprehensive — a formal monitoring scope document has not been developed, meaning gaps in coverage are unknown. Alerting thresholds and tuning processes are not formally documented, leading to alert fatigue from high false positive rates or missed detections from insufficient sensitivity.</w:t>
      </w:r>
    </w:p>
    <w:p>
      <w:pPr>
        <w:spacing w:after="120" w:before="0"/>
      </w:pPr>
      <w:r>
        <w:rPr>
          <w:rFonts w:ascii="Calibri" w:hAnsi="Calibri" w:eastAsia="Calibri"/>
          <w:b/>
          <w:i w:val="0"/>
          <w:color w:val="007B7F"/>
          <w:sz w:val="22"/>
        </w:rPr>
        <w:t>Recommendations:</w:t>
      </w:r>
    </w:p>
    <w:p>
      <w:pPr>
        <w:spacing w:after="120" w:before="0"/>
      </w:pPr>
      <w:r>
        <w:rPr>
          <w:rFonts w:ascii="Calibri" w:hAnsi="Calibri" w:eastAsia="Calibri"/>
          <w:b w:val="0"/>
          <w:i w:val="0"/>
          <w:color w:val="333333"/>
          <w:sz w:val="22"/>
        </w:rPr>
        <w:t>Implement physical security monitoring covering all critical facilities, including CCTV, environmental sensors, and physical access logging with alert integration into the security monitoring platform. Develop a comprehensive monitoring scope document defining all systems, assets, and activities to be monitored, with coverage gap analysis performed upon completion. Establish formal alerting threshold management with documented tuning processes and regular review cycles. Develop an insider threat monitoring framework with appropriate privacy controls and legal review.</w:t>
      </w:r>
    </w:p>
    <w:p>
      <w:pPr>
        <w:pStyle w:val="Heading3"/>
      </w:pPr>
      <w:r>
        <w:rPr>
          <w:rFonts w:ascii="Calibri" w:hAnsi="Calibri"/>
          <w:b/>
          <w:color w:val="007B7F"/>
          <w:sz w:val="26"/>
        </w:rPr>
        <w:t>4.4.2  DE AE ADVERSE EVENT DETECTION</w:t>
      </w:r>
    </w:p>
    <w:p>
      <w:r>
        <w:rPr>
          <w:rFonts w:ascii="Calibri" w:hAnsi="Calibri"/>
          <w:b/>
          <w:color w:val="666666"/>
          <w:sz w:val="22"/>
        </w:rPr>
        <w:t xml:space="preserve">Status: </w:t>
      </w:r>
      <w:r>
        <w:rPr>
          <w:rFonts w:ascii="Calibri" w:hAnsi="Calibri"/>
          <w:b/>
          <w:color w:val="27AE60"/>
          <w:sz w:val="22"/>
        </w:rPr>
        <w:t>Mostly Implemented (50%)</w:t>
      </w:r>
    </w:p>
    <w:p>
      <w:pPr>
        <w:spacing w:after="120" w:before="0"/>
      </w:pPr>
      <w:r>
        <w:rPr>
          <w:rFonts w:ascii="Calibri" w:hAnsi="Calibri" w:eastAsia="Calibri"/>
          <w:b w:val="0"/>
          <w:i w:val="0"/>
          <w:color w:val="333333"/>
          <w:sz w:val="22"/>
        </w:rPr>
        <w:t>Findings: Multiple information sources are leveraged for adverse event detection including network monitoring tools, threat intelligence feeds, and system health alerts. Cyber threat intelligence is integrated into detection workflows, with intelligence indicators actively used to tune detection rules. Event impact is estimated during triage to inform prioritization decisions.</w:t>
      </w:r>
    </w:p>
    <w:p>
      <w:pPr>
        <w:spacing w:after="120" w:before="0"/>
      </w:pPr>
      <w:r>
        <w:rPr>
          <w:rFonts w:ascii="Calibri" w:hAnsi="Calibri" w:eastAsia="Calibri"/>
          <w:b/>
          <w:i w:val="0"/>
          <w:color w:val="C0392B"/>
          <w:sz w:val="22"/>
        </w:rPr>
        <w:t>Gaps:</w:t>
      </w:r>
    </w:p>
    <w:p>
      <w:pPr>
        <w:spacing w:after="120" w:before="0"/>
      </w:pPr>
      <w:r>
        <w:rPr>
          <w:rFonts w:ascii="Calibri" w:hAnsi="Calibri" w:eastAsia="Calibri"/>
          <w:b w:val="0"/>
          <w:i w:val="0"/>
          <w:color w:val="333333"/>
          <w:sz w:val="22"/>
        </w:rPr>
        <w:t>Formal incident declaration criteria are not defined — there is no documented threshold or decision framework specifying when a detected event should be formally declared as a security incident requiring incident response procedures. Event correlation across multiple data sources is inconsistent — without a centralized SIEM, analysts manually correlate events from multiple tools, increasing error risk and detection latency. A formal detection gap analysis has not been conducted, meaning the organization does not have a complete picture of its detection coverage. False positive management processes are not optimized, contributing to analyst fatigue and potential misclassification of genuine incidents.</w:t>
      </w:r>
    </w:p>
    <w:p>
      <w:pPr>
        <w:spacing w:after="120" w:before="0"/>
      </w:pPr>
      <w:r>
        <w:rPr>
          <w:rFonts w:ascii="Calibri" w:hAnsi="Calibri" w:eastAsia="Calibri"/>
          <w:b/>
          <w:i w:val="0"/>
          <w:color w:val="007B7F"/>
          <w:sz w:val="22"/>
        </w:rPr>
        <w:t>Recommendations:</w:t>
      </w:r>
    </w:p>
    <w:p>
      <w:pPr>
        <w:spacing w:after="120" w:before="0"/>
      </w:pPr>
      <w:r>
        <w:rPr>
          <w:rFonts w:ascii="Calibri" w:hAnsi="Calibri" w:eastAsia="Calibri"/>
          <w:b w:val="0"/>
          <w:i w:val="0"/>
          <w:color w:val="333333"/>
          <w:sz w:val="22"/>
        </w:rPr>
        <w:t>Develop and document formal incident declaration criteria with defined severity levels (e.g., P1–P4) and decision criteria for each level, based on event type, impact scope, and data sensitivity. Deploy a SIEM platform to centralize event correlation, reduce analyst workload, and improve detection quality and speed. Conduct a formal detection gap analysis using the MITRE ATT&amp;CK framework to identify technique coverage and prioritize detection rule development for high-risk gaps. Implement a false positive management process with regular rule tuning reviews and metrics tracking.</w:t>
      </w:r>
    </w:p>
    <w:p>
      <w:pPr>
        <w:pStyle w:val="Heading3"/>
      </w:pPr>
      <w:r>
        <w:rPr>
          <w:rFonts w:ascii="Calibri" w:hAnsi="Calibri"/>
          <w:b/>
          <w:color w:val="007B7F"/>
          <w:sz w:val="26"/>
        </w:rPr>
        <w:t>4.4.3  DE AN EVENT ANALYSIS</w:t>
      </w:r>
    </w:p>
    <w:p>
      <w:r>
        <w:rPr>
          <w:rFonts w:ascii="Calibri" w:hAnsi="Calibri"/>
          <w:b/>
          <w:color w:val="666666"/>
          <w:sz w:val="22"/>
        </w:rPr>
        <w:t xml:space="preserve">Status: </w:t>
      </w:r>
      <w:r>
        <w:rPr>
          <w:rFonts w:ascii="Calibri" w:hAnsi="Calibri"/>
          <w:b/>
          <w:color w:val="27AE60"/>
          <w:sz w:val="22"/>
        </w:rPr>
        <w:t>Partially Implemented (37.5%)</w:t>
      </w:r>
    </w:p>
    <w:p>
      <w:pPr>
        <w:spacing w:after="120" w:before="0"/>
      </w:pPr>
      <w:r>
        <w:rPr>
          <w:rFonts w:ascii="Calibri" w:hAnsi="Calibri" w:eastAsia="Calibri"/>
          <w:b w:val="0"/>
          <w:i w:val="0"/>
          <w:color w:val="333333"/>
          <w:sz w:val="22"/>
        </w:rPr>
        <w:t>Findings: Unusual events and anomalies are analyzed by security staff to determine cause and impact. Investigation records are maintained in some form, with partial protection of records integrity. Analysts apply practical knowledge and experience to event analysis, though without a standardized methodology.</w:t>
      </w:r>
    </w:p>
    <w:p>
      <w:pPr>
        <w:spacing w:after="120" w:before="0"/>
      </w:pPr>
      <w:r>
        <w:rPr>
          <w:rFonts w:ascii="Calibri" w:hAnsi="Calibri" w:eastAsia="Calibri"/>
          <w:b/>
          <w:i w:val="0"/>
          <w:color w:val="C0392B"/>
          <w:sz w:val="22"/>
        </w:rPr>
        <w:t>Gaps:</w:t>
      </w:r>
    </w:p>
    <w:p>
      <w:pPr>
        <w:spacing w:after="120" w:before="0"/>
      </w:pPr>
      <w:r>
        <w:rPr>
          <w:rFonts w:ascii="Calibri" w:hAnsi="Calibri" w:eastAsia="Calibri"/>
          <w:b w:val="0"/>
          <w:i w:val="0"/>
          <w:color w:val="333333"/>
          <w:sz w:val="22"/>
        </w:rPr>
        <w:t>Event analysis consistency is a significant gap — analysis quality varies between analysts and across different event types due to the absence of a standardized analysis methodology or playbook library. Analysis findings are not systematically captured in a centralized repository, making it difficult to identify patterns, build institutional knowledge, or demonstrate analytical history. Forensic capabilities are limited — without centralized logging, deep forensic analysis of endpoint or network activity is constrained. Investigation record protection is only partially implemented, with no formal chain of custody procedures for evidence handling.</w:t>
      </w:r>
    </w:p>
    <w:p>
      <w:pPr>
        <w:spacing w:after="120" w:before="0"/>
      </w:pPr>
      <w:r>
        <w:rPr>
          <w:rFonts w:ascii="Calibri" w:hAnsi="Calibri" w:eastAsia="Calibri"/>
          <w:b/>
          <w:i w:val="0"/>
          <w:color w:val="007B7F"/>
          <w:sz w:val="22"/>
        </w:rPr>
        <w:t>Recommendations:</w:t>
      </w:r>
    </w:p>
    <w:p>
      <w:pPr>
        <w:spacing w:after="120" w:before="0"/>
      </w:pPr>
      <w:r>
        <w:rPr>
          <w:rFonts w:ascii="Calibri" w:hAnsi="Calibri" w:eastAsia="Calibri"/>
          <w:b w:val="0"/>
          <w:i w:val="0"/>
          <w:color w:val="333333"/>
          <w:sz w:val="22"/>
        </w:rPr>
        <w:t>Develop and implement a standardized event analysis methodology aligned with industry frameworks (SANS PICERL, NIST SP 800-61) covering triage, investigation, containment assessment, and documentation requirements. Create an analysis playbook library for the top 10–15 most common event types, with step-by-step investigation procedures. Implement an analysis findings repository using a ticketing system or SOAR platform to capture all analysis activities. Develop formal evidence handling and chain of custody procedures. Invest in forensic capability enhancement through tooling and analyst training.</w:t>
      </w:r>
    </w:p>
    <w:p>
      <w:pPr>
        <w:pStyle w:val="Heading3"/>
      </w:pPr>
      <w:r>
        <w:rPr>
          <w:rFonts w:ascii="Calibri" w:hAnsi="Calibri"/>
          <w:b/>
          <w:color w:val="007B7F"/>
          <w:sz w:val="26"/>
        </w:rPr>
        <w:t>4.4  Findings &amp; Recommendations</w:t>
      </w:r>
    </w:p>
    <w:p>
      <w:pPr>
        <w:spacing w:after="120" w:before="0"/>
      </w:pPr>
      <w:r>
        <w:rPr>
          <w:rFonts w:ascii="Calibri" w:hAnsi="Calibri" w:eastAsia="Calibri"/>
          <w:b/>
          <w:i w:val="0"/>
          <w:color w:val="C0392B"/>
          <w:sz w:val="22"/>
        </w:rPr>
        <w:t>Key Gaps:</w:t>
      </w:r>
    </w:p>
    <w:p>
      <w:pPr>
        <w:spacing w:after="60" w:before="20"/>
      </w:pPr>
      <w:r>
        <w:rPr>
          <w:rFonts w:ascii="Calibri" w:hAnsi="Calibri"/>
          <w:color w:val="333333"/>
          <w:sz w:val="22"/>
        </w:rPr>
        <w:t>●  Incident declaration criteria not defined — no formal threshold for declaring a security incident</w:t>
      </w:r>
    </w:p>
    <w:p>
      <w:pPr>
        <w:spacing w:after="60" w:before="20"/>
      </w:pPr>
      <w:r>
        <w:rPr>
          <w:rFonts w:ascii="Calibri" w:hAnsi="Calibri"/>
          <w:color w:val="333333"/>
          <w:sz w:val="22"/>
        </w:rPr>
        <w:t>●  Physical environment monitoring entirely absent from critical facilities</w:t>
      </w:r>
    </w:p>
    <w:p>
      <w:pPr>
        <w:spacing w:after="60" w:before="20"/>
      </w:pPr>
      <w:r>
        <w:rPr>
          <w:rFonts w:ascii="Calibri" w:hAnsi="Calibri"/>
          <w:color w:val="333333"/>
          <w:sz w:val="22"/>
        </w:rPr>
        <w:t>●  Event analysis consistency is poor due to lack of standardized methodology and playbooks</w:t>
      </w:r>
    </w:p>
    <w:p>
      <w:pPr>
        <w:spacing w:after="60" w:before="20"/>
      </w:pPr>
      <w:r>
        <w:rPr>
          <w:rFonts w:ascii="Calibri" w:hAnsi="Calibri"/>
          <w:color w:val="333333"/>
          <w:sz w:val="22"/>
        </w:rPr>
        <w:t>●  Detection gap analysis not conducted — coverage blind spots are unknown</w:t>
      </w:r>
    </w:p>
    <w:p>
      <w:pPr>
        <w:spacing w:after="60" w:before="20"/>
      </w:pPr>
      <w:r>
        <w:rPr>
          <w:rFonts w:ascii="Calibri" w:hAnsi="Calibri"/>
          <w:color w:val="333333"/>
          <w:sz w:val="22"/>
        </w:rPr>
        <w:t>●  Centralized SIEM not deployed — manual multi-source correlation creates detection latency</w:t>
      </w:r>
    </w:p>
    <w:p>
      <w:pPr>
        <w:spacing w:after="60" w:before="20"/>
      </w:pPr>
      <w:r>
        <w:rPr>
          <w:rFonts w:ascii="Calibri" w:hAnsi="Calibri"/>
          <w:color w:val="333333"/>
          <w:sz w:val="22"/>
        </w:rPr>
        <w:t>●  False positive management not optimized — analyst fatigue risk</w:t>
      </w:r>
    </w:p>
    <w:p>
      <w:pPr>
        <w:spacing w:after="120" w:before="0"/>
      </w:pPr>
      <w:r>
        <w:rPr>
          <w:rFonts w:ascii="Calibri" w:hAnsi="Calibri" w:eastAsia="Calibri"/>
          <w:b/>
          <w:i w:val="0"/>
          <w:color w:val="27AE60"/>
          <w:sz w:val="22"/>
        </w:rPr>
        <w:t>Recommendations:</w:t>
      </w:r>
    </w:p>
    <w:p>
      <w:pPr>
        <w:spacing w:after="60" w:before="20"/>
      </w:pPr>
      <w:r>
        <w:rPr>
          <w:rFonts w:ascii="Calibri" w:hAnsi="Calibri"/>
          <w:color w:val="333333"/>
          <w:sz w:val="22"/>
        </w:rPr>
        <w:t>●  Define and document formal incident declaration criteria with severity classification framework (P1–P4) within 60 days</w:t>
      </w:r>
    </w:p>
    <w:p>
      <w:pPr>
        <w:spacing w:after="60" w:before="20"/>
      </w:pPr>
      <w:r>
        <w:rPr>
          <w:rFonts w:ascii="Calibri" w:hAnsi="Calibri"/>
          <w:color w:val="333333"/>
          <w:sz w:val="22"/>
        </w:rPr>
        <w:t>●  Implement physical security monitoring for all critical facilities with integration into central security monitoring</w:t>
      </w:r>
    </w:p>
    <w:p>
      <w:pPr>
        <w:spacing w:after="60" w:before="20"/>
      </w:pPr>
      <w:r>
        <w:rPr>
          <w:rFonts w:ascii="Calibri" w:hAnsi="Calibri"/>
          <w:color w:val="333333"/>
          <w:sz w:val="22"/>
        </w:rPr>
        <w:t>●  Develop event analysis playbook library covering top 10–15 event types with standardized investigation procedures</w:t>
      </w:r>
    </w:p>
    <w:p>
      <w:pPr>
        <w:spacing w:after="60" w:before="20"/>
      </w:pPr>
      <w:r>
        <w:rPr>
          <w:rFonts w:ascii="Calibri" w:hAnsi="Calibri"/>
          <w:color w:val="333333"/>
          <w:sz w:val="22"/>
        </w:rPr>
        <w:t>●  Conduct formal detection gap analysis using MITRE ATT&amp;CK framework and prioritize remediation of high-risk detection gaps</w:t>
      </w:r>
    </w:p>
    <w:p>
      <w:pPr>
        <w:spacing w:after="60" w:before="20"/>
      </w:pPr>
      <w:r>
        <w:rPr>
          <w:rFonts w:ascii="Calibri" w:hAnsi="Calibri"/>
          <w:color w:val="333333"/>
          <w:sz w:val="22"/>
        </w:rPr>
        <w:t>●  Evaluate and deploy SIEM platform to centralize event correlation and improve detection quality</w:t>
      </w:r>
    </w:p>
    <w:p>
      <w:pPr>
        <w:spacing w:after="60" w:before="20"/>
      </w:pPr>
      <w:r>
        <w:rPr>
          <w:rFonts w:ascii="Calibri" w:hAnsi="Calibri"/>
          <w:color w:val="333333"/>
          <w:sz w:val="22"/>
        </w:rPr>
        <w:t>●  Implement false positive management process with regular tuning reviews and metrics</w:t>
      </w:r>
    </w:p>
    <w:p>
      <w:r>
        <w:br w:type="page"/>
      </w:r>
    </w:p>
    <w:p>
      <w:pPr>
        <w:pStyle w:val="Heading2"/>
      </w:pPr>
      <w:r>
        <w:rPr>
          <w:rFonts w:ascii="Calibri" w:hAnsi="Calibri"/>
          <w:b/>
          <w:color w:val="1A3C6E"/>
          <w:sz w:val="32"/>
        </w:rPr>
        <w:t>4.5  RESPOND (RS)</w:t>
      </w:r>
    </w:p>
    <w:p>
      <w:pPr>
        <w:spacing w:before="40" w:after="160"/>
        <w:pBdr>
          <w:bottom w:val="single" w:sz="6" w:space="1" w:color="007B7F"/>
        </w:pBdr>
      </w:pPr>
    </w:p>
    <w:p>
      <w:pPr>
        <w:spacing w:after="120" w:before="0"/>
      </w:pPr>
      <w:r>
        <w:rPr>
          <w:rFonts w:ascii="Calibri" w:hAnsi="Calibri" w:eastAsia="Calibri"/>
          <w:b w:val="0"/>
          <w:i w:val="0"/>
          <w:color w:val="333333"/>
          <w:sz w:val="22"/>
        </w:rPr>
        <w:t>Respond function maturity is 54.5%, representing the highest-scoring function with partial execution capability demonstrated in practice, undermined by the complete absence of documented procedures. Response actions occur and are generally effective for smaller incidents, driven by experienced team members. However, the lack of a documented incident response plan is the most significant individual finding in this entire assessment, creating critical risk exposure for any major incident. Incident categorization criteria are inconsistent, forensic capabilities are limited, incident report validation is absent, and post-incident improvement processes are not systematic.</w:t>
      </w:r>
    </w:p>
    <w:p>
      <w:pPr>
        <w:pStyle w:val="Heading3"/>
      </w:pPr>
      <w:r>
        <w:rPr>
          <w:rFonts w:ascii="Calibri" w:hAnsi="Calibri"/>
          <w:b/>
          <w:color w:val="007B7F"/>
          <w:sz w:val="26"/>
        </w:rPr>
        <w:t>4.5.1  RS RP RESPONSE PLANNING</w:t>
      </w:r>
    </w:p>
    <w:p>
      <w:r>
        <w:rPr>
          <w:rFonts w:ascii="Calibri" w:hAnsi="Calibri"/>
          <w:b/>
          <w:color w:val="666666"/>
          <w:sz w:val="22"/>
        </w:rPr>
        <w:t xml:space="preserve">Status: </w:t>
      </w:r>
      <w:r>
        <w:rPr>
          <w:rFonts w:ascii="Calibri" w:hAnsi="Calibri"/>
          <w:b/>
          <w:color w:val="C0392B"/>
          <w:sz w:val="22"/>
        </w:rPr>
        <w:t>Not in Place (0%)</w:t>
      </w:r>
    </w:p>
    <w:p>
      <w:pPr>
        <w:spacing w:after="120" w:before="0"/>
      </w:pPr>
      <w:r>
        <w:rPr>
          <w:rFonts w:ascii="Calibri" w:hAnsi="Calibri" w:eastAsia="Calibri"/>
          <w:b w:val="0"/>
          <w:i w:val="0"/>
          <w:color w:val="333333"/>
          <w:sz w:val="22"/>
        </w:rPr>
        <w:t>Findings: No documented incident response plan exists in any form. Response activities during past minor incidents have been driven by individual expertise and informal coordination rather than documented procedures. No formal testing of response capability has been conducted. The organization has never executed an incident response tabletop or simulation exercise.</w:t>
      </w:r>
    </w:p>
    <w:p>
      <w:pPr>
        <w:spacing w:after="120" w:before="0"/>
      </w:pPr>
      <w:r>
        <w:rPr>
          <w:rFonts w:ascii="Calibri" w:hAnsi="Calibri" w:eastAsia="Calibri"/>
          <w:b/>
          <w:i w:val="0"/>
          <w:color w:val="C0392B"/>
          <w:sz w:val="22"/>
        </w:rPr>
        <w:t>Gaps:</w:t>
      </w:r>
    </w:p>
    <w:p>
      <w:pPr>
        <w:spacing w:after="120" w:before="0"/>
      </w:pPr>
      <w:r>
        <w:rPr>
          <w:rFonts w:ascii="Calibri" w:hAnsi="Calibri" w:eastAsia="Calibri"/>
          <w:b w:val="0"/>
          <w:i w:val="0"/>
          <w:color w:val="333333"/>
          <w:sz w:val="22"/>
        </w:rPr>
        <w:t>The incident response plan is completely absent — there are no documented procedures covering incident classification, escalation thresholds, team activation, communication protocols, containment decision criteria, evidence preservation requirements, eradication procedures, or recovery initiation criteria. Team roles and responsibilities during incidents are not formally defined, creating coordination risk during high-stress incident scenarios. Response procedures for different incident types (ransomware, data breach, insider threat, DDoS) have not been developed. Integration with business continuity and disaster recovery plans is absent. Testing and exercise program does not exist.</w:t>
      </w:r>
    </w:p>
    <w:p>
      <w:pPr>
        <w:spacing w:after="120" w:before="0"/>
      </w:pPr>
      <w:r>
        <w:rPr>
          <w:rFonts w:ascii="Calibri" w:hAnsi="Calibri" w:eastAsia="Calibri"/>
          <w:b/>
          <w:i w:val="0"/>
          <w:color w:val="007B7F"/>
          <w:sz w:val="22"/>
        </w:rPr>
        <w:t>Recommendations:</w:t>
      </w:r>
    </w:p>
    <w:p>
      <w:pPr>
        <w:spacing w:after="120" w:before="0"/>
      </w:pPr>
      <w:r>
        <w:rPr>
          <w:rFonts w:ascii="Calibri" w:hAnsi="Calibri" w:eastAsia="Calibri"/>
          <w:b w:val="0"/>
          <w:i w:val="0"/>
          <w:color w:val="333333"/>
          <w:sz w:val="22"/>
        </w:rPr>
        <w:t>Develop a comprehensive incident response plan aligned with NIST SP 800-61 Rev. 2 covering: (1) incident classification scheme with severity definitions, (2) Incident Response Team (IRT) composition with roles and responsibilities, (3) escalation matrix and decision criteria, (4) communication protocols for internal and external stakeholders, (5) type-specific response playbooks for at minimum: ransomware, data breach, account compromise, and DDoS, (6) evidence preservation and chain of custody procedures, (7) containment, eradication, and recovery guidance, and (8) post-incident review requirements. Conduct a tabletop exercise within 90 days of plan approval. Integrate the IR plan with BCDR planning.</w:t>
      </w:r>
    </w:p>
    <w:p>
      <w:pPr>
        <w:pStyle w:val="Heading3"/>
      </w:pPr>
      <w:r>
        <w:rPr>
          <w:rFonts w:ascii="Calibri" w:hAnsi="Calibri"/>
          <w:b/>
          <w:color w:val="007B7F"/>
          <w:sz w:val="26"/>
        </w:rPr>
        <w:t>4.5.2  RS CO COMMUNICATION</w:t>
      </w:r>
    </w:p>
    <w:p>
      <w:r>
        <w:rPr>
          <w:rFonts w:ascii="Calibri" w:hAnsi="Calibri"/>
          <w:b/>
          <w:color w:val="666666"/>
          <w:sz w:val="22"/>
        </w:rPr>
        <w:t xml:space="preserve">Status: </w:t>
      </w:r>
      <w:r>
        <w:rPr>
          <w:rFonts w:ascii="Calibri" w:hAnsi="Calibri"/>
          <w:b/>
          <w:color w:val="27AE60"/>
          <w:sz w:val="22"/>
        </w:rPr>
        <w:t>Mostly Implemented (62.5%)</w:t>
      </w:r>
    </w:p>
    <w:p>
      <w:pPr>
        <w:spacing w:after="120" w:before="0"/>
      </w:pPr>
      <w:r>
        <w:rPr>
          <w:rFonts w:ascii="Calibri" w:hAnsi="Calibri" w:eastAsia="Calibri"/>
          <w:b w:val="0"/>
          <w:i w:val="0"/>
          <w:color w:val="333333"/>
          <w:sz w:val="22"/>
        </w:rPr>
        <w:t>Findings: Information is shared with internal teams and external parties including law enforcement and regulators during significant incidents. Public communications about security events are managed in a controlled manner through a defined approval process. Coordination with relevant external stakeholders has been demonstrated in practice.</w:t>
      </w:r>
    </w:p>
    <w:p>
      <w:pPr>
        <w:spacing w:after="120" w:before="0"/>
      </w:pPr>
      <w:r>
        <w:rPr>
          <w:rFonts w:ascii="Calibri" w:hAnsi="Calibri" w:eastAsia="Calibri"/>
          <w:b/>
          <w:i w:val="0"/>
          <w:color w:val="C0392B"/>
          <w:sz w:val="22"/>
        </w:rPr>
        <w:t>Gaps:</w:t>
      </w:r>
    </w:p>
    <w:p>
      <w:pPr>
        <w:spacing w:after="120" w:before="0"/>
      </w:pPr>
      <w:r>
        <w:rPr>
          <w:rFonts w:ascii="Calibri" w:hAnsi="Calibri" w:eastAsia="Calibri"/>
          <w:b w:val="0"/>
          <w:i w:val="0"/>
          <w:color w:val="333333"/>
          <w:sz w:val="22"/>
        </w:rPr>
        <w:t>Communication protocols are not documented — the process for determining who to notify, when, and through what channels is dependent on individual judgment rather than written procedure. Stakeholder notification procedures are not formalized — contact lists, notification timelines, and message templates do not exist in documented form. Regulatory reporting obligations and timelines are not formally documented or integrated into incident response activities, creating risk of missed or late regulatory notifications. Communication plans have not been tested through exercises.</w:t>
      </w:r>
    </w:p>
    <w:p>
      <w:pPr>
        <w:spacing w:after="120" w:before="0"/>
      </w:pPr>
      <w:r>
        <w:rPr>
          <w:rFonts w:ascii="Calibri" w:hAnsi="Calibri" w:eastAsia="Calibri"/>
          <w:b/>
          <w:i w:val="0"/>
          <w:color w:val="007B7F"/>
          <w:sz w:val="22"/>
        </w:rPr>
        <w:t>Recommendations:</w:t>
      </w:r>
    </w:p>
    <w:p>
      <w:pPr>
        <w:spacing w:after="120" w:before="0"/>
      </w:pPr>
      <w:r>
        <w:rPr>
          <w:rFonts w:ascii="Calibri" w:hAnsi="Calibri" w:eastAsia="Calibri"/>
          <w:b w:val="0"/>
          <w:i w:val="0"/>
          <w:color w:val="333333"/>
          <w:sz w:val="22"/>
        </w:rPr>
        <w:t>Document comprehensive communication protocols covering all stakeholder groups: executive leadership, board, employees, customers, regulators, law enforcement, media, and key partners. Develop stakeholder contact lists with primary and secondary contacts for all categories. Create notification message templates for different incident types and severity levels. Document regulatory reporting obligations with specific timelines (e.g., GDPR 72-hour notification requirement) and integrate into incident response procedures. Test communication plans through tabletop exercises at least annually.</w:t>
      </w:r>
    </w:p>
    <w:p>
      <w:pPr>
        <w:pStyle w:val="Heading3"/>
      </w:pPr>
      <w:r>
        <w:rPr>
          <w:rFonts w:ascii="Calibri" w:hAnsi="Calibri"/>
          <w:b/>
          <w:color w:val="007B7F"/>
          <w:sz w:val="26"/>
        </w:rPr>
        <w:t>4.5.3  RS AN ANALYSIS FORENSICS</w:t>
      </w:r>
    </w:p>
    <w:p>
      <w:r>
        <w:rPr>
          <w:rFonts w:ascii="Calibri" w:hAnsi="Calibri"/>
          <w:b/>
          <w:color w:val="666666"/>
          <w:sz w:val="22"/>
        </w:rPr>
        <w:t xml:space="preserve">Status: </w:t>
      </w:r>
      <w:r>
        <w:rPr>
          <w:rFonts w:ascii="Calibri" w:hAnsi="Calibri"/>
          <w:b/>
          <w:color w:val="27AE60"/>
          <w:sz w:val="22"/>
        </w:rPr>
        <w:t>Partially Implemented (37.5%)</w:t>
      </w:r>
    </w:p>
    <w:p>
      <w:pPr>
        <w:spacing w:after="120" w:before="0"/>
      </w:pPr>
      <w:r>
        <w:rPr>
          <w:rFonts w:ascii="Calibri" w:hAnsi="Calibri" w:eastAsia="Calibri"/>
          <w:b w:val="0"/>
          <w:i w:val="0"/>
          <w:color w:val="333333"/>
          <w:sz w:val="22"/>
        </w:rPr>
        <w:t>Findings: The scale and magnitude of incidents can be estimated during active incidents based on operational observation. Investigation records are maintained and protected from unauthorized modification during investigation activities. Incident data is collected from available sources during investigations.</w:t>
      </w:r>
    </w:p>
    <w:p>
      <w:pPr>
        <w:spacing w:after="120" w:before="0"/>
      </w:pPr>
      <w:r>
        <w:rPr>
          <w:rFonts w:ascii="Calibri" w:hAnsi="Calibri" w:eastAsia="Calibri"/>
          <w:b/>
          <w:i w:val="0"/>
          <w:color w:val="C0392B"/>
          <w:sz w:val="22"/>
        </w:rPr>
        <w:t>Gaps:</w:t>
      </w:r>
    </w:p>
    <w:p>
      <w:pPr>
        <w:spacing w:after="120" w:before="0"/>
      </w:pPr>
      <w:r>
        <w:rPr>
          <w:rFonts w:ascii="Calibri" w:hAnsi="Calibri" w:eastAsia="Calibri"/>
          <w:b w:val="0"/>
          <w:i w:val="0"/>
          <w:color w:val="333333"/>
          <w:sz w:val="22"/>
        </w:rPr>
        <w:t>Forensic investigation capability is severely limited due to the absence of centralized logging — without system and endpoint logs, reconstructing attack timelines or attributing actions to specific accounts or systems is not possible. Analysis methodology is inconsistent — different analysts approach forensic investigations differently, leading to varying quality and completeness of analysis outputs. Root cause analysis is not performed systematically, meaning the same vulnerabilities may be exploited repeatedly. Evidence handling procedures are not formalized, creating risk of evidence contamination or inadmissibility in legal proceedings.</w:t>
      </w:r>
    </w:p>
    <w:p>
      <w:pPr>
        <w:spacing w:after="120" w:before="0"/>
      </w:pPr>
      <w:r>
        <w:rPr>
          <w:rFonts w:ascii="Calibri" w:hAnsi="Calibri" w:eastAsia="Calibri"/>
          <w:b/>
          <w:i w:val="0"/>
          <w:color w:val="007B7F"/>
          <w:sz w:val="22"/>
        </w:rPr>
        <w:t>Recommendations:</w:t>
      </w:r>
    </w:p>
    <w:p>
      <w:pPr>
        <w:spacing w:after="120" w:before="0"/>
      </w:pPr>
      <w:r>
        <w:rPr>
          <w:rFonts w:ascii="Calibri" w:hAnsi="Calibri" w:eastAsia="Calibri"/>
          <w:b w:val="0"/>
          <w:i w:val="0"/>
          <w:color w:val="333333"/>
          <w:sz w:val="22"/>
        </w:rPr>
        <w:t>Prioritize centralized logging implementation as a prerequisite for effective forensic investigation capability. Develop a standardized forensic investigation methodology covering evidence acquisition, preservation, analysis, and documentation for both network and host-based investigations. Implement systematic root cause analysis (RCA) as a mandatory component of all significant incident investigations, using a structured framework such as the 5 Whys or Fishbone methodology. Formalize evidence handling procedures including chain of custody documentation, evidence storage, and retention requirements.</w:t>
      </w:r>
    </w:p>
    <w:p>
      <w:pPr>
        <w:pStyle w:val="Heading3"/>
      </w:pPr>
      <w:r>
        <w:rPr>
          <w:rFonts w:ascii="Calibri" w:hAnsi="Calibri"/>
          <w:b/>
          <w:color w:val="007B7F"/>
          <w:sz w:val="26"/>
        </w:rPr>
        <w:t>4.5.4  RS MI MITIGATION CONTAINMENT</w:t>
      </w:r>
    </w:p>
    <w:p>
      <w:r>
        <w:rPr>
          <w:rFonts w:ascii="Calibri" w:hAnsi="Calibri"/>
          <w:b/>
          <w:color w:val="666666"/>
          <w:sz w:val="22"/>
        </w:rPr>
        <w:t xml:space="preserve">Status: </w:t>
      </w:r>
      <w:r>
        <w:rPr>
          <w:rFonts w:ascii="Calibri" w:hAnsi="Calibri"/>
          <w:b/>
          <w:color w:val="27AE60"/>
          <w:sz w:val="22"/>
        </w:rPr>
        <w:t>Mostly Implemented (50%)</w:t>
      </w:r>
    </w:p>
    <w:p>
      <w:pPr>
        <w:spacing w:after="120" w:before="0"/>
      </w:pPr>
      <w:r>
        <w:rPr>
          <w:rFonts w:ascii="Calibri" w:hAnsi="Calibri" w:eastAsia="Calibri"/>
          <w:b w:val="0"/>
          <w:i w:val="0"/>
          <w:color w:val="333333"/>
          <w:sz w:val="22"/>
        </w:rPr>
        <w:t>Findings: Incidents are generally contained effectively by experienced team members, leveraging operational knowledge of network architecture and system dependencies. Threat actors and malicious artifacts are removed following containment, with verification steps performed informally.</w:t>
      </w:r>
    </w:p>
    <w:p>
      <w:pPr>
        <w:spacing w:after="120" w:before="0"/>
      </w:pPr>
      <w:r>
        <w:rPr>
          <w:rFonts w:ascii="Calibri" w:hAnsi="Calibri" w:eastAsia="Calibri"/>
          <w:b/>
          <w:i w:val="0"/>
          <w:color w:val="C0392B"/>
          <w:sz w:val="22"/>
        </w:rPr>
        <w:t>Gaps:</w:t>
      </w:r>
    </w:p>
    <w:p>
      <w:pPr>
        <w:spacing w:after="120" w:before="0"/>
      </w:pPr>
      <w:r>
        <w:rPr>
          <w:rFonts w:ascii="Calibri" w:hAnsi="Calibri" w:eastAsia="Calibri"/>
          <w:b w:val="0"/>
          <w:i w:val="0"/>
          <w:color w:val="333333"/>
          <w:sz w:val="22"/>
        </w:rPr>
        <w:t>Containment strategies are not documented — containment decisions rely on individual expertise rather than predefined procedures, which creates inconsistency and risk when experienced staff are unavailable or overwhelmed during a major incident. Mitigation procedures are inconsistent between incident types and between different staff members. Eradication verification is informal — there is no formal process to confirm that all malicious artifacts have been removed before recovery begins. Recovery timing determination is made informally without defined criteria for when the environment is sufficiently safe to resume normal operations.</w:t>
      </w:r>
    </w:p>
    <w:p>
      <w:pPr>
        <w:spacing w:after="120" w:before="0"/>
      </w:pPr>
      <w:r>
        <w:rPr>
          <w:rFonts w:ascii="Calibri" w:hAnsi="Calibri" w:eastAsia="Calibri"/>
          <w:b/>
          <w:i w:val="0"/>
          <w:color w:val="007B7F"/>
          <w:sz w:val="22"/>
        </w:rPr>
        <w:t>Recommendations:</w:t>
      </w:r>
    </w:p>
    <w:p>
      <w:pPr>
        <w:spacing w:after="120" w:before="0"/>
      </w:pPr>
      <w:r>
        <w:rPr>
          <w:rFonts w:ascii="Calibri" w:hAnsi="Calibri" w:eastAsia="Calibri"/>
          <w:b w:val="0"/>
          <w:i w:val="0"/>
          <w:color w:val="333333"/>
          <w:sz w:val="22"/>
        </w:rPr>
        <w:t>Document containment strategies for the top incident types, covering both network isolation procedures (firewall rules, VLAN changes, network access control) and host-level containment (account suspension, system isolation, service termination). Standardize mitigation procedures with step-by-step guidance for common incident scenarios. Implement formal eradication verification checklist that must be completed before recovery activities begin. Define written criteria for recovery initiation, including minimum evidence requirements that the threat has been fully removed and controlled.</w:t>
      </w:r>
    </w:p>
    <w:p>
      <w:pPr>
        <w:pStyle w:val="Heading3"/>
      </w:pPr>
      <w:r>
        <w:rPr>
          <w:rFonts w:ascii="Calibri" w:hAnsi="Calibri"/>
          <w:b/>
          <w:color w:val="007B7F"/>
          <w:sz w:val="26"/>
        </w:rPr>
        <w:t>4.5.5  RS IM POST INCIDENT IMPROVEMENT</w:t>
      </w:r>
    </w:p>
    <w:p>
      <w:r>
        <w:rPr>
          <w:rFonts w:ascii="Calibri" w:hAnsi="Calibri"/>
          <w:b/>
          <w:color w:val="666666"/>
          <w:sz w:val="22"/>
        </w:rPr>
        <w:t xml:space="preserve">Status: </w:t>
      </w:r>
      <w:r>
        <w:rPr>
          <w:rFonts w:ascii="Calibri" w:hAnsi="Calibri"/>
          <w:b/>
          <w:color w:val="27AE60"/>
          <w:sz w:val="22"/>
        </w:rPr>
        <w:t>Partially Implemented (25%)</w:t>
      </w:r>
    </w:p>
    <w:p>
      <w:pPr>
        <w:spacing w:after="120" w:before="0"/>
      </w:pPr>
      <w:r>
        <w:rPr>
          <w:rFonts w:ascii="Calibri" w:hAnsi="Calibri" w:eastAsia="Calibri"/>
          <w:b w:val="0"/>
          <w:i w:val="0"/>
          <w:color w:val="333333"/>
          <w:sz w:val="22"/>
        </w:rPr>
        <w:t>Findings: Post-incident analyses are conducted for some significant incidents, generating some discussion of lessons learned. These analyses provide some improvement inputs that are occasionally acted upon.</w:t>
      </w:r>
    </w:p>
    <w:p>
      <w:pPr>
        <w:spacing w:after="120" w:before="0"/>
      </w:pPr>
      <w:r>
        <w:rPr>
          <w:rFonts w:ascii="Calibri" w:hAnsi="Calibri" w:eastAsia="Calibri"/>
          <w:b/>
          <w:i w:val="0"/>
          <w:color w:val="C0392B"/>
          <w:sz w:val="22"/>
        </w:rPr>
        <w:t>Gaps:</w:t>
      </w:r>
    </w:p>
    <w:p>
      <w:pPr>
        <w:spacing w:after="120" w:before="0"/>
      </w:pPr>
      <w:r>
        <w:rPr>
          <w:rFonts w:ascii="Calibri" w:hAnsi="Calibri" w:eastAsia="Calibri"/>
          <w:b w:val="0"/>
          <w:i w:val="0"/>
          <w:color w:val="333333"/>
          <w:sz w:val="22"/>
        </w:rPr>
        <w:t>Post-incident reviews are not systematic — they occur for some incidents but not all, and the decision to conduct a review is based on subjective judgment rather than defined criteria. Lessons learned are not formally documented in a standardized format and are not retained in an accessible repository. Improvements identified through post-incident analysis are not tracked to implementation — there is no formal mechanism to verify that identified improvements are actually made. Incident reports are not formally reviewed or validated by a second party, creating potential for incomplete or inaccurate reporting that persists in institutional records.</w:t>
      </w:r>
    </w:p>
    <w:p>
      <w:pPr>
        <w:spacing w:after="120" w:before="0"/>
      </w:pPr>
      <w:r>
        <w:rPr>
          <w:rFonts w:ascii="Calibri" w:hAnsi="Calibri" w:eastAsia="Calibri"/>
          <w:b/>
          <w:i w:val="0"/>
          <w:color w:val="007B7F"/>
          <w:sz w:val="22"/>
        </w:rPr>
        <w:t>Recommendations:</w:t>
      </w:r>
    </w:p>
    <w:p>
      <w:pPr>
        <w:spacing w:after="120" w:before="0"/>
      </w:pPr>
      <w:r>
        <w:rPr>
          <w:rFonts w:ascii="Calibri" w:hAnsi="Calibri" w:eastAsia="Calibri"/>
          <w:b w:val="0"/>
          <w:i w:val="0"/>
          <w:color w:val="333333"/>
          <w:sz w:val="22"/>
        </w:rPr>
        <w:t>Establish a systematic post-incident review process with defined trigger criteria — at minimum, all P1 and P2 incidents must have a formal post-incident review within 5 business days of incident closure. Develop a standardized post-incident review template covering timeline reconstruction, root cause analysis, lessons learned, and improvement actions with owners and due dates. Implement improvement tracking within the organizational improvement management system. Establish an incident report validation process with second-party review for all significant incidents. Create an institutional lessons-learned repository accessible to all response team members.</w:t>
      </w:r>
    </w:p>
    <w:p>
      <w:pPr>
        <w:pStyle w:val="Heading3"/>
      </w:pPr>
      <w:r>
        <w:rPr>
          <w:rFonts w:ascii="Calibri" w:hAnsi="Calibri"/>
          <w:b/>
          <w:color w:val="007B7F"/>
          <w:sz w:val="26"/>
        </w:rPr>
        <w:t>4.5  Findings &amp; Recommendations</w:t>
      </w:r>
    </w:p>
    <w:p>
      <w:pPr>
        <w:spacing w:after="120" w:before="0"/>
      </w:pPr>
      <w:r>
        <w:rPr>
          <w:rFonts w:ascii="Calibri" w:hAnsi="Calibri" w:eastAsia="Calibri"/>
          <w:b/>
          <w:i w:val="0"/>
          <w:color w:val="C0392B"/>
          <w:sz w:val="22"/>
        </w:rPr>
        <w:t>Key Gaps:</w:t>
      </w:r>
    </w:p>
    <w:p>
      <w:pPr>
        <w:spacing w:after="60" w:before="20"/>
      </w:pPr>
      <w:r>
        <w:rPr>
          <w:rFonts w:ascii="Calibri" w:hAnsi="Calibri"/>
          <w:color w:val="333333"/>
          <w:sz w:val="22"/>
        </w:rPr>
        <w:t>●  Incident response plan entirely absent — most critical finding in this assessment</w:t>
      </w:r>
    </w:p>
    <w:p>
      <w:pPr>
        <w:spacing w:after="60" w:before="20"/>
      </w:pPr>
      <w:r>
        <w:rPr>
          <w:rFonts w:ascii="Calibri" w:hAnsi="Calibri"/>
          <w:color w:val="333333"/>
          <w:sz w:val="22"/>
        </w:rPr>
        <w:t>●  No incident response playbooks for any specific incident type</w:t>
      </w:r>
    </w:p>
    <w:p>
      <w:pPr>
        <w:spacing w:after="60" w:before="20"/>
      </w:pPr>
      <w:r>
        <w:rPr>
          <w:rFonts w:ascii="Calibri" w:hAnsi="Calibri"/>
          <w:color w:val="333333"/>
          <w:sz w:val="22"/>
        </w:rPr>
        <w:t>●  Incident report validation and second-party review missing</w:t>
      </w:r>
    </w:p>
    <w:p>
      <w:pPr>
        <w:spacing w:after="60" w:before="20"/>
      </w:pPr>
      <w:r>
        <w:rPr>
          <w:rFonts w:ascii="Calibri" w:hAnsi="Calibri"/>
          <w:color w:val="333333"/>
          <w:sz w:val="22"/>
        </w:rPr>
        <w:t>●  Forensic capability severely limited by absence of system logging</w:t>
      </w:r>
    </w:p>
    <w:p>
      <w:pPr>
        <w:spacing w:after="60" w:before="20"/>
      </w:pPr>
      <w:r>
        <w:rPr>
          <w:rFonts w:ascii="Calibri" w:hAnsi="Calibri"/>
          <w:color w:val="333333"/>
          <w:sz w:val="22"/>
        </w:rPr>
        <w:t>●  Post-incident improvement process not systematic — lessons learned not captured consistently</w:t>
      </w:r>
    </w:p>
    <w:p>
      <w:pPr>
        <w:spacing w:after="60" w:before="20"/>
      </w:pPr>
      <w:r>
        <w:rPr>
          <w:rFonts w:ascii="Calibri" w:hAnsi="Calibri"/>
          <w:color w:val="333333"/>
          <w:sz w:val="22"/>
        </w:rPr>
        <w:t>●  Regulatory notification procedures not documented — GDPR 72-hour requirement at risk</w:t>
      </w:r>
    </w:p>
    <w:p>
      <w:pPr>
        <w:spacing w:after="60" w:before="20"/>
      </w:pPr>
      <w:r>
        <w:rPr>
          <w:rFonts w:ascii="Calibri" w:hAnsi="Calibri"/>
          <w:color w:val="333333"/>
          <w:sz w:val="22"/>
        </w:rPr>
        <w:t>●  Communication protocols undocumented despite functional communication occurring</w:t>
      </w:r>
    </w:p>
    <w:p>
      <w:pPr>
        <w:spacing w:after="120" w:before="0"/>
      </w:pPr>
      <w:r>
        <w:rPr>
          <w:rFonts w:ascii="Calibri" w:hAnsi="Calibri" w:eastAsia="Calibri"/>
          <w:b/>
          <w:i w:val="0"/>
          <w:color w:val="27AE60"/>
          <w:sz w:val="22"/>
        </w:rPr>
        <w:t>Recommendations:</w:t>
      </w:r>
    </w:p>
    <w:p>
      <w:pPr>
        <w:spacing w:after="60" w:before="20"/>
      </w:pPr>
      <w:r>
        <w:rPr>
          <w:rFonts w:ascii="Calibri" w:hAnsi="Calibri"/>
          <w:color w:val="333333"/>
          <w:sz w:val="22"/>
        </w:rPr>
        <w:t>●  Develop and approve comprehensive incident response plan within 30 days as the highest-priority remediation action in this entire assessment</w:t>
      </w:r>
    </w:p>
    <w:p>
      <w:pPr>
        <w:spacing w:after="60" w:before="20"/>
      </w:pPr>
      <w:r>
        <w:rPr>
          <w:rFonts w:ascii="Calibri" w:hAnsi="Calibri"/>
          <w:color w:val="333333"/>
          <w:sz w:val="22"/>
        </w:rPr>
        <w:t>●  Create type-specific response playbooks for ransomware, data breach, account compromise, and DDoS within 90 days</w:t>
      </w:r>
    </w:p>
    <w:p>
      <w:pPr>
        <w:spacing w:after="60" w:before="20"/>
      </w:pPr>
      <w:r>
        <w:rPr>
          <w:rFonts w:ascii="Calibri" w:hAnsi="Calibri"/>
          <w:color w:val="333333"/>
          <w:sz w:val="22"/>
        </w:rPr>
        <w:t>●  Establish incident report validation process with second-party review for all significant incidents</w:t>
      </w:r>
    </w:p>
    <w:p>
      <w:pPr>
        <w:spacing w:after="60" w:before="20"/>
      </w:pPr>
      <w:r>
        <w:rPr>
          <w:rFonts w:ascii="Calibri" w:hAnsi="Calibri"/>
          <w:color w:val="333333"/>
          <w:sz w:val="22"/>
        </w:rPr>
        <w:t>●  Implement systematic post-incident review program with defined trigger criteria and improvement tracking</w:t>
      </w:r>
    </w:p>
    <w:p>
      <w:pPr>
        <w:spacing w:after="60" w:before="20"/>
      </w:pPr>
      <w:r>
        <w:rPr>
          <w:rFonts w:ascii="Calibri" w:hAnsi="Calibri"/>
          <w:color w:val="333333"/>
          <w:sz w:val="22"/>
        </w:rPr>
        <w:t>●  Document regulatory notification obligations and timelines and integrate into incident response procedures</w:t>
      </w:r>
    </w:p>
    <w:p>
      <w:pPr>
        <w:spacing w:after="60" w:before="20"/>
      </w:pPr>
      <w:r>
        <w:rPr>
          <w:rFonts w:ascii="Calibri" w:hAnsi="Calibri"/>
          <w:color w:val="333333"/>
          <w:sz w:val="22"/>
        </w:rPr>
        <w:t>●  Enhance forensic investigation capabilities through logging implementation and analyst tool investment</w:t>
      </w:r>
    </w:p>
    <w:p>
      <w:pPr>
        <w:spacing w:after="60" w:before="20"/>
      </w:pPr>
      <w:r>
        <w:rPr>
          <w:rFonts w:ascii="Calibri" w:hAnsi="Calibri"/>
          <w:color w:val="333333"/>
          <w:sz w:val="22"/>
        </w:rPr>
        <w:t>●  Conduct incident response tabletop exercise within 90 days of plan approval</w:t>
      </w:r>
    </w:p>
    <w:p>
      <w:r>
        <w:br w:type="page"/>
      </w:r>
    </w:p>
    <w:p>
      <w:pPr>
        <w:pStyle w:val="Heading2"/>
      </w:pPr>
      <w:r>
        <w:rPr>
          <w:rFonts w:ascii="Calibri" w:hAnsi="Calibri"/>
          <w:b/>
          <w:color w:val="1A3C6E"/>
          <w:sz w:val="32"/>
        </w:rPr>
        <w:t>4.6  RECOVER (RC)</w:t>
      </w:r>
    </w:p>
    <w:p>
      <w:pPr>
        <w:spacing w:before="40" w:after="160"/>
        <w:pBdr>
          <w:bottom w:val="single" w:sz="6" w:space="1" w:color="007B7F"/>
        </w:pBdr>
      </w:pPr>
    </w:p>
    <w:p>
      <w:pPr>
        <w:spacing w:after="120" w:before="0"/>
      </w:pPr>
      <w:r>
        <w:rPr>
          <w:rFonts w:ascii="Calibri" w:hAnsi="Calibri" w:eastAsia="Calibri"/>
          <w:b w:val="0"/>
          <w:i w:val="0"/>
          <w:color w:val="333333"/>
          <w:sz w:val="22"/>
        </w:rPr>
        <w:t>Recover function maturity is 52.4%, with strong recovery execution capability and well-defined prioritization, partially offset by weak communication governance and inconsistent post-recovery improvement processes. Recovery steps are clearly defined and consistently executed based on risk-informed prioritization, representing a genuine organizational strength. However, recovery communication is not formally structured, backup verification is inconsistent, and post-recovery reassessment lacks systematic implementation. The recover function is the second-highest-scoring domain but has meaningful gaps that reduce its effectiveness for major incidents.</w:t>
      </w:r>
    </w:p>
    <w:p>
      <w:pPr>
        <w:pStyle w:val="Heading3"/>
      </w:pPr>
      <w:r>
        <w:rPr>
          <w:rFonts w:ascii="Calibri" w:hAnsi="Calibri"/>
          <w:b/>
          <w:color w:val="007B7F"/>
          <w:sz w:val="26"/>
        </w:rPr>
        <w:t>4.6.1  RC RP RECOVERY PLANNING</w:t>
      </w:r>
    </w:p>
    <w:p>
      <w:r>
        <w:rPr>
          <w:rFonts w:ascii="Calibri" w:hAnsi="Calibri"/>
          <w:b/>
          <w:color w:val="666666"/>
          <w:sz w:val="22"/>
        </w:rPr>
        <w:t xml:space="preserve">Status: </w:t>
      </w:r>
      <w:r>
        <w:rPr>
          <w:rFonts w:ascii="Calibri" w:hAnsi="Calibri"/>
          <w:b/>
          <w:color w:val="27AE60"/>
          <w:sz w:val="22"/>
        </w:rPr>
        <w:t>Fully Implemented (75%)</w:t>
      </w:r>
    </w:p>
    <w:p>
      <w:pPr>
        <w:spacing w:after="120" w:before="0"/>
      </w:pPr>
      <w:r>
        <w:rPr>
          <w:rFonts w:ascii="Calibri" w:hAnsi="Calibri" w:eastAsia="Calibri"/>
          <w:b w:val="0"/>
          <w:i w:val="0"/>
          <w:color w:val="333333"/>
          <w:sz w:val="22"/>
        </w:rPr>
        <w:t>Findings: Recovery steps and procedures are clearly defined and have been successfully executed during past incidents. Recovery actions are prioritized based on business impact and risk assessment, ensuring that the most critical services are restored first. Recovery planning reflects operational experience and demonstrates sound judgment about service dependencies and restoration sequencing.</w:t>
      </w:r>
    </w:p>
    <w:p>
      <w:pPr>
        <w:spacing w:after="120" w:before="0"/>
      </w:pPr>
      <w:r>
        <w:rPr>
          <w:rFonts w:ascii="Calibri" w:hAnsi="Calibri" w:eastAsia="Calibri"/>
          <w:b/>
          <w:i w:val="0"/>
          <w:color w:val="C0392B"/>
          <w:sz w:val="22"/>
        </w:rPr>
        <w:t>Gaps:</w:t>
      </w:r>
    </w:p>
    <w:p>
      <w:pPr>
        <w:spacing w:after="120" w:before="0"/>
      </w:pPr>
      <w:r>
        <w:rPr>
          <w:rFonts w:ascii="Calibri" w:hAnsi="Calibri" w:eastAsia="Calibri"/>
          <w:b w:val="0"/>
          <w:i w:val="0"/>
          <w:color w:val="333333"/>
          <w:sz w:val="22"/>
        </w:rPr>
        <w:t>The recovery plan is not formally integrated with the incident response plan — there is a procedural gap between incident response activities ending and recovery activities beginning, creating potential coordination failures. Recovery plan testing is incomplete — full recovery exercises have not been conducted under realistic failure scenarios. Plan maintenance is not scheduled — the recovery plan has not been formally reviewed and updated in response to changes in the technology environment. Not all system and service dependencies are fully documented within the recovery plan, creating risk of missed recovery steps during complex incidents.</w:t>
      </w:r>
    </w:p>
    <w:p>
      <w:pPr>
        <w:spacing w:after="120" w:before="0"/>
      </w:pPr>
      <w:r>
        <w:rPr>
          <w:rFonts w:ascii="Calibri" w:hAnsi="Calibri" w:eastAsia="Calibri"/>
          <w:b/>
          <w:i w:val="0"/>
          <w:color w:val="007B7F"/>
          <w:sz w:val="22"/>
        </w:rPr>
        <w:t>Recommendations:</w:t>
      </w:r>
    </w:p>
    <w:p>
      <w:pPr>
        <w:spacing w:after="120" w:before="0"/>
      </w:pPr>
      <w:r>
        <w:rPr>
          <w:rFonts w:ascii="Calibri" w:hAnsi="Calibri" w:eastAsia="Calibri"/>
          <w:b w:val="0"/>
          <w:i w:val="0"/>
          <w:color w:val="333333"/>
          <w:sz w:val="22"/>
        </w:rPr>
        <w:t>Formally integrate the recovery plan with the incident response plan by documenting handoff procedures and criteria for transitioning from response to recovery activities. Establish a regular recovery testing schedule, conducting full recovery exercises at least annually and backup restoration tests quarterly. Implement a plan maintenance process triggered by significant technology changes, organizational changes, or following recovery exercises. Document all system and service dependencies in the recovery plan to ensure comprehensive recovery sequencing.</w:t>
      </w:r>
    </w:p>
    <w:p>
      <w:pPr>
        <w:pStyle w:val="Heading3"/>
      </w:pPr>
      <w:r>
        <w:rPr>
          <w:rFonts w:ascii="Calibri" w:hAnsi="Calibri"/>
          <w:b/>
          <w:color w:val="007B7F"/>
          <w:sz w:val="26"/>
        </w:rPr>
        <w:t>4.6.2  RC CO RECOVERY COMMUNICATION</w:t>
      </w:r>
    </w:p>
    <w:p>
      <w:r>
        <w:rPr>
          <w:rFonts w:ascii="Calibri" w:hAnsi="Calibri"/>
          <w:b/>
          <w:color w:val="666666"/>
          <w:sz w:val="22"/>
        </w:rPr>
        <w:t xml:space="preserve">Status: </w:t>
      </w:r>
      <w:r>
        <w:rPr>
          <w:rFonts w:ascii="Calibri" w:hAnsi="Calibri"/>
          <w:b/>
          <w:color w:val="C0392B"/>
          <w:sz w:val="22"/>
        </w:rPr>
        <w:t>Not in Place (25%)</w:t>
      </w:r>
    </w:p>
    <w:p>
      <w:pPr>
        <w:spacing w:after="120" w:before="0"/>
      </w:pPr>
      <w:r>
        <w:rPr>
          <w:rFonts w:ascii="Calibri" w:hAnsi="Calibri" w:eastAsia="Calibri"/>
          <w:b w:val="0"/>
          <w:i w:val="0"/>
          <w:color w:val="333333"/>
          <w:sz w:val="22"/>
        </w:rPr>
        <w:t>Findings: Public communications regarding recovery progress are managed in a controlled manner, with messaging reviewed before release. Some coordination with external parties during recovery activities has occurred successfully in practice.</w:t>
      </w:r>
    </w:p>
    <w:p>
      <w:pPr>
        <w:spacing w:after="120" w:before="0"/>
      </w:pPr>
      <w:r>
        <w:rPr>
          <w:rFonts w:ascii="Calibri" w:hAnsi="Calibri" w:eastAsia="Calibri"/>
          <w:b/>
          <w:i w:val="0"/>
          <w:color w:val="C0392B"/>
          <w:sz w:val="22"/>
        </w:rPr>
        <w:t>Gaps:</w:t>
      </w:r>
    </w:p>
    <w:p>
      <w:pPr>
        <w:spacing w:after="120" w:before="0"/>
      </w:pPr>
      <w:r>
        <w:rPr>
          <w:rFonts w:ascii="Calibri" w:hAnsi="Calibri" w:eastAsia="Calibri"/>
          <w:b w:val="0"/>
          <w:i w:val="0"/>
          <w:color w:val="333333"/>
          <w:sz w:val="22"/>
        </w:rPr>
        <w:t>Recovery communication is not formally structured — there are no documented procedures defining who communicates what, to whom, at what frequency, and through what channels during recovery activities. Status communication to internal stakeholders (employees, management) during active recovery operations is not formally defined. Internal notification procedures for escalating or updating leadership on recovery progress are undefined. External reporting to regulators, customers, and partners during recovery is not standardized, creating risk of inconsistent messaging or missed regulatory obligations.</w:t>
      </w:r>
    </w:p>
    <w:p>
      <w:pPr>
        <w:spacing w:after="120" w:before="0"/>
      </w:pPr>
      <w:r>
        <w:rPr>
          <w:rFonts w:ascii="Calibri" w:hAnsi="Calibri" w:eastAsia="Calibri"/>
          <w:b/>
          <w:i w:val="0"/>
          <w:color w:val="007B7F"/>
          <w:sz w:val="22"/>
        </w:rPr>
        <w:t>Recommendations:</w:t>
      </w:r>
    </w:p>
    <w:p>
      <w:pPr>
        <w:spacing w:after="120" w:before="0"/>
      </w:pPr>
      <w:r>
        <w:rPr>
          <w:rFonts w:ascii="Calibri" w:hAnsi="Calibri" w:eastAsia="Calibri"/>
          <w:b w:val="0"/>
          <w:i w:val="0"/>
          <w:color w:val="333333"/>
          <w:sz w:val="22"/>
        </w:rPr>
        <w:t>Develop a formal recovery communication framework defining communication responsibilities, stakeholder categories, message content requirements, and communication frequency for different recovery scenarios. Create internal notification procedures covering employee communications, leadership status updates, and board reporting for major incidents. Develop external communication templates for customer notifications, regulatory reporting, and media statements. Conduct communications testing as part of annual recovery exercises. Integrate recovery communication procedures with the incident response communication plan.</w:t>
      </w:r>
    </w:p>
    <w:p>
      <w:pPr>
        <w:pStyle w:val="Heading3"/>
      </w:pPr>
      <w:r>
        <w:rPr>
          <w:rFonts w:ascii="Calibri" w:hAnsi="Calibri"/>
          <w:b/>
          <w:color w:val="007B7F"/>
          <w:sz w:val="26"/>
        </w:rPr>
        <w:t>4.6.3  RC IM POST RECOVERY IMPROVEMENT</w:t>
      </w:r>
    </w:p>
    <w:p>
      <w:r>
        <w:rPr>
          <w:rFonts w:ascii="Calibri" w:hAnsi="Calibri"/>
          <w:b/>
          <w:color w:val="666666"/>
          <w:sz w:val="22"/>
        </w:rPr>
        <w:t xml:space="preserve">Status: </w:t>
      </w:r>
      <w:r>
        <w:rPr>
          <w:rFonts w:ascii="Calibri" w:hAnsi="Calibri"/>
          <w:b/>
          <w:color w:val="27AE60"/>
          <w:sz w:val="22"/>
        </w:rPr>
        <w:t>Partially Implemented (37.5%)</w:t>
      </w:r>
    </w:p>
    <w:p>
      <w:pPr>
        <w:spacing w:after="120" w:before="0"/>
      </w:pPr>
      <w:r>
        <w:rPr>
          <w:rFonts w:ascii="Calibri" w:hAnsi="Calibri" w:eastAsia="Calibri"/>
          <w:b w:val="0"/>
          <w:i w:val="0"/>
          <w:color w:val="333333"/>
          <w:sz w:val="22"/>
        </w:rPr>
        <w:t>Findings: Cybersecurity posture reassessment after recovery is performed for some incidents, with some documented reassessment activities. Recovery end is formally declared with documentation for significant incidents. Some improvement actions identified through recovery activities are implemented.</w:t>
      </w:r>
    </w:p>
    <w:p>
      <w:pPr>
        <w:spacing w:after="120" w:before="0"/>
      </w:pPr>
      <w:r>
        <w:rPr>
          <w:rFonts w:ascii="Calibri" w:hAnsi="Calibri" w:eastAsia="Calibri"/>
          <w:b/>
          <w:i w:val="0"/>
          <w:color w:val="C0392B"/>
          <w:sz w:val="22"/>
        </w:rPr>
        <w:t>Gaps:</w:t>
      </w:r>
    </w:p>
    <w:p>
      <w:pPr>
        <w:spacing w:after="120" w:before="0"/>
      </w:pPr>
      <w:r>
        <w:rPr>
          <w:rFonts w:ascii="Calibri" w:hAnsi="Calibri" w:eastAsia="Calibri"/>
          <w:b w:val="0"/>
          <w:i w:val="0"/>
          <w:color w:val="333333"/>
          <w:sz w:val="22"/>
        </w:rPr>
        <w:t>Backup verification is inconsistent — backup integrity is not regularly tested through restoration exercises, meaning backups may fail when needed most. Post-recovery reassessment is not systematic — the scope and depth of reassessment varies between incidents, and there is no standard framework for confirming the environment is fully secure before returning to normal operations. Improvement capture from recovery activities is incomplete — improvements identified during recovery are not consistently documented or tracked to completion. Lessons learned from recovery activities are not captured in a referenceable format and are not shared with the broader security team.</w:t>
      </w:r>
    </w:p>
    <w:p>
      <w:pPr>
        <w:spacing w:after="120" w:before="0"/>
      </w:pPr>
      <w:r>
        <w:rPr>
          <w:rFonts w:ascii="Calibri" w:hAnsi="Calibri" w:eastAsia="Calibri"/>
          <w:b/>
          <w:i w:val="0"/>
          <w:color w:val="007B7F"/>
          <w:sz w:val="22"/>
        </w:rPr>
        <w:t>Recommendations:</w:t>
      </w:r>
    </w:p>
    <w:p>
      <w:pPr>
        <w:spacing w:after="120" w:before="0"/>
      </w:pPr>
      <w:r>
        <w:rPr>
          <w:rFonts w:ascii="Calibri" w:hAnsi="Calibri" w:eastAsia="Calibri"/>
          <w:b w:val="0"/>
          <w:i w:val="0"/>
          <w:color w:val="333333"/>
          <w:sz w:val="22"/>
        </w:rPr>
        <w:t>Implement a formal backup verification program requiring quarterly restoration tests for all critical system backups, with results documented and reviewed by IT leadership. Develop a post-recovery reassessment framework requiring minimum security validation activities before normal operations resume, including vulnerability scanning, access audit, and control integrity verification. Create a recovery lessons-learned process aligned with the post-incident improvement process. Implement improvement tracking for all actions identified from recovery activities. Document and share recovery lessons learned across the incident response and recovery teams.</w:t>
      </w:r>
    </w:p>
    <w:p>
      <w:pPr>
        <w:pStyle w:val="Heading3"/>
      </w:pPr>
      <w:r>
        <w:rPr>
          <w:rFonts w:ascii="Calibri" w:hAnsi="Calibri"/>
          <w:b/>
          <w:color w:val="007B7F"/>
          <w:sz w:val="26"/>
        </w:rPr>
        <w:t>4.6  Findings &amp; Recommendations</w:t>
      </w:r>
    </w:p>
    <w:p>
      <w:pPr>
        <w:spacing w:after="120" w:before="0"/>
      </w:pPr>
      <w:r>
        <w:rPr>
          <w:rFonts w:ascii="Calibri" w:hAnsi="Calibri" w:eastAsia="Calibri"/>
          <w:b/>
          <w:i w:val="0"/>
          <w:color w:val="C0392B"/>
          <w:sz w:val="22"/>
        </w:rPr>
        <w:t>Key Gaps:</w:t>
      </w:r>
    </w:p>
    <w:p>
      <w:pPr>
        <w:spacing w:after="60" w:before="20"/>
      </w:pPr>
      <w:r>
        <w:rPr>
          <w:rFonts w:ascii="Calibri" w:hAnsi="Calibri"/>
          <w:color w:val="333333"/>
          <w:sz w:val="22"/>
        </w:rPr>
        <w:t>●  Recovery communication not formally structured — no documented communication procedures for internal or external stakeholders</w:t>
      </w:r>
    </w:p>
    <w:p>
      <w:pPr>
        <w:spacing w:after="60" w:before="20"/>
      </w:pPr>
      <w:r>
        <w:rPr>
          <w:rFonts w:ascii="Calibri" w:hAnsi="Calibri"/>
          <w:color w:val="333333"/>
          <w:sz w:val="22"/>
        </w:rPr>
        <w:t>●  Backup verification inconsistent — restoration tests not regularly conducted</w:t>
      </w:r>
    </w:p>
    <w:p>
      <w:pPr>
        <w:spacing w:after="60" w:before="20"/>
      </w:pPr>
      <w:r>
        <w:rPr>
          <w:rFonts w:ascii="Calibri" w:hAnsi="Calibri"/>
          <w:color w:val="333333"/>
          <w:sz w:val="22"/>
        </w:rPr>
        <w:t>●  Post-recovery reassessment not systematic — no minimum validation framework before returning to normal operations</w:t>
      </w:r>
    </w:p>
    <w:p>
      <w:pPr>
        <w:spacing w:after="60" w:before="20"/>
      </w:pPr>
      <w:r>
        <w:rPr>
          <w:rFonts w:ascii="Calibri" w:hAnsi="Calibri"/>
          <w:color w:val="333333"/>
          <w:sz w:val="22"/>
        </w:rPr>
        <w:t>●  Recovery plan not integrated with incident response plan</w:t>
      </w:r>
    </w:p>
    <w:p>
      <w:pPr>
        <w:spacing w:after="60" w:before="20"/>
      </w:pPr>
      <w:r>
        <w:rPr>
          <w:rFonts w:ascii="Calibri" w:hAnsi="Calibri"/>
          <w:color w:val="333333"/>
          <w:sz w:val="22"/>
        </w:rPr>
        <w:t>●  Improvement capture from recovery activities incomplete</w:t>
      </w:r>
    </w:p>
    <w:p>
      <w:pPr>
        <w:spacing w:after="60" w:before="20"/>
      </w:pPr>
      <w:r>
        <w:rPr>
          <w:rFonts w:ascii="Calibri" w:hAnsi="Calibri"/>
          <w:color w:val="333333"/>
          <w:sz w:val="22"/>
        </w:rPr>
        <w:t>●  Recovery plan testing not conducted on a scheduled basis</w:t>
      </w:r>
    </w:p>
    <w:p>
      <w:pPr>
        <w:spacing w:after="120" w:before="0"/>
      </w:pPr>
      <w:r>
        <w:rPr>
          <w:rFonts w:ascii="Calibri" w:hAnsi="Calibri" w:eastAsia="Calibri"/>
          <w:b/>
          <w:i w:val="0"/>
          <w:color w:val="27AE60"/>
          <w:sz w:val="22"/>
        </w:rPr>
        <w:t>Recommendations:</w:t>
      </w:r>
    </w:p>
    <w:p>
      <w:pPr>
        <w:spacing w:after="60" w:before="20"/>
      </w:pPr>
      <w:r>
        <w:rPr>
          <w:rFonts w:ascii="Calibri" w:hAnsi="Calibri"/>
          <w:color w:val="333333"/>
          <w:sz w:val="22"/>
        </w:rPr>
        <w:t>●  Develop formal recovery communication framework with defined stakeholder procedures, message templates, and communication testing requirements</w:t>
      </w:r>
    </w:p>
    <w:p>
      <w:pPr>
        <w:spacing w:after="60" w:before="20"/>
      </w:pPr>
      <w:r>
        <w:rPr>
          <w:rFonts w:ascii="Calibri" w:hAnsi="Calibri"/>
          <w:color w:val="333333"/>
          <w:sz w:val="22"/>
        </w:rPr>
        <w:t>●  Implement quarterly backup restoration testing program for all critical systems with documented results and leadership review</w:t>
      </w:r>
    </w:p>
    <w:p>
      <w:pPr>
        <w:spacing w:after="60" w:before="20"/>
      </w:pPr>
      <w:r>
        <w:rPr>
          <w:rFonts w:ascii="Calibri" w:hAnsi="Calibri"/>
          <w:color w:val="333333"/>
          <w:sz w:val="22"/>
        </w:rPr>
        <w:t>●  Establish systematic post-recovery reassessment framework with minimum validation requirements before resuming normal operations</w:t>
      </w:r>
    </w:p>
    <w:p>
      <w:pPr>
        <w:spacing w:after="60" w:before="20"/>
      </w:pPr>
      <w:r>
        <w:rPr>
          <w:rFonts w:ascii="Calibri" w:hAnsi="Calibri"/>
          <w:color w:val="333333"/>
          <w:sz w:val="22"/>
        </w:rPr>
        <w:t>●  Formally integrate recovery plan with incident response plan to ensure seamless procedural handoff</w:t>
      </w:r>
    </w:p>
    <w:p>
      <w:pPr>
        <w:spacing w:after="60" w:before="20"/>
      </w:pPr>
      <w:r>
        <w:rPr>
          <w:rFonts w:ascii="Calibri" w:hAnsi="Calibri"/>
          <w:color w:val="333333"/>
          <w:sz w:val="22"/>
        </w:rPr>
        <w:t>●  Implement recovery improvement tracking as part of the overall organizational improvement management system</w:t>
      </w:r>
    </w:p>
    <w:p>
      <w:pPr>
        <w:spacing w:after="60" w:before="20"/>
      </w:pPr>
      <w:r>
        <w:rPr>
          <w:rFonts w:ascii="Calibri" w:hAnsi="Calibri"/>
          <w:color w:val="333333"/>
          <w:sz w:val="22"/>
        </w:rPr>
        <w:t>●  Conduct annual full recovery exercise with post-exercise lessons learned review and plan update</w:t>
      </w:r>
    </w:p>
    <w:p>
      <w:r>
        <w:br w:type="page"/>
      </w:r>
    </w:p>
    <w:p>
      <w:r>
        <w:br w:type="page"/>
      </w:r>
    </w:p>
    <w:p>
      <w:pPr>
        <w:pStyle w:val="Heading1"/>
      </w:pPr>
      <w:r>
        <w:rPr>
          <w:rFonts w:ascii="Calibri" w:hAnsi="Calibri"/>
          <w:b/>
          <w:color w:val="002B5C"/>
          <w:sz w:val="44"/>
        </w:rPr>
        <w:t>5. CONCLUSION</w:t>
      </w:r>
    </w:p>
    <w:p>
      <w:pPr>
        <w:spacing w:before="40" w:after="160"/>
        <w:pBdr>
          <w:bottom w:val="single" w:sz="6" w:space="1" w:color="007B7F"/>
        </w:pBdr>
      </w:pPr>
    </w:p>
    <w:p>
      <w:pPr>
        <w:pStyle w:val="Heading2"/>
      </w:pPr>
      <w:r>
        <w:rPr>
          <w:rFonts w:ascii="Calibri" w:hAnsi="Calibri"/>
          <w:b/>
          <w:color w:val="1A3C6E"/>
          <w:sz w:val="32"/>
        </w:rPr>
        <w:t>5.1  Overall Assessment Statement</w:t>
      </w:r>
    </w:p>
    <w:p>
      <w:pPr>
        <w:spacing w:before="40" w:after="160"/>
        <w:pBdr>
          <w:bottom w:val="single" w:sz="6" w:space="1" w:color="007B7F"/>
        </w:pBdr>
      </w:pPr>
    </w:p>
    <w:p>
      <w:pPr>
        <w:spacing w:after="120" w:before="0"/>
      </w:pPr>
      <w:r>
        <w:rPr>
          <w:rFonts w:ascii="Calibri" w:hAnsi="Calibri" w:eastAsia="Calibri"/>
          <w:b w:val="0"/>
          <w:i w:val="0"/>
          <w:color w:val="333333"/>
          <w:sz w:val="22"/>
        </w:rPr>
        <w:t>Urbego Cybersecurity operates at a Tier 2 (Risk Informed) maturity level with an overall score of 48.3%. The organization demonstrates genuine operational strengths in asset management, threat intelligence integration, network monitoring, and recovery prioritization — capabilities that reflect real operational investment and discipline. However, foundational governance and preventive controls are significantly underdeveloped in ways that create critical risk exposure. The absence of a documented incident response plan — the most significant individual finding in this assessment — combined with the complete lack of system logging, missing configuration management, and incomplete network protection, creates a risk profile where the organization can detect threats but cannot effectively investigate, respond to, or contain a serious security incident. Achieving Tier 3 (Repeatable) maturity requires five primary interventions: incident response plan development, logging infrastructure deployment, governance documentation, configuration management implementation, and network protection completion. These five initiatives, executed systematically over 12–18 months with appropriate resource commitment, will transform Urbego's cybersecurity posture from operationally functional but fragile, to institutionally resilient and demonstrably repeatable.</w:t>
      </w:r>
    </w:p>
    <w:p>
      <w:pPr>
        <w:pStyle w:val="Heading2"/>
      </w:pPr>
      <w:r>
        <w:rPr>
          <w:rFonts w:ascii="Calibri" w:hAnsi="Calibri"/>
          <w:b/>
          <w:color w:val="1A3C6E"/>
          <w:sz w:val="32"/>
        </w:rPr>
        <w:t>5.2  Implementation Tier Determination</w:t>
      </w:r>
    </w:p>
    <w:p>
      <w:pPr>
        <w:spacing w:before="40" w:after="160"/>
        <w:pBdr>
          <w:bottom w:val="single" w:sz="6" w:space="1" w:color="007B7F"/>
        </w:pBdr>
      </w:pPr>
    </w:p>
    <w:p>
      <w:pPr>
        <w:spacing w:after="120" w:before="0"/>
      </w:pPr>
      <w:r>
        <w:rPr>
          <w:rFonts w:ascii="Calibri" w:hAnsi="Calibri" w:eastAsia="Calibri"/>
          <w:b w:val="0"/>
          <w:i w:val="0"/>
          <w:color w:val="333333"/>
          <w:sz w:val="22"/>
        </w:rPr>
        <w:t>Tier 2 – Risk Informed (Final Determination). This determination reflects: (1) Risk awareness is clearly demonstrated by leadership, with informal but real risk management practices influencing operational security decisions across the organization; (2) Operational controls are implemented effectively in network monitoring, threat intelligence, and asset management, but coverage is inconsistent across other control domains; (3) Documentation gaps are pervasive and prevent processes from being repeatable — governance policies, incident response procedures, configuration baselines, and role assignments are either absent or insufficiently formalized; (4) Enterprise risk integration is limited — cybersecurity risk management operates independently from organizational risk management, limiting strategic risk-informed decision-making; (5) Improvement processes are reactive — improvements occur in response to events rather than through proactive, systematic planning. The organization clearly understands its cybersecurity risks but has not yet institutionalized the documentation, consistency, and governance required for Tier 3 designation.</w:t>
      </w:r>
    </w:p>
    <w:p>
      <w:pPr>
        <w:pStyle w:val="Heading2"/>
      </w:pPr>
      <w:r>
        <w:rPr>
          <w:rFonts w:ascii="Calibri" w:hAnsi="Calibri"/>
          <w:b/>
          <w:color w:val="1A3C6E"/>
          <w:sz w:val="32"/>
        </w:rPr>
        <w:t>5.3  Continuous Monitoring &amp; Annual Review Plan</w:t>
      </w:r>
    </w:p>
    <w:p>
      <w:pPr>
        <w:spacing w:before="40" w:after="160"/>
        <w:pBdr>
          <w:bottom w:val="single" w:sz="6" w:space="1" w:color="007B7F"/>
        </w:pBdr>
      </w:pPr>
    </w:p>
    <w:p>
      <w:pPr>
        <w:pStyle w:val="Heading3"/>
      </w:pPr>
      <w:r>
        <w:rPr>
          <w:rFonts w:ascii="Calibri" w:hAnsi="Calibri"/>
          <w:b/>
          <w:color w:val="007B7F"/>
          <w:sz w:val="26"/>
        </w:rPr>
        <w:t>Quarterly Activities</w:t>
      </w:r>
    </w:p>
    <w:p>
      <w:pPr>
        <w:spacing w:after="120" w:before="0"/>
      </w:pPr>
      <w:r>
        <w:rPr>
          <w:rFonts w:ascii="Calibri" w:hAnsi="Calibri" w:eastAsia="Calibri"/>
          <w:b w:val="0"/>
          <w:i w:val="0"/>
          <w:color w:val="333333"/>
          <w:sz w:val="22"/>
        </w:rPr>
        <w:t>Quarterly maturity reassessment using the standardized scorecard from this assessment to track progress against baseline; governance documentation progress review against the policy framework development timeline; cybersecurity metrics dashboard review and update covering KPIs and KRIs defined in the metrics program; remediation tracking and status reporting against open items from this assessment; risk register review to assess new and evolving risks; access review completion verification.</w:t>
      </w:r>
    </w:p>
    <w:p>
      <w:pPr>
        <w:pStyle w:val="Heading3"/>
      </w:pPr>
      <w:r>
        <w:rPr>
          <w:rFonts w:ascii="Calibri" w:hAnsi="Calibri"/>
          <w:b/>
          <w:color w:val="007B7F"/>
          <w:sz w:val="26"/>
        </w:rPr>
        <w:t>Semi Annual Activities</w:t>
      </w:r>
    </w:p>
    <w:p>
      <w:pPr>
        <w:spacing w:after="120" w:before="0"/>
      </w:pPr>
      <w:r>
        <w:rPr>
          <w:rFonts w:ascii="Calibri" w:hAnsi="Calibri" w:eastAsia="Calibri"/>
          <w:b w:val="0"/>
          <w:i w:val="0"/>
          <w:color w:val="333333"/>
          <w:sz w:val="22"/>
        </w:rPr>
        <w:t>Incident response tabletop exercise with post-exercise lessons learned review and IR plan update; full policy review and update cycle to incorporate operational learnings and changes; supplier risk assessment validation for all critical and high-risk vendors; security awareness training effectiveness measurement through knowledge assessments and phishing simulation analysis; configuration compliance audit against established baselines; backup restoration testing results review.</w:t>
      </w:r>
    </w:p>
    <w:p>
      <w:pPr>
        <w:pStyle w:val="Heading3"/>
      </w:pPr>
      <w:r>
        <w:rPr>
          <w:rFonts w:ascii="Calibri" w:hAnsi="Calibri"/>
          <w:b/>
          <w:color w:val="007B7F"/>
          <w:sz w:val="26"/>
        </w:rPr>
        <w:t>Annual Activities</w:t>
      </w:r>
    </w:p>
    <w:p>
      <w:pPr>
        <w:spacing w:after="120" w:before="0"/>
      </w:pPr>
      <w:r>
        <w:rPr>
          <w:rFonts w:ascii="Calibri" w:hAnsi="Calibri" w:eastAsia="Calibri"/>
          <w:b w:val="0"/>
          <w:i w:val="0"/>
          <w:color w:val="333333"/>
          <w:sz w:val="22"/>
        </w:rPr>
        <w:t>Comprehensive NIST CSF 2.0 reassessment using the same 89-question methodology to formally measure maturity progression against this baseline; penetration testing program execution by qualified external party across network and application layers; full business continuity and disaster recovery exercise simulating a major cybersecurity incident; strategic roadmap review and adjustment based on maturity assessment results and changed business context; executive leadership cybersecurity briefing with risk posture summary, maturity trends, and investment priorities; review of regulatory compliance obligations and controls mapping.</w:t>
      </w:r>
    </w:p>
    <w:p>
      <w:pPr>
        <w:pStyle w:val="Heading3"/>
      </w:pPr>
      <w:r>
        <w:rPr>
          <w:rFonts w:ascii="Calibri" w:hAnsi="Calibri"/>
          <w:b/>
          <w:color w:val="007B7F"/>
          <w:sz w:val="26"/>
        </w:rPr>
        <w:t>Continuous Activities</w:t>
      </w:r>
    </w:p>
    <w:p>
      <w:pPr>
        <w:spacing w:after="120" w:before="0"/>
      </w:pPr>
      <w:r>
        <w:rPr>
          <w:rFonts w:ascii="Calibri" w:hAnsi="Calibri" w:eastAsia="Calibri"/>
          <w:b w:val="0"/>
          <w:i w:val="0"/>
          <w:color w:val="333333"/>
          <w:sz w:val="22"/>
        </w:rPr>
        <w:t>Real-time security monitoring through deployed monitoring tools with 24x7 alerting for critical events; vulnerability scanning on defined schedules aligned to asset criticality; threat intelligence integration and indicator-of-compromise monitoring across all sources; access review monitoring for anomalous access patterns and privilege escalation; configuration compliance checking against established baselines with drift alerting; patch compliance monitoring against defined SLA targets.</w:t>
      </w:r>
    </w:p>
    <w:p>
      <w:r>
        <w:br w:type="page"/>
      </w:r>
    </w:p>
    <w:p>
      <w:pPr>
        <w:pStyle w:val="Heading1"/>
      </w:pPr>
      <w:r>
        <w:rPr>
          <w:rFonts w:ascii="Calibri" w:hAnsi="Calibri"/>
          <w:b/>
          <w:color w:val="002B5C"/>
          <w:sz w:val="44"/>
        </w:rPr>
        <w:t>6. REFERENCES</w:t>
      </w:r>
    </w:p>
    <w:p>
      <w:pPr>
        <w:spacing w:before="40" w:after="160"/>
        <w:pBdr>
          <w:bottom w:val="single" w:sz="6" w:space="1" w:color="007B7F"/>
        </w:pBdr>
      </w:pPr>
    </w:p>
    <w:p>
      <w:pPr>
        <w:spacing w:after="80"/>
      </w:pPr>
      <w:r>
        <w:rPr>
          <w:rFonts w:ascii="Calibri" w:hAnsi="Calibri"/>
          <w:b/>
          <w:color w:val="007B7F"/>
          <w:sz w:val="22"/>
        </w:rPr>
        <w:t xml:space="preserve">[1]  </w:t>
      </w:r>
      <w:r>
        <w:rPr>
          <w:rFonts w:ascii="Calibri" w:hAnsi="Calibri"/>
          <w:color w:val="333333"/>
          <w:sz w:val="22"/>
        </w:rPr>
        <w:t>NIST CSF 2.0 — National Institute of Standards and Technology Cybersecurity Framework Version 2.0 (February 2024) — Core guidance for assessment methodology, control mapping, and maturity tier definitions</w:t>
      </w:r>
    </w:p>
    <w:p>
      <w:pPr>
        <w:spacing w:after="80"/>
      </w:pPr>
      <w:r>
        <w:rPr>
          <w:rFonts w:ascii="Calibri" w:hAnsi="Calibri"/>
          <w:b/>
          <w:color w:val="007B7F"/>
          <w:sz w:val="22"/>
        </w:rPr>
        <w:t xml:space="preserve">[2]  </w:t>
      </w:r>
      <w:r>
        <w:rPr>
          <w:rFonts w:ascii="Calibri" w:hAnsi="Calibri"/>
          <w:color w:val="333333"/>
          <w:sz w:val="22"/>
        </w:rPr>
        <w:t>NIST SP 800-30 — Guide for Conducting Risk Assessments (Rev. 1) — Referenced for risk assessment methodology, likelihood and impact criteria, and risk rating framework</w:t>
      </w:r>
    </w:p>
    <w:p>
      <w:pPr>
        <w:spacing w:after="80"/>
      </w:pPr>
      <w:r>
        <w:rPr>
          <w:rFonts w:ascii="Calibri" w:hAnsi="Calibri"/>
          <w:b/>
          <w:color w:val="007B7F"/>
          <w:sz w:val="22"/>
        </w:rPr>
        <w:t xml:space="preserve">[3]  </w:t>
      </w:r>
      <w:r>
        <w:rPr>
          <w:rFonts w:ascii="Calibri" w:hAnsi="Calibri"/>
          <w:color w:val="333333"/>
          <w:sz w:val="22"/>
        </w:rPr>
        <w:t>NIST SP 800-53 — Security and Privacy Controls for Information Systems and Organizations (Rev. 5) — Referenced for detailed control mapping, control baseline recommendations, and control family alignment</w:t>
      </w:r>
    </w:p>
    <w:p>
      <w:pPr>
        <w:spacing w:after="80"/>
      </w:pPr>
      <w:r>
        <w:rPr>
          <w:rFonts w:ascii="Calibri" w:hAnsi="Calibri"/>
          <w:b/>
          <w:color w:val="007B7F"/>
          <w:sz w:val="22"/>
        </w:rPr>
        <w:t xml:space="preserve">[4]  </w:t>
      </w:r>
      <w:r>
        <w:rPr>
          <w:rFonts w:ascii="Calibri" w:hAnsi="Calibri"/>
          <w:color w:val="333333"/>
          <w:sz w:val="22"/>
        </w:rPr>
        <w:t>NIST SP 800-61 — Computer Security Incident Handling Guide (Rev. 2) — Referenced for incident response planning recommendations, incident lifecycle structure, and team role definitions</w:t>
      </w:r>
    </w:p>
    <w:p>
      <w:pPr>
        <w:spacing w:after="80"/>
      </w:pPr>
      <w:r>
        <w:rPr>
          <w:rFonts w:ascii="Calibri" w:hAnsi="Calibri"/>
          <w:b/>
          <w:color w:val="007B7F"/>
          <w:sz w:val="22"/>
        </w:rPr>
        <w:t xml:space="preserve">[5]  </w:t>
      </w:r>
      <w:r>
        <w:rPr>
          <w:rFonts w:ascii="Calibri" w:hAnsi="Calibri"/>
          <w:color w:val="333333"/>
          <w:sz w:val="22"/>
        </w:rPr>
        <w:t>ISO/IEC 27001:2022 — Information Security Management Systems — Requirements — Referenced for complementary framework alignment and potential future certification pathway planning</w:t>
      </w:r>
    </w:p>
    <w:p>
      <w:pPr>
        <w:spacing w:after="80"/>
      </w:pPr>
      <w:r>
        <w:rPr>
          <w:rFonts w:ascii="Calibri" w:hAnsi="Calibri"/>
          <w:b/>
          <w:color w:val="007B7F"/>
          <w:sz w:val="22"/>
        </w:rPr>
        <w:t xml:space="preserve">[6]  </w:t>
      </w:r>
      <w:r>
        <w:rPr>
          <w:rFonts w:ascii="Calibri" w:hAnsi="Calibri"/>
          <w:color w:val="333333"/>
          <w:sz w:val="22"/>
        </w:rPr>
        <w:t>CIS Controls v8 — Center for Internet Security Critical Security Controls Version 8 — Referenced for prioritized security control recommendations and implementation group guidance</w:t>
      </w:r>
    </w:p>
    <w:p>
      <w:pPr>
        <w:spacing w:after="80"/>
      </w:pPr>
      <w:r>
        <w:rPr>
          <w:rFonts w:ascii="Calibri" w:hAnsi="Calibri"/>
          <w:b/>
          <w:color w:val="007B7F"/>
          <w:sz w:val="22"/>
        </w:rPr>
        <w:t xml:space="preserve">[7]  </w:t>
      </w:r>
      <w:r>
        <w:rPr>
          <w:rFonts w:ascii="Calibri" w:hAnsi="Calibri"/>
          <w:color w:val="333333"/>
          <w:sz w:val="22"/>
        </w:rPr>
        <w:t>MITRE ATT&amp;CK — MITRE ATT&amp;CK Framework — Referenced for adversary tactic and technique coverage analysis in detection gap assessment and threat intelligence integration</w:t>
      </w:r>
    </w:p>
    <w:p>
      <w:pPr>
        <w:spacing w:after="80"/>
      </w:pPr>
      <w:r>
        <w:rPr>
          <w:rFonts w:ascii="Calibri" w:hAnsi="Calibri"/>
          <w:b/>
          <w:color w:val="007B7F"/>
          <w:sz w:val="22"/>
        </w:rPr>
        <w:t xml:space="preserve">[8]  </w:t>
      </w:r>
      <w:r>
        <w:rPr>
          <w:rFonts w:ascii="Calibri" w:hAnsi="Calibri"/>
          <w:color w:val="333333"/>
          <w:sz w:val="22"/>
        </w:rPr>
        <w:t>GDPR — General Data Protection Regulation (EU) 2016/679 — Referenced for data protection control requirements, breach notification timelines, and data subject rights management obligations</w:t>
      </w:r>
    </w:p>
    <w:p>
      <w:r>
        <w:br w:type="page"/>
      </w:r>
    </w:p>
    <w:p>
      <w:pPr>
        <w:pStyle w:val="Heading1"/>
      </w:pPr>
      <w:r>
        <w:rPr>
          <w:rFonts w:ascii="Calibri" w:hAnsi="Calibri"/>
          <w:b/>
          <w:color w:val="002B5C"/>
          <w:sz w:val="44"/>
        </w:rPr>
        <w:t>7. APPENDICES</w:t>
      </w:r>
    </w:p>
    <w:p>
      <w:pPr>
        <w:spacing w:before="40" w:after="160"/>
        <w:pBdr>
          <w:bottom w:val="single" w:sz="6" w:space="1" w:color="007B7F"/>
        </w:pBdr>
      </w:pPr>
    </w:p>
    <w:p>
      <w:pPr>
        <w:pStyle w:val="Heading2"/>
      </w:pPr>
      <w:r>
        <w:rPr>
          <w:rFonts w:ascii="Calibri" w:hAnsi="Calibri"/>
          <w:b/>
          <w:color w:val="1A3C6E"/>
          <w:sz w:val="32"/>
        </w:rPr>
        <w:t>7.1  Detailed Technical Assessment Reports (VAPT)</w:t>
      </w:r>
    </w:p>
    <w:p>
      <w:pPr>
        <w:spacing w:before="40" w:after="160"/>
        <w:pBdr>
          <w:bottom w:val="single" w:sz="6" w:space="1" w:color="007B7F"/>
        </w:pBdr>
      </w:pPr>
    </w:p>
    <w:p>
      <w:pPr>
        <w:pStyle w:val="Heading3"/>
      </w:pPr>
      <w:r>
        <w:rPr>
          <w:rFonts w:ascii="Calibri" w:hAnsi="Calibri"/>
          <w:b/>
          <w:color w:val="007B7F"/>
          <w:sz w:val="26"/>
        </w:rPr>
        <w:t>Vulnerability Scanning Results</w:t>
      </w:r>
    </w:p>
    <w:p>
      <w:pPr>
        <w:spacing w:after="120" w:before="0"/>
      </w:pPr>
      <w:r>
        <w:rPr>
          <w:rFonts w:ascii="Calibri" w:hAnsi="Calibri" w:eastAsia="Calibri"/>
          <w:b w:val="0"/>
          <w:i w:val="0"/>
          <w:color w:val="333333"/>
          <w:sz w:val="22"/>
        </w:rPr>
        <w:t>Automated vulnerability scanning was not conducted as part of this assessment. Manual vulnerability identification was performed through staff interviews and documentation review. A formal external penetration testing engagement is planned for Q3 2026 and will provide independent technical validation of vulnerability findings. It is strongly recommended that internal vulnerability scanning be initiated immediately using available tools as an interim measure pending the formal penetration test.</w:t>
      </w:r>
    </w:p>
    <w:p>
      <w:pPr>
        <w:pStyle w:val="Heading3"/>
      </w:pPr>
      <w:r>
        <w:rPr>
          <w:rFonts w:ascii="Calibri" w:hAnsi="Calibri"/>
          <w:b/>
          <w:color w:val="007B7F"/>
          <w:sz w:val="26"/>
        </w:rPr>
        <w:t>Configuration Review Findings</w:t>
      </w:r>
    </w:p>
    <w:p>
      <w:pPr>
        <w:spacing w:after="120" w:before="0"/>
      </w:pPr>
      <w:r>
        <w:rPr>
          <w:rFonts w:ascii="Calibri" w:hAnsi="Calibri" w:eastAsia="Calibri"/>
          <w:b w:val="0"/>
          <w:i w:val="0"/>
          <w:color w:val="333333"/>
          <w:sz w:val="22"/>
        </w:rPr>
        <w:t>Configuration management is completely absent across the organization — no secure baseline configurations have been established for any system type including servers, workstations, network devices, or cloud resources. This finding represents a critical gap, as the current configuration posture of all organizational systems is unknown. Without baselines, configuration drift cannot be detected and the attack surface created by misconfigured systems cannot be quantified. Immediate remediation priority recommended.</w:t>
      </w:r>
    </w:p>
    <w:p>
      <w:pPr>
        <w:pStyle w:val="Heading3"/>
      </w:pPr>
      <w:r>
        <w:rPr>
          <w:rFonts w:ascii="Calibri" w:hAnsi="Calibri"/>
          <w:b/>
          <w:color w:val="007B7F"/>
          <w:sz w:val="26"/>
        </w:rPr>
        <w:t>Network Security Assessment</w:t>
      </w:r>
    </w:p>
    <w:p>
      <w:pPr>
        <w:spacing w:after="120" w:before="0"/>
      </w:pPr>
      <w:r>
        <w:rPr>
          <w:rFonts w:ascii="Calibri" w:hAnsi="Calibri" w:eastAsia="Calibri"/>
          <w:b w:val="0"/>
          <w:i w:val="0"/>
          <w:color w:val="333333"/>
          <w:sz w:val="22"/>
        </w:rPr>
        <w:t>Network protection controls are significantly incomplete. Network segmentation exists in partial form but lacks a formal documented segmentation architecture with defined security zones. No intrusion prevention system (IPS) is deployed at the network perimeter or internal network boundaries. Firewall rules have not been formally reviewed on a regular schedule, and rule documentation is incomplete. No formal network hardening standards have been applied to active network devices. The combination of these gaps creates meaningful lateral movement risk during security incidents.</w:t>
      </w:r>
    </w:p>
    <w:p>
      <w:pPr>
        <w:pStyle w:val="Heading3"/>
      </w:pPr>
      <w:r>
        <w:rPr>
          <w:rFonts w:ascii="Calibri" w:hAnsi="Calibri"/>
          <w:b/>
          <w:color w:val="007B7F"/>
          <w:sz w:val="26"/>
        </w:rPr>
        <w:t>Logging And Monitoring Review</w:t>
      </w:r>
    </w:p>
    <w:p>
      <w:pPr>
        <w:spacing w:after="120" w:before="0"/>
      </w:pPr>
      <w:r>
        <w:rPr>
          <w:rFonts w:ascii="Calibri" w:hAnsi="Calibri" w:eastAsia="Calibri"/>
          <w:b w:val="0"/>
          <w:i w:val="0"/>
          <w:color w:val="333333"/>
          <w:sz w:val="22"/>
        </w:rPr>
        <w:t>System logging is not implemented across any organizational systems. No centralized log collection infrastructure exists. Individual system logging configurations are inconsistent or absent. No SIEM platform is deployed. Forensic investigation capability is severely limited as a direct consequence — without system logs, it is not possible to reconstruct attack timelines, attribute malicious actions to specific accounts, or demonstrate the scope of a data breach during incident investigation or regulatory inquiry. This finding is assessed as Critical risk.</w:t>
      </w:r>
    </w:p>
    <w:p>
      <w:pPr>
        <w:pStyle w:val="Heading3"/>
      </w:pPr>
      <w:r>
        <w:rPr>
          <w:rFonts w:ascii="Calibri" w:hAnsi="Calibri"/>
          <w:b/>
          <w:color w:val="007B7F"/>
          <w:sz w:val="26"/>
        </w:rPr>
        <w:t>Access Control Review</w:t>
      </w:r>
    </w:p>
    <w:p>
      <w:pPr>
        <w:spacing w:after="120" w:before="0"/>
      </w:pPr>
      <w:r>
        <w:rPr>
          <w:rFonts w:ascii="Calibri" w:hAnsi="Calibri" w:eastAsia="Calibri"/>
          <w:b w:val="0"/>
          <w:i w:val="0"/>
          <w:color w:val="333333"/>
          <w:sz w:val="22"/>
        </w:rPr>
        <w:t>Identity and access management is partially implemented. No centralized identity provider or IAM platform is deployed, resulting in fragmented access management across systems. Privileged access management is incomplete — privileged accounts are not comprehensively inventoried, credentials are not stored in a vault, and privileged session monitoring is absent. Access reviews are not conducted on a formal schedule. Multi-factor authentication is not universally deployed, particularly for remote access connections and privileged account use. These gaps create significant risk of unauthorized access and insider threat.</w:t>
      </w:r>
    </w:p>
    <w:p>
      <w:pPr>
        <w:pStyle w:val="Heading2"/>
      </w:pPr>
      <w:r>
        <w:rPr>
          <w:rFonts w:ascii="Calibri" w:hAnsi="Calibri"/>
          <w:b/>
          <w:color w:val="1A3C6E"/>
          <w:sz w:val="32"/>
        </w:rPr>
        <w:t>7.2  Glossary of Terms &amp; Definitions</w:t>
      </w:r>
    </w:p>
    <w:p>
      <w:pPr>
        <w:spacing w:before="40" w:after="160"/>
        <w:pBdr>
          <w:bottom w:val="single" w:sz="6" w:space="1" w:color="007B7F"/>
        </w:pBdr>
      </w:pPr>
    </w:p>
    <w:tbl>
      <w:tblPr>
        <w:tblW w:type="auto" w:w="0"/>
        <w:jc w:val="center"/>
        <w:tblLayout w:type="autofi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4680"/>
        <w:gridCol w:w="4680"/>
      </w:tblGrid>
      <w:tr>
        <w:tc>
          <w:tcPr>
            <w:tcW w:type="dxa" w:w="4680"/>
            <w:shd w:fill="002B5C" w:val="clear"/>
          </w:tcPr>
          <w:p>
            <w:pPr>
              <w:jc w:val="center"/>
            </w:pPr>
            <w:r/>
            <w:r>
              <w:rPr>
                <w:rFonts w:ascii="Calibri" w:hAnsi="Calibri"/>
                <w:b/>
                <w:color w:val="FFFFFF"/>
                <w:sz w:val="20"/>
              </w:rPr>
              <w:t>Term</w:t>
            </w:r>
          </w:p>
        </w:tc>
        <w:tc>
          <w:tcPr>
            <w:tcW w:type="dxa" w:w="4680"/>
            <w:shd w:fill="002B5C" w:val="clear"/>
          </w:tcPr>
          <w:p>
            <w:pPr>
              <w:jc w:val="center"/>
            </w:pPr>
            <w:r/>
            <w:r>
              <w:rPr>
                <w:rFonts w:ascii="Calibri" w:hAnsi="Calibri"/>
                <w:b/>
                <w:color w:val="FFFFFF"/>
                <w:sz w:val="20"/>
              </w:rPr>
              <w:t>Definition</w:t>
            </w:r>
          </w:p>
        </w:tc>
      </w:tr>
      <w:tr>
        <w:tc>
          <w:tcPr>
            <w:tcW w:type="dxa" w:w="4680"/>
          </w:tcPr>
          <w:p>
            <w:r/>
            <w:r>
              <w:rPr>
                <w:rFonts w:ascii="Calibri" w:hAnsi="Calibri"/>
                <w:color w:val="333333"/>
                <w:sz w:val="20"/>
              </w:rPr>
              <w:t>Asset Criticality</w:t>
            </w:r>
          </w:p>
        </w:tc>
        <w:tc>
          <w:tcPr>
            <w:tcW w:type="dxa" w:w="4680"/>
          </w:tcPr>
          <w:p>
            <w:r/>
            <w:r>
              <w:rPr>
                <w:rFonts w:ascii="Calibri" w:hAnsi="Calibri"/>
                <w:color w:val="333333"/>
                <w:sz w:val="20"/>
              </w:rPr>
              <w:t>The relative importance of an information asset based on its impact on organizational operations, data protection, regulatory compliance, and business continuity if the asset is compromised, unavailable, or destroyed. Assets are typically classified as Critical, High, Medium, or Low based on a multi-factor scoring methodology.</w:t>
            </w:r>
          </w:p>
        </w:tc>
      </w:tr>
      <w:tr>
        <w:tc>
          <w:tcPr>
            <w:tcW w:type="dxa" w:w="4680"/>
            <w:shd w:fill="F2F2F2" w:val="clear"/>
          </w:tcPr>
          <w:p>
            <w:r/>
            <w:r>
              <w:rPr>
                <w:rFonts w:ascii="Calibri" w:hAnsi="Calibri"/>
                <w:color w:val="333333"/>
                <w:sz w:val="20"/>
              </w:rPr>
              <w:t>Configuration Management</w:t>
            </w:r>
          </w:p>
        </w:tc>
        <w:tc>
          <w:tcPr>
            <w:tcW w:type="dxa" w:w="4680"/>
            <w:shd w:fill="F2F2F2" w:val="clear"/>
          </w:tcPr>
          <w:p>
            <w:r/>
            <w:r>
              <w:rPr>
                <w:rFonts w:ascii="Calibri" w:hAnsi="Calibri"/>
                <w:color w:val="333333"/>
                <w:sz w:val="20"/>
              </w:rPr>
              <w:t>The systematic process for establishing and maintaining consistent, documented, and secure baseline configurations across all managed systems and infrastructure components. Configuration management includes baseline definition, change control, compliance monitoring, and drift detection.</w:t>
            </w:r>
          </w:p>
        </w:tc>
      </w:tr>
      <w:tr>
        <w:tc>
          <w:tcPr>
            <w:tcW w:type="dxa" w:w="4680"/>
          </w:tcPr>
          <w:p>
            <w:r/>
            <w:r>
              <w:rPr>
                <w:rFonts w:ascii="Calibri" w:hAnsi="Calibri"/>
                <w:color w:val="333333"/>
                <w:sz w:val="20"/>
              </w:rPr>
              <w:t>Incident Response Plan</w:t>
            </w:r>
          </w:p>
        </w:tc>
        <w:tc>
          <w:tcPr>
            <w:tcW w:type="dxa" w:w="4680"/>
          </w:tcPr>
          <w:p>
            <w:r/>
            <w:r>
              <w:rPr>
                <w:rFonts w:ascii="Calibri" w:hAnsi="Calibri"/>
                <w:color w:val="333333"/>
                <w:sz w:val="20"/>
              </w:rPr>
              <w:t>A formally documented set of procedures defining how the organization detects, responds to, contains, eradicates, and recovers from cybersecurity incidents. The plan includes team role definitions, escalation criteria, communication protocols, type-specific playbooks, and post-incident review requirements.</w:t>
            </w:r>
          </w:p>
        </w:tc>
      </w:tr>
      <w:tr>
        <w:tc>
          <w:tcPr>
            <w:tcW w:type="dxa" w:w="4680"/>
            <w:shd w:fill="F2F2F2" w:val="clear"/>
          </w:tcPr>
          <w:p>
            <w:r/>
            <w:r>
              <w:rPr>
                <w:rFonts w:ascii="Calibri" w:hAnsi="Calibri"/>
                <w:color w:val="333333"/>
                <w:sz w:val="20"/>
              </w:rPr>
              <w:t>Maturity Level</w:t>
            </w:r>
          </w:p>
        </w:tc>
        <w:tc>
          <w:tcPr>
            <w:tcW w:type="dxa" w:w="4680"/>
            <w:shd w:fill="F2F2F2" w:val="clear"/>
          </w:tcPr>
          <w:p>
            <w:r/>
            <w:r>
              <w:rPr>
                <w:rFonts w:ascii="Calibri" w:hAnsi="Calibri"/>
                <w:color w:val="333333"/>
                <w:sz w:val="20"/>
              </w:rPr>
              <w:t>A measure of an organization's capability to consistently perform, document, measure, and continuously improve cybersecurity processes. Maturity levels progress from ad-hoc execution through managed, defined, quantitatively managed, and optimizing stages.</w:t>
            </w:r>
          </w:p>
        </w:tc>
      </w:tr>
      <w:tr>
        <w:tc>
          <w:tcPr>
            <w:tcW w:type="dxa" w:w="4680"/>
          </w:tcPr>
          <w:p>
            <w:r/>
            <w:r>
              <w:rPr>
                <w:rFonts w:ascii="Calibri" w:hAnsi="Calibri"/>
                <w:color w:val="333333"/>
                <w:sz w:val="20"/>
              </w:rPr>
              <w:t>Residual Risk</w:t>
            </w:r>
          </w:p>
        </w:tc>
        <w:tc>
          <w:tcPr>
            <w:tcW w:type="dxa" w:w="4680"/>
          </w:tcPr>
          <w:p>
            <w:r/>
            <w:r>
              <w:rPr>
                <w:rFonts w:ascii="Calibri" w:hAnsi="Calibri"/>
                <w:color w:val="333333"/>
                <w:sz w:val="20"/>
              </w:rPr>
              <w:t>The level of cybersecurity risk that remains after the implementation of security controls and risk treatment measures. Residual risk represents the portion of identified risk that has not been fully mitigated and must be formally accepted, further reduced, or transferred through mechanisms such as insurance.</w:t>
            </w:r>
          </w:p>
        </w:tc>
      </w:tr>
      <w:tr>
        <w:tc>
          <w:tcPr>
            <w:tcW w:type="dxa" w:w="4680"/>
            <w:shd w:fill="F2F2F2" w:val="clear"/>
          </w:tcPr>
          <w:p>
            <w:r/>
            <w:r>
              <w:rPr>
                <w:rFonts w:ascii="Calibri" w:hAnsi="Calibri"/>
                <w:color w:val="333333"/>
                <w:sz w:val="20"/>
              </w:rPr>
              <w:t>Risk Appetite</w:t>
            </w:r>
          </w:p>
        </w:tc>
        <w:tc>
          <w:tcPr>
            <w:tcW w:type="dxa" w:w="4680"/>
            <w:shd w:fill="F2F2F2" w:val="clear"/>
          </w:tcPr>
          <w:p>
            <w:r/>
            <w:r>
              <w:rPr>
                <w:rFonts w:ascii="Calibri" w:hAnsi="Calibri"/>
                <w:color w:val="333333"/>
                <w:sz w:val="20"/>
              </w:rPr>
              <w:t>The amount and type of cybersecurity risk that an organization is willing to accept, tolerate, or pursue in the achievement of its business objectives. Risk appetite is formally defined by executive leadership and documented as a governance artifact.</w:t>
            </w:r>
          </w:p>
        </w:tc>
      </w:tr>
      <w:tr>
        <w:tc>
          <w:tcPr>
            <w:tcW w:type="dxa" w:w="4680"/>
          </w:tcPr>
          <w:p>
            <w:r/>
            <w:r>
              <w:rPr>
                <w:rFonts w:ascii="Calibri" w:hAnsi="Calibri"/>
                <w:color w:val="333333"/>
                <w:sz w:val="20"/>
              </w:rPr>
              <w:t>Risk Informed</w:t>
            </w:r>
          </w:p>
        </w:tc>
        <w:tc>
          <w:tcPr>
            <w:tcW w:type="dxa" w:w="4680"/>
          </w:tcPr>
          <w:p>
            <w:r/>
            <w:r>
              <w:rPr>
                <w:rFonts w:ascii="Calibri" w:hAnsi="Calibri"/>
                <w:color w:val="333333"/>
                <w:sz w:val="20"/>
              </w:rPr>
              <w:t>NIST CSF 2.0 Tier 2 — describes an organization where cybersecurity risks are understood by leadership, some risk management processes exist, and operational controls are implemented but not consistently documented, formalized, or institutionalized.</w:t>
            </w:r>
          </w:p>
        </w:tc>
      </w:tr>
      <w:tr>
        <w:tc>
          <w:tcPr>
            <w:tcW w:type="dxa" w:w="4680"/>
            <w:shd w:fill="F2F2F2" w:val="clear"/>
          </w:tcPr>
          <w:p>
            <w:r/>
            <w:r>
              <w:rPr>
                <w:rFonts w:ascii="Calibri" w:hAnsi="Calibri"/>
                <w:color w:val="333333"/>
                <w:sz w:val="20"/>
              </w:rPr>
              <w:t>Siem</w:t>
            </w:r>
          </w:p>
        </w:tc>
        <w:tc>
          <w:tcPr>
            <w:tcW w:type="dxa" w:w="4680"/>
            <w:shd w:fill="F2F2F2" w:val="clear"/>
          </w:tcPr>
          <w:p>
            <w:r/>
            <w:r>
              <w:rPr>
                <w:rFonts w:ascii="Calibri" w:hAnsi="Calibri"/>
                <w:color w:val="333333"/>
                <w:sz w:val="20"/>
              </w:rPr>
              <w:t>Security Information and Event Management — a centralized platform for collecting, normalizing, correlating, and analyzing security event data from across the IT environment. SIEM platforms provide real-time alerting, historical analysis capability, and forensic investigation support.</w:t>
            </w:r>
          </w:p>
        </w:tc>
      </w:tr>
      <w:tr>
        <w:tc>
          <w:tcPr>
            <w:tcW w:type="dxa" w:w="4680"/>
          </w:tcPr>
          <w:p>
            <w:r/>
            <w:r>
              <w:rPr>
                <w:rFonts w:ascii="Calibri" w:hAnsi="Calibri"/>
                <w:color w:val="333333"/>
                <w:sz w:val="20"/>
              </w:rPr>
              <w:t>Tier 3 Repeatable</w:t>
            </w:r>
          </w:p>
        </w:tc>
        <w:tc>
          <w:tcPr>
            <w:tcW w:type="dxa" w:w="4680"/>
          </w:tcPr>
          <w:p>
            <w:r/>
            <w:r>
              <w:rPr>
                <w:rFonts w:ascii="Calibri" w:hAnsi="Calibri"/>
                <w:color w:val="333333"/>
                <w:sz w:val="20"/>
              </w:rPr>
              <w:t>NIST CSF 2.0 Tier 3 maturity level where cybersecurity processes are formally documented, consistently executed, regularly reviewed, and integrated with enterprise risk management. Risk management practices are standardized and applied across the organization.</w:t>
            </w:r>
          </w:p>
        </w:tc>
      </w:tr>
      <w:tr>
        <w:tc>
          <w:tcPr>
            <w:tcW w:type="dxa" w:w="4680"/>
            <w:shd w:fill="F2F2F2" w:val="clear"/>
          </w:tcPr>
          <w:p>
            <w:r/>
            <w:r>
              <w:rPr>
                <w:rFonts w:ascii="Calibri" w:hAnsi="Calibri"/>
                <w:color w:val="333333"/>
                <w:sz w:val="20"/>
              </w:rPr>
              <w:t>Threat Intelligence</w:t>
            </w:r>
          </w:p>
        </w:tc>
        <w:tc>
          <w:tcPr>
            <w:tcW w:type="dxa" w:w="4680"/>
            <w:shd w:fill="F2F2F2" w:val="clear"/>
          </w:tcPr>
          <w:p>
            <w:r/>
            <w:r>
              <w:rPr>
                <w:rFonts w:ascii="Calibri" w:hAnsi="Calibri"/>
                <w:color w:val="333333"/>
                <w:sz w:val="20"/>
              </w:rPr>
              <w:t>Evidence-based knowledge about existing or emerging threats to organizational assets, including information about threat actors, attack techniques, indicators of compromise, and contextual analysis. Threat intelligence informs security decisions including detection rule development, vulnerability prioritization, and risk assessment.</w:t>
            </w:r>
          </w:p>
        </w:tc>
      </w:tr>
      <w:tr>
        <w:tc>
          <w:tcPr>
            <w:tcW w:type="dxa" w:w="4680"/>
          </w:tcPr>
          <w:p>
            <w:r/>
            <w:r>
              <w:rPr>
                <w:rFonts w:ascii="Calibri" w:hAnsi="Calibri"/>
                <w:color w:val="333333"/>
                <w:sz w:val="20"/>
              </w:rPr>
              <w:t>Privileged Access Management</w:t>
            </w:r>
          </w:p>
        </w:tc>
        <w:tc>
          <w:tcPr>
            <w:tcW w:type="dxa" w:w="4680"/>
          </w:tcPr>
          <w:p>
            <w:r/>
            <w:r>
              <w:rPr>
                <w:rFonts w:ascii="Calibri" w:hAnsi="Calibri"/>
                <w:color w:val="333333"/>
                <w:sz w:val="20"/>
              </w:rPr>
              <w:t>The security discipline and associated technology solutions for managing, controlling, monitoring, and auditing privileged accounts — accounts with elevated permissions to access, modify, or control critical systems and data. PAM includes credential vaulting, session monitoring, and just-in-time access provisioning.</w:t>
            </w:r>
          </w:p>
        </w:tc>
      </w:tr>
      <w:tr>
        <w:tc>
          <w:tcPr>
            <w:tcW w:type="dxa" w:w="4680"/>
            <w:shd w:fill="F2F2F2" w:val="clear"/>
          </w:tcPr>
          <w:p>
            <w:r/>
            <w:r>
              <w:rPr>
                <w:rFonts w:ascii="Calibri" w:hAnsi="Calibri"/>
                <w:color w:val="333333"/>
                <w:sz w:val="20"/>
              </w:rPr>
              <w:t>Penetration Testing</w:t>
            </w:r>
          </w:p>
        </w:tc>
        <w:tc>
          <w:tcPr>
            <w:tcW w:type="dxa" w:w="4680"/>
            <w:shd w:fill="F2F2F2" w:val="clear"/>
          </w:tcPr>
          <w:p>
            <w:r/>
            <w:r>
              <w:rPr>
                <w:rFonts w:ascii="Calibri" w:hAnsi="Calibri"/>
                <w:color w:val="333333"/>
                <w:sz w:val="20"/>
              </w:rPr>
              <w:t>A security assessment methodology where qualified ethical hackers simulate real-world attack scenarios against an organization's systems to identify exploitable vulnerabilities. Penetration testing provides independent technical validation of security control effectiveness beyond what self-assessment can achieve.</w:t>
            </w:r>
          </w:p>
        </w:tc>
      </w:tr>
    </w:tbl>
    <w:p/>
    <w:p>
      <w:pPr>
        <w:pStyle w:val="Heading2"/>
      </w:pPr>
      <w:r>
        <w:rPr>
          <w:rFonts w:ascii="Calibri" w:hAnsi="Calibri"/>
          <w:b/>
          <w:color w:val="1A3C6E"/>
          <w:sz w:val="32"/>
        </w:rPr>
        <w:t>7.3  Current vs Target Profile Mapping Table</w:t>
      </w:r>
    </w:p>
    <w:p>
      <w:pPr>
        <w:spacing w:before="40" w:after="160"/>
        <w:pBdr>
          <w:bottom w:val="single" w:sz="6" w:space="1" w:color="007B7F"/>
        </w:pBdr>
      </w:pPr>
    </w:p>
    <w:p>
      <w:pPr>
        <w:pStyle w:val="Heading3"/>
      </w:pPr>
      <w:r>
        <w:rPr>
          <w:rFonts w:ascii="Calibri" w:hAnsi="Calibri"/>
          <w:b/>
          <w:color w:val="007B7F"/>
          <w:sz w:val="26"/>
        </w:rPr>
        <w:t>Govern Function</w:t>
      </w:r>
    </w:p>
    <w:p>
      <w:pPr>
        <w:spacing w:after="120" w:before="0"/>
      </w:pPr>
      <w:r>
        <w:rPr>
          <w:rFonts w:ascii="Calibri" w:hAnsi="Calibri" w:eastAsia="Calibri"/>
          <w:b w:val="0"/>
          <w:i w:val="0"/>
          <w:color w:val="333333"/>
          <w:sz w:val="22"/>
        </w:rPr>
        <w:t>Current Score: 44.4% (Tier 2)</w:t>
      </w:r>
    </w:p>
    <w:p>
      <w:pPr>
        <w:spacing w:after="120" w:before="0"/>
      </w:pPr>
      <w:r>
        <w:rPr>
          <w:rFonts w:ascii="Calibri" w:hAnsi="Calibri" w:eastAsia="Calibri"/>
          <w:b w:val="0"/>
          <w:i w:val="0"/>
          <w:color w:val="333333"/>
          <w:sz w:val="22"/>
        </w:rPr>
        <w:t>Target Score: 75% (Tier 3)</w:t>
      </w:r>
    </w:p>
    <w:p>
      <w:pPr>
        <w:spacing w:after="120" w:before="0"/>
      </w:pPr>
      <w:r>
        <w:rPr>
          <w:rFonts w:ascii="Calibri" w:hAnsi="Calibri" w:eastAsia="Calibri"/>
          <w:b w:val="0"/>
          <w:i w:val="0"/>
          <w:color w:val="333333"/>
          <w:sz w:val="22"/>
        </w:rPr>
        <w:t>Gap Magnitude: 30.6%</w:t>
      </w:r>
    </w:p>
    <w:p>
      <w:pPr>
        <w:spacing w:after="120" w:before="0"/>
      </w:pPr>
      <w:r>
        <w:rPr>
          <w:rFonts w:ascii="Calibri" w:hAnsi="Calibri" w:eastAsia="Calibri"/>
          <w:b w:val="0"/>
          <w:i w:val="0"/>
          <w:color w:val="333333"/>
          <w:sz w:val="22"/>
        </w:rPr>
        <w:t>Key Gaps To Target: Formally documented and approved cybersecurity policy framework; documented risk appetite and tolerance statements; complete RACI matrix with enforced accountability; cybersecurity metrics and performance management program</w:t>
      </w:r>
    </w:p>
    <w:p>
      <w:pPr>
        <w:spacing w:after="120" w:before="0"/>
      </w:pPr>
      <w:r>
        <w:rPr>
          <w:rFonts w:ascii="Calibri" w:hAnsi="Calibri" w:eastAsia="Calibri"/>
          <w:b w:val="0"/>
          <w:i w:val="0"/>
          <w:color w:val="333333"/>
          <w:sz w:val="22"/>
        </w:rPr>
        <w:t>Improvement Actions: Policy framework development and approval; RACI matrix creation and integration into HR processes; risk appetite documentation and board approval; metrics dashboard deployment; quarterly leadership reporting cadence establishment</w:t>
      </w:r>
    </w:p>
    <w:p>
      <w:pPr>
        <w:spacing w:after="120" w:before="0"/>
      </w:pPr>
      <w:r>
        <w:rPr>
          <w:rFonts w:ascii="Calibri" w:hAnsi="Calibri" w:eastAsia="Calibri"/>
          <w:b w:val="0"/>
          <w:i w:val="0"/>
          <w:color w:val="333333"/>
          <w:sz w:val="22"/>
        </w:rPr>
        <w:t>Estimated Effort: High — 3–4 months with dedicated governance resources</w:t>
      </w:r>
    </w:p>
    <w:p>
      <w:pPr>
        <w:spacing w:after="120" w:before="0"/>
      </w:pPr>
      <w:r>
        <w:rPr>
          <w:rFonts w:ascii="Calibri" w:hAnsi="Calibri" w:eastAsia="Calibri"/>
          <w:b w:val="0"/>
          <w:i w:val="0"/>
          <w:color w:val="333333"/>
          <w:sz w:val="22"/>
        </w:rPr>
        <w:t>Priority: 1 — Highest</w:t>
      </w:r>
    </w:p>
    <w:p>
      <w:pPr>
        <w:pStyle w:val="Heading3"/>
      </w:pPr>
      <w:r>
        <w:rPr>
          <w:rFonts w:ascii="Calibri" w:hAnsi="Calibri"/>
          <w:b/>
          <w:color w:val="007B7F"/>
          <w:sz w:val="26"/>
        </w:rPr>
        <w:t>Identify Function</w:t>
      </w:r>
    </w:p>
    <w:p>
      <w:pPr>
        <w:spacing w:after="120" w:before="0"/>
      </w:pPr>
      <w:r>
        <w:rPr>
          <w:rFonts w:ascii="Calibri" w:hAnsi="Calibri" w:eastAsia="Calibri"/>
          <w:b w:val="0"/>
          <w:i w:val="0"/>
          <w:color w:val="333333"/>
          <w:sz w:val="22"/>
        </w:rPr>
        <w:t>Current Score: 50.0% (Tier 2)</w:t>
      </w:r>
    </w:p>
    <w:p>
      <w:pPr>
        <w:spacing w:after="120" w:before="0"/>
      </w:pPr>
      <w:r>
        <w:rPr>
          <w:rFonts w:ascii="Calibri" w:hAnsi="Calibri" w:eastAsia="Calibri"/>
          <w:b w:val="0"/>
          <w:i w:val="0"/>
          <w:color w:val="333333"/>
          <w:sz w:val="22"/>
        </w:rPr>
        <w:t>Target Score: 75% (Tier 3)</w:t>
      </w:r>
    </w:p>
    <w:p>
      <w:pPr>
        <w:spacing w:after="120" w:before="0"/>
      </w:pPr>
      <w:r>
        <w:rPr>
          <w:rFonts w:ascii="Calibri" w:hAnsi="Calibri" w:eastAsia="Calibri"/>
          <w:b w:val="0"/>
          <w:i w:val="0"/>
          <w:color w:val="333333"/>
          <w:sz w:val="22"/>
        </w:rPr>
        <w:t>Gap Magnitude: 25.0%</w:t>
      </w:r>
    </w:p>
    <w:p>
      <w:pPr>
        <w:spacing w:after="120" w:before="0"/>
      </w:pPr>
      <w:r>
        <w:rPr>
          <w:rFonts w:ascii="Calibri" w:hAnsi="Calibri" w:eastAsia="Calibri"/>
          <w:b w:val="0"/>
          <w:i w:val="0"/>
          <w:color w:val="333333"/>
          <w:sz w:val="22"/>
        </w:rPr>
        <w:t>Key Gaps To Target: Formal risk register with documented likelihood and impact assessments; change risk assessment integration; software and hardware authenticity verification controls; automated vulnerability scanning program</w:t>
      </w:r>
    </w:p>
    <w:p>
      <w:pPr>
        <w:spacing w:after="120" w:before="0"/>
      </w:pPr>
      <w:r>
        <w:rPr>
          <w:rFonts w:ascii="Calibri" w:hAnsi="Calibri" w:eastAsia="Calibri"/>
          <w:b w:val="0"/>
          <w:i w:val="0"/>
          <w:color w:val="333333"/>
          <w:sz w:val="22"/>
        </w:rPr>
        <w:t>Improvement Actions: Risk register implementation with owner assignment; change management security integration; authenticity verification process development; vulnerability scanning program establishment with asset-criticality-aligned frequency</w:t>
      </w:r>
    </w:p>
    <w:p>
      <w:pPr>
        <w:spacing w:after="120" w:before="0"/>
      </w:pPr>
      <w:r>
        <w:rPr>
          <w:rFonts w:ascii="Calibri" w:hAnsi="Calibri" w:eastAsia="Calibri"/>
          <w:b w:val="0"/>
          <w:i w:val="0"/>
          <w:color w:val="333333"/>
          <w:sz w:val="22"/>
        </w:rPr>
        <w:t>Estimated Effort: Medium — 2–3 months with IT and risk management resources</w:t>
      </w:r>
    </w:p>
    <w:p>
      <w:pPr>
        <w:spacing w:after="120" w:before="0"/>
      </w:pPr>
      <w:r>
        <w:rPr>
          <w:rFonts w:ascii="Calibri" w:hAnsi="Calibri" w:eastAsia="Calibri"/>
          <w:b w:val="0"/>
          <w:i w:val="0"/>
          <w:color w:val="333333"/>
          <w:sz w:val="22"/>
        </w:rPr>
        <w:t>Priority: 3 — High</w:t>
      </w:r>
    </w:p>
    <w:p>
      <w:pPr>
        <w:pStyle w:val="Heading3"/>
      </w:pPr>
      <w:r>
        <w:rPr>
          <w:rFonts w:ascii="Calibri" w:hAnsi="Calibri"/>
          <w:b/>
          <w:color w:val="007B7F"/>
          <w:sz w:val="26"/>
        </w:rPr>
        <w:t>Protect Function</w:t>
      </w:r>
    </w:p>
    <w:p>
      <w:pPr>
        <w:spacing w:after="120" w:before="0"/>
      </w:pPr>
      <w:r>
        <w:rPr>
          <w:rFonts w:ascii="Calibri" w:hAnsi="Calibri" w:eastAsia="Calibri"/>
          <w:b w:val="0"/>
          <w:i w:val="0"/>
          <w:color w:val="333333"/>
          <w:sz w:val="22"/>
        </w:rPr>
        <w:t>Current Score: 45.6% (Tier 2)</w:t>
      </w:r>
    </w:p>
    <w:p>
      <w:pPr>
        <w:spacing w:after="120" w:before="0"/>
      </w:pPr>
      <w:r>
        <w:rPr>
          <w:rFonts w:ascii="Calibri" w:hAnsi="Calibri" w:eastAsia="Calibri"/>
          <w:b w:val="0"/>
          <w:i w:val="0"/>
          <w:color w:val="333333"/>
          <w:sz w:val="22"/>
        </w:rPr>
        <w:t>Target Score: 75% (Tier 3)</w:t>
      </w:r>
    </w:p>
    <w:p>
      <w:pPr>
        <w:spacing w:after="120" w:before="0"/>
      </w:pPr>
      <w:r>
        <w:rPr>
          <w:rFonts w:ascii="Calibri" w:hAnsi="Calibri" w:eastAsia="Calibri"/>
          <w:b w:val="0"/>
          <w:i w:val="0"/>
          <w:color w:val="333333"/>
          <w:sz w:val="22"/>
        </w:rPr>
        <w:t>Gap Magnitude: 29.4%</w:t>
      </w:r>
    </w:p>
    <w:p>
      <w:pPr>
        <w:spacing w:after="120" w:before="0"/>
      </w:pPr>
      <w:r>
        <w:rPr>
          <w:rFonts w:ascii="Calibri" w:hAnsi="Calibri" w:eastAsia="Calibri"/>
          <w:b w:val="0"/>
          <w:i w:val="0"/>
          <w:color w:val="333333"/>
          <w:sz w:val="22"/>
        </w:rPr>
        <w:t>Key Gaps To Target: Centralized logging and SIEM deployment; configuration management with secure baselines; complete network protection controls; formal patch management program; application security integration</w:t>
      </w:r>
    </w:p>
    <w:p>
      <w:pPr>
        <w:spacing w:after="120" w:before="0"/>
      </w:pPr>
      <w:r>
        <w:rPr>
          <w:rFonts w:ascii="Calibri" w:hAnsi="Calibri" w:eastAsia="Calibri"/>
          <w:b w:val="0"/>
          <w:i w:val="0"/>
          <w:color w:val="333333"/>
          <w:sz w:val="22"/>
        </w:rPr>
        <w:t>Improvement Actions: SIEM platform procurement and deployment; CIS Benchmark-based configuration baseline development; network segmentation completion; patch management policy and tooling implementation; SDLC security gate integration</w:t>
      </w:r>
    </w:p>
    <w:p>
      <w:pPr>
        <w:spacing w:after="120" w:before="0"/>
      </w:pPr>
      <w:r>
        <w:rPr>
          <w:rFonts w:ascii="Calibri" w:hAnsi="Calibri" w:eastAsia="Calibri"/>
          <w:b w:val="0"/>
          <w:i w:val="0"/>
          <w:color w:val="333333"/>
          <w:sz w:val="22"/>
        </w:rPr>
        <w:t>Estimated Effort: High — 4–6 months with significant technical and budget resources</w:t>
      </w:r>
    </w:p>
    <w:p>
      <w:pPr>
        <w:spacing w:after="120" w:before="0"/>
      </w:pPr>
      <w:r>
        <w:rPr>
          <w:rFonts w:ascii="Calibri" w:hAnsi="Calibri" w:eastAsia="Calibri"/>
          <w:b w:val="0"/>
          <w:i w:val="0"/>
          <w:color w:val="333333"/>
          <w:sz w:val="22"/>
        </w:rPr>
        <w:t>Priority: 2 — Highest</w:t>
      </w:r>
    </w:p>
    <w:p>
      <w:pPr>
        <w:pStyle w:val="Heading3"/>
      </w:pPr>
      <w:r>
        <w:rPr>
          <w:rFonts w:ascii="Calibri" w:hAnsi="Calibri"/>
          <w:b/>
          <w:color w:val="007B7F"/>
          <w:sz w:val="26"/>
        </w:rPr>
        <w:t>Detect Function</w:t>
      </w:r>
    </w:p>
    <w:p>
      <w:pPr>
        <w:spacing w:after="120" w:before="0"/>
      </w:pPr>
      <w:r>
        <w:rPr>
          <w:rFonts w:ascii="Calibri" w:hAnsi="Calibri" w:eastAsia="Calibri"/>
          <w:b w:val="0"/>
          <w:i w:val="0"/>
          <w:color w:val="333333"/>
          <w:sz w:val="22"/>
        </w:rPr>
        <w:t>Current Score: 50.0% (Tier 2)</w:t>
      </w:r>
    </w:p>
    <w:p>
      <w:pPr>
        <w:spacing w:after="120" w:before="0"/>
      </w:pPr>
      <w:r>
        <w:rPr>
          <w:rFonts w:ascii="Calibri" w:hAnsi="Calibri" w:eastAsia="Calibri"/>
          <w:b w:val="0"/>
          <w:i w:val="0"/>
          <w:color w:val="333333"/>
          <w:sz w:val="22"/>
        </w:rPr>
        <w:t>Target Score: 75% (Tier 3)</w:t>
      </w:r>
    </w:p>
    <w:p>
      <w:pPr>
        <w:spacing w:after="120" w:before="0"/>
      </w:pPr>
      <w:r>
        <w:rPr>
          <w:rFonts w:ascii="Calibri" w:hAnsi="Calibri" w:eastAsia="Calibri"/>
          <w:b w:val="0"/>
          <w:i w:val="0"/>
          <w:color w:val="333333"/>
          <w:sz w:val="22"/>
        </w:rPr>
        <w:t>Gap Magnitude: 25.0%</w:t>
      </w:r>
    </w:p>
    <w:p>
      <w:pPr>
        <w:spacing w:after="120" w:before="0"/>
      </w:pPr>
      <w:r>
        <w:rPr>
          <w:rFonts w:ascii="Calibri" w:hAnsi="Calibri" w:eastAsia="Calibri"/>
          <w:b w:val="0"/>
          <w:i w:val="0"/>
          <w:color w:val="333333"/>
          <w:sz w:val="22"/>
        </w:rPr>
        <w:t>Key Gaps To Target: Formal incident declaration criteria with severity classification; physical environment monitoring; standardized event analysis methodology; MITRE ATT&amp;CK-based detection gap analysis</w:t>
      </w:r>
    </w:p>
    <w:p>
      <w:pPr>
        <w:spacing w:after="120" w:before="0"/>
      </w:pPr>
      <w:r>
        <w:rPr>
          <w:rFonts w:ascii="Calibri" w:hAnsi="Calibri" w:eastAsia="Calibri"/>
          <w:b w:val="0"/>
          <w:i w:val="0"/>
          <w:color w:val="333333"/>
          <w:sz w:val="22"/>
        </w:rPr>
        <w:t>Improvement Actions: Incident declaration criteria documentation; physical security monitoring deployment; analysis playbook library development; detection gap analysis execution; SIEM deployment enabling correlation capability</w:t>
      </w:r>
    </w:p>
    <w:p>
      <w:pPr>
        <w:spacing w:after="120" w:before="0"/>
      </w:pPr>
      <w:r>
        <w:rPr>
          <w:rFonts w:ascii="Calibri" w:hAnsi="Calibri" w:eastAsia="Calibri"/>
          <w:b w:val="0"/>
          <w:i w:val="0"/>
          <w:color w:val="333333"/>
          <w:sz w:val="22"/>
        </w:rPr>
        <w:t>Estimated Effort: Medium — 2–4 months with monitoring team resources</w:t>
      </w:r>
    </w:p>
    <w:p>
      <w:pPr>
        <w:spacing w:after="120" w:before="0"/>
      </w:pPr>
      <w:r>
        <w:rPr>
          <w:rFonts w:ascii="Calibri" w:hAnsi="Calibri" w:eastAsia="Calibri"/>
          <w:b w:val="0"/>
          <w:i w:val="0"/>
          <w:color w:val="333333"/>
          <w:sz w:val="22"/>
        </w:rPr>
        <w:t>Priority: 4 — High</w:t>
      </w:r>
    </w:p>
    <w:p>
      <w:pPr>
        <w:pStyle w:val="Heading3"/>
      </w:pPr>
      <w:r>
        <w:rPr>
          <w:rFonts w:ascii="Calibri" w:hAnsi="Calibri"/>
          <w:b/>
          <w:color w:val="007B7F"/>
          <w:sz w:val="26"/>
        </w:rPr>
        <w:t>Respond Function</w:t>
      </w:r>
    </w:p>
    <w:p>
      <w:pPr>
        <w:spacing w:after="120" w:before="0"/>
      </w:pPr>
      <w:r>
        <w:rPr>
          <w:rFonts w:ascii="Calibri" w:hAnsi="Calibri" w:eastAsia="Calibri"/>
          <w:b w:val="0"/>
          <w:i w:val="0"/>
          <w:color w:val="333333"/>
          <w:sz w:val="22"/>
        </w:rPr>
        <w:t>Current Score: 54.5% (Tier 2)</w:t>
      </w:r>
    </w:p>
    <w:p>
      <w:pPr>
        <w:spacing w:after="120" w:before="0"/>
      </w:pPr>
      <w:r>
        <w:rPr>
          <w:rFonts w:ascii="Calibri" w:hAnsi="Calibri" w:eastAsia="Calibri"/>
          <w:b w:val="0"/>
          <w:i w:val="0"/>
          <w:color w:val="333333"/>
          <w:sz w:val="22"/>
        </w:rPr>
        <w:t>Target Score: 75% (Tier 3)</w:t>
      </w:r>
    </w:p>
    <w:p>
      <w:pPr>
        <w:spacing w:after="120" w:before="0"/>
      </w:pPr>
      <w:r>
        <w:rPr>
          <w:rFonts w:ascii="Calibri" w:hAnsi="Calibri" w:eastAsia="Calibri"/>
          <w:b w:val="0"/>
          <w:i w:val="0"/>
          <w:color w:val="333333"/>
          <w:sz w:val="22"/>
        </w:rPr>
        <w:t>Gap Magnitude: 20.5%</w:t>
      </w:r>
    </w:p>
    <w:p>
      <w:pPr>
        <w:spacing w:after="120" w:before="0"/>
      </w:pPr>
      <w:r>
        <w:rPr>
          <w:rFonts w:ascii="Calibri" w:hAnsi="Calibri" w:eastAsia="Calibri"/>
          <w:b w:val="0"/>
          <w:i w:val="0"/>
          <w:color w:val="333333"/>
          <w:sz w:val="22"/>
        </w:rPr>
        <w:t>Key Gaps To Target: Formally documented incident response plan; type-specific response playbooks; incident report validation process; systematic post-incident improvement program</w:t>
      </w:r>
    </w:p>
    <w:p>
      <w:pPr>
        <w:spacing w:after="120" w:before="0"/>
      </w:pPr>
      <w:r>
        <w:rPr>
          <w:rFonts w:ascii="Calibri" w:hAnsi="Calibri" w:eastAsia="Calibri"/>
          <w:b w:val="0"/>
          <w:i w:val="0"/>
          <w:color w:val="333333"/>
          <w:sz w:val="22"/>
        </w:rPr>
        <w:t>Improvement Actions: Incident response plan development and approval; playbook creation for top incident types; IR team establishment with defined roles; tabletop exercise program; post-incident review process formalization</w:t>
      </w:r>
    </w:p>
    <w:p>
      <w:pPr>
        <w:spacing w:after="120" w:before="0"/>
      </w:pPr>
      <w:r>
        <w:rPr>
          <w:rFonts w:ascii="Calibri" w:hAnsi="Calibri" w:eastAsia="Calibri"/>
          <w:b w:val="0"/>
          <w:i w:val="0"/>
          <w:color w:val="333333"/>
          <w:sz w:val="22"/>
        </w:rPr>
        <w:t>Estimated Effort: Medium-High — 2–3 months, primarily documentation and exercise effort</w:t>
      </w:r>
    </w:p>
    <w:p>
      <w:pPr>
        <w:spacing w:after="120" w:before="0"/>
      </w:pPr>
      <w:r>
        <w:rPr>
          <w:rFonts w:ascii="Calibri" w:hAnsi="Calibri" w:eastAsia="Calibri"/>
          <w:b w:val="0"/>
          <w:i w:val="0"/>
          <w:color w:val="333333"/>
          <w:sz w:val="22"/>
        </w:rPr>
        <w:t>Priority: 1 — Highest (equal with Govern)</w:t>
      </w:r>
    </w:p>
    <w:p>
      <w:pPr>
        <w:pStyle w:val="Heading3"/>
      </w:pPr>
      <w:r>
        <w:rPr>
          <w:rFonts w:ascii="Calibri" w:hAnsi="Calibri"/>
          <w:b/>
          <w:color w:val="007B7F"/>
          <w:sz w:val="26"/>
        </w:rPr>
        <w:t>Recover Function</w:t>
      </w:r>
    </w:p>
    <w:p>
      <w:pPr>
        <w:spacing w:after="120" w:before="0"/>
      </w:pPr>
      <w:r>
        <w:rPr>
          <w:rFonts w:ascii="Calibri" w:hAnsi="Calibri" w:eastAsia="Calibri"/>
          <w:b w:val="0"/>
          <w:i w:val="0"/>
          <w:color w:val="333333"/>
          <w:sz w:val="22"/>
        </w:rPr>
        <w:t>Current Score: 52.4% (Tier 2)</w:t>
      </w:r>
    </w:p>
    <w:p>
      <w:pPr>
        <w:spacing w:after="120" w:before="0"/>
      </w:pPr>
      <w:r>
        <w:rPr>
          <w:rFonts w:ascii="Calibri" w:hAnsi="Calibri" w:eastAsia="Calibri"/>
          <w:b w:val="0"/>
          <w:i w:val="0"/>
          <w:color w:val="333333"/>
          <w:sz w:val="22"/>
        </w:rPr>
        <w:t>Target Score: 75% (Tier 3)</w:t>
      </w:r>
    </w:p>
    <w:p>
      <w:pPr>
        <w:spacing w:after="120" w:before="0"/>
      </w:pPr>
      <w:r>
        <w:rPr>
          <w:rFonts w:ascii="Calibri" w:hAnsi="Calibri" w:eastAsia="Calibri"/>
          <w:b w:val="0"/>
          <w:i w:val="0"/>
          <w:color w:val="333333"/>
          <w:sz w:val="22"/>
        </w:rPr>
        <w:t>Gap Magnitude: 22.6%</w:t>
      </w:r>
    </w:p>
    <w:p>
      <w:pPr>
        <w:spacing w:after="120" w:before="0"/>
      </w:pPr>
      <w:r>
        <w:rPr>
          <w:rFonts w:ascii="Calibri" w:hAnsi="Calibri" w:eastAsia="Calibri"/>
          <w:b w:val="0"/>
          <w:i w:val="0"/>
          <w:color w:val="333333"/>
          <w:sz w:val="22"/>
        </w:rPr>
        <w:t>Key Gaps To Target: Formal recovery communication framework; consistent backup verification and restoration testing; systematic post-recovery reassessment; recovery plan integration with incident response</w:t>
      </w:r>
    </w:p>
    <w:p>
      <w:pPr>
        <w:spacing w:after="120" w:before="0"/>
      </w:pPr>
      <w:r>
        <w:rPr>
          <w:rFonts w:ascii="Calibri" w:hAnsi="Calibri" w:eastAsia="Calibri"/>
          <w:b w:val="0"/>
          <w:i w:val="0"/>
          <w:color w:val="333333"/>
          <w:sz w:val="22"/>
        </w:rPr>
        <w:t>Improvement Actions: Recovery communication framework documentation; quarterly backup restoration test program; post-recovery reassessment framework; IR and recovery plan integration; annual full recovery exercise</w:t>
      </w:r>
    </w:p>
    <w:p>
      <w:pPr>
        <w:spacing w:after="120" w:before="0"/>
      </w:pPr>
      <w:r>
        <w:rPr>
          <w:rFonts w:ascii="Calibri" w:hAnsi="Calibri" w:eastAsia="Calibri"/>
          <w:b w:val="0"/>
          <w:i w:val="0"/>
          <w:color w:val="333333"/>
          <w:sz w:val="22"/>
        </w:rPr>
        <w:t>Estimated Effort: Medium — 2–3 months with IT and communications resources</w:t>
      </w:r>
    </w:p>
    <w:p>
      <w:pPr>
        <w:spacing w:after="120" w:before="0"/>
      </w:pPr>
      <w:r>
        <w:rPr>
          <w:rFonts w:ascii="Calibri" w:hAnsi="Calibri" w:eastAsia="Calibri"/>
          <w:b w:val="0"/>
          <w:i w:val="0"/>
          <w:color w:val="333333"/>
          <w:sz w:val="22"/>
        </w:rPr>
        <w:t>Priority: 5 — Moderate-High</w:t>
      </w:r>
    </w:p>
    <w:p>
      <w:pPr>
        <w:pStyle w:val="Heading3"/>
      </w:pPr>
      <w:r>
        <w:rPr>
          <w:rFonts w:ascii="Calibri" w:hAnsi="Calibri"/>
          <w:b/>
          <w:color w:val="007B7F"/>
          <w:sz w:val="26"/>
        </w:rPr>
        <w:t>Overall Summary</w:t>
      </w:r>
    </w:p>
    <w:p>
      <w:pPr>
        <w:spacing w:after="120" w:before="0"/>
      </w:pPr>
      <w:r>
        <w:rPr>
          <w:rFonts w:ascii="Calibri" w:hAnsi="Calibri" w:eastAsia="Calibri"/>
          <w:b w:val="0"/>
          <w:i w:val="0"/>
          <w:color w:val="333333"/>
          <w:sz w:val="22"/>
        </w:rPr>
        <w:t>Current Overall Score: 48.3% (Tier 2)</w:t>
      </w:r>
    </w:p>
    <w:p>
      <w:pPr>
        <w:spacing w:after="120" w:before="0"/>
      </w:pPr>
      <w:r>
        <w:rPr>
          <w:rFonts w:ascii="Calibri" w:hAnsi="Calibri" w:eastAsia="Calibri"/>
          <w:b w:val="0"/>
          <w:i w:val="0"/>
          <w:color w:val="333333"/>
          <w:sz w:val="22"/>
        </w:rPr>
        <w:t>Target Overall Score: 75% (Tier 3)</w:t>
      </w:r>
    </w:p>
    <w:p>
      <w:pPr>
        <w:spacing w:after="120" w:before="0"/>
      </w:pPr>
      <w:r>
        <w:rPr>
          <w:rFonts w:ascii="Calibri" w:hAnsi="Calibri" w:eastAsia="Calibri"/>
          <w:b w:val="0"/>
          <w:i w:val="0"/>
          <w:color w:val="333333"/>
          <w:sz w:val="22"/>
        </w:rPr>
        <w:t>Total Gap: 26.7%</w:t>
      </w:r>
    </w:p>
    <w:p>
      <w:pPr>
        <w:spacing w:after="120" w:before="0"/>
      </w:pPr>
      <w:r>
        <w:rPr>
          <w:rFonts w:ascii="Calibri" w:hAnsi="Calibri" w:eastAsia="Calibri"/>
          <w:b w:val="0"/>
          <w:i w:val="0"/>
          <w:color w:val="333333"/>
          <w:sz w:val="22"/>
        </w:rPr>
        <w:t>Estimated Time To Target: 12–18 months with dedicated resources, executive sponsorship, and appropriate budget allocation</w:t>
      </w:r>
    </w:p>
    <w:p>
      <w:pPr>
        <w:spacing w:after="120" w:before="0"/>
      </w:pPr>
      <w:r>
        <w:rPr>
          <w:rFonts w:ascii="Calibri" w:hAnsi="Calibri" w:eastAsia="Calibri"/>
          <w:b w:val="0"/>
          <w:i w:val="0"/>
          <w:color w:val="333333"/>
          <w:sz w:val="22"/>
        </w:rPr>
        <w:t>Priority Actions: 1. Incident response plan development — 30 days | 2. Governance policy framework — 90 days | 3. Logging and SIEM deployment — 120 days | 4. Configuration management baseline — 180 days | 5. Network protection completion — 180 days</w:t>
      </w:r>
    </w:p>
    <w:p>
      <w:pPr>
        <w:spacing w:after="120" w:before="0"/>
      </w:pPr>
      <w:r>
        <w:rPr>
          <w:rFonts w:ascii="Calibri" w:hAnsi="Calibri" w:eastAsia="Calibri"/>
          <w:b w:val="0"/>
          <w:i w:val="0"/>
          <w:color w:val="333333"/>
          <w:sz w:val="22"/>
        </w:rPr>
        <w:t>Resource Requirements: Estimated 1.5 FTE dedicated security resources for 12 months, supplemented by specialist consultancy for penetration testing, SIEM deployment, and policy framework development. Budget estimation: $150,000–$250,000 for tooling, consulting, and training over 18 months.</w:t>
      </w:r>
    </w:p>
    <w:p>
      <w:pPr>
        <w:spacing w:after="120" w:before="0"/>
      </w:pPr>
      <w:r>
        <w:rPr>
          <w:rFonts w:ascii="Calibri" w:hAnsi="Calibri" w:eastAsia="Calibri"/>
          <w:b w:val="0"/>
          <w:i w:val="0"/>
          <w:color w:val="333333"/>
          <w:sz w:val="22"/>
        </w:rPr>
        <w:t>Success Criteria: Achievement of 70%+ maturity across all six functions in the Q1 2028 NIST CSF reassessment, formal Tier 3 designation, documented and tested incident response plan, deployed SIEM with 90-day operational history, and approved governance policy framework with employee acknowledgement.</w:t>
      </w:r>
    </w:p>
    <w:sectPr w:rsidR="00FC693F" w:rsidRPr="0006063C" w:rsidSect="00034616">
      <w:footerReference w:type="default" r:id="rId9"/>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66666"/>
        <w:sz w:val="16"/>
      </w:rPr>
      <w:t xml:space="preserve">CONFIDENTIAL  |  Urbego Cybersecurity  |  NIST CSF 2.0 Audit Report  |  Page </w:t>
    </w:r>
    <w:r>
      <w:fldChar w:fldCharType="begin"/>
    </w:r>
    <w:r>
      <w:rPr>
        <w:rFonts w:ascii="Calibri" w:hAnsi="Calibri"/>
        <w:color w:val="666666"/>
        <w:sz w:val="16"/>
      </w:rPr>
      <w:instrText xml:space="preserve"> PAGE </w:instrTex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