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200" w:after="240"/>
        <w:jc w:val="center"/>
      </w:pPr>
      <w:r>
        <w:rPr>
          <w:rFonts w:ascii="Times New Roman" w:hAnsi="Times New Roman"/>
          <w:b/>
          <w:i w:val="0"/>
          <w:sz w:val="48"/>
          <w:rFonts w:ascii="Times New Roman" w:hAnsi="Times New Roman" w:cs="Times New Roman"/>
          <w:rFonts w:ascii="Times New Roman" w:hAnsi="Times New Roman" w:cs="Times New Roman"/>
        </w:rPr>
        <w:t>SMARTCITY AI: INTEGRATED MULTI-AGENCY URBAN GOVERNANCE &amp; DIGITAL TWIN PLATFORM</w:t>
      </w:r>
    </w:p>
    <w:p>
      <w:pPr>
        <w:spacing w:line="360" w:lineRule="auto" w:before="0" w:after="80"/>
        <w:jc w:val="center"/>
      </w:pPr>
      <w:r>
        <w:rPr>
          <w:rFonts w:ascii="Times New Roman" w:hAnsi="Times New Roman"/>
          <w:b/>
          <w:i w:val="0"/>
          <w:sz w:val="28"/>
          <w:rFonts w:ascii="Times New Roman" w:hAnsi="Times New Roman" w:cs="Times New Roman"/>
          <w:rFonts w:ascii="Times New Roman" w:hAnsi="Times New Roman" w:cs="Times New Roman"/>
        </w:rPr>
        <w:t>PROJECT SYNOPSIS</w:t>
      </w:r>
    </w:p>
    <w:p>
      <w:pPr>
        <w:spacing w:line="360" w:lineRule="auto" w:before="0" w:after="240"/>
        <w:jc w:val="center"/>
      </w:pPr>
      <w:r>
        <w:rPr>
          <w:rFonts w:ascii="Times New Roman" w:hAnsi="Times New Roman"/>
          <w:b w:val="0"/>
          <w:i w:val="0"/>
          <w:sz w:val="24"/>
          <w:rFonts w:ascii="Times New Roman" w:hAnsi="Times New Roman" w:cs="Times New Roman"/>
          <w:rFonts w:ascii="Times New Roman" w:hAnsi="Times New Roman" w:cs="Times New Roman"/>
        </w:rPr>
        <w:t>Of MAJOR PROJECT</w:t>
      </w:r>
    </w:p>
    <w:p>
      <w:pPr>
        <w:spacing w:line="360" w:lineRule="auto" w:before="0" w:after="80"/>
        <w:jc w:val="center"/>
      </w:pPr>
      <w:r>
        <w:rPr>
          <w:rFonts w:ascii="Times New Roman" w:hAnsi="Times New Roman"/>
          <w:b/>
          <w:i w:val="0"/>
          <w:sz w:val="28"/>
          <w:rFonts w:ascii="Times New Roman" w:hAnsi="Times New Roman" w:cs="Times New Roman"/>
          <w:rFonts w:ascii="Times New Roman" w:hAnsi="Times New Roman" w:cs="Times New Roman"/>
        </w:rPr>
        <w:t>BACHELOR OF TECHNOLOGY</w:t>
      </w:r>
    </w:p>
    <w:p>
      <w:pPr>
        <w:spacing w:line="360" w:lineRule="auto" w:before="0" w:after="280"/>
        <w:jc w:val="center"/>
      </w:pPr>
      <w:r>
        <w:rPr>
          <w:rFonts w:ascii="Times New Roman" w:hAnsi="Times New Roman"/>
          <w:b w:val="0"/>
          <w:i w:val="0"/>
          <w:sz w:val="32"/>
          <w:rFonts w:ascii="Times New Roman" w:hAnsi="Times New Roman" w:cs="Times New Roman"/>
          <w:rFonts w:ascii="Times New Roman" w:hAnsi="Times New Roman" w:cs="Times New Roman"/>
        </w:rPr>
        <w:t>Computer Science and Engineering</w:t>
      </w:r>
    </w:p>
    <w:p>
      <w:pPr>
        <w:spacing w:before="80" w:after="280"/>
        <w:jc w:val="center"/>
      </w:pPr>
      <w:r>
        <w:rPr>
          <w:rFonts w:ascii="Times New Roman" w:hAnsi="Times New Roman"/>
          <w:rFonts w:ascii="Times New Roman" w:hAnsi="Times New Roman" w:cs="Times New Roman"/>
        </w:rPr>
        <w:drawing>
          <wp:inline xmlns:a="http://schemas.openxmlformats.org/drawingml/2006/main" xmlns:pic="http://schemas.openxmlformats.org/drawingml/2006/picture">
            <wp:extent cx="1645920" cy="1473753"/>
            <wp:docPr id="1" name="Picture 1"/>
            <wp:cNvGraphicFramePr>
              <a:graphicFrameLocks noChangeAspect="1"/>
            </wp:cNvGraphicFramePr>
            <a:graphic>
              <a:graphicData uri="http://schemas.openxmlformats.org/drawingml/2006/picture">
                <pic:pic>
                  <pic:nvPicPr>
                    <pic:cNvPr id="0" name="college_logo.png"/>
                    <pic:cNvPicPr/>
                  </pic:nvPicPr>
                  <pic:blipFill>
                    <a:blip r:embed="rId10"/>
                    <a:stretch>
                      <a:fillRect/>
                    </a:stretch>
                  </pic:blipFill>
                  <pic:spPr>
                    <a:xfrm>
                      <a:off x="0" y="0"/>
                      <a:ext cx="1645920" cy="1473753"/>
                    </a:xfrm>
                    <a:prstGeom prst="rect"/>
                  </pic:spPr>
                </pic:pic>
              </a:graphicData>
            </a:graphic>
          </wp:inline>
        </w:drawing>
      </w:r>
    </w:p>
    <w:p>
      <w:pPr>
        <w:spacing w:line="360" w:lineRule="auto" w:before="0" w:after="80"/>
        <w:jc w:val="center"/>
      </w:pPr>
      <w:r>
        <w:rPr>
          <w:rFonts w:ascii="Times New Roman" w:hAnsi="Times New Roman"/>
          <w:b/>
          <w:i w:val="0"/>
          <w:sz w:val="24"/>
          <w:rFonts w:ascii="Times New Roman" w:hAnsi="Times New Roman" w:cs="Times New Roman"/>
          <w:rFonts w:ascii="Times New Roman" w:hAnsi="Times New Roman" w:cs="Times New Roman"/>
        </w:rPr>
        <w:t>SUBMITTED BY</w:t>
      </w:r>
    </w:p>
    <w:p>
      <w:pPr>
        <w:spacing w:line="360" w:lineRule="auto" w:before="0" w:after="280"/>
        <w:jc w:val="center"/>
      </w:pPr>
      <w:r>
        <w:rPr>
          <w:rFonts w:ascii="Times New Roman" w:hAnsi="Times New Roman"/>
          <w:b w:val="0"/>
          <w:i w:val="0"/>
          <w:sz w:val="28"/>
          <w:rFonts w:ascii="Times New Roman" w:hAnsi="Times New Roman" w:cs="Times New Roman"/>
          <w:rFonts w:ascii="Times New Roman" w:hAnsi="Times New Roman" w:cs="Times New Roman"/>
        </w:rPr>
        <w:t>Omkar Yadav - Roll No: 22052501000XX</w:t>
      </w:r>
    </w:p>
    <w:p>
      <w:pPr>
        <w:spacing w:line="360" w:lineRule="auto" w:before="0" w:after="40"/>
        <w:jc w:val="center"/>
      </w:pPr>
      <w:r>
        <w:rPr>
          <w:rFonts w:ascii="Times New Roman" w:hAnsi="Times New Roman"/>
          <w:b/>
          <w:i w:val="0"/>
          <w:sz w:val="26"/>
          <w:rFonts w:ascii="Times New Roman" w:hAnsi="Times New Roman" w:cs="Times New Roman"/>
          <w:rFonts w:ascii="Times New Roman" w:hAnsi="Times New Roman" w:cs="Times New Roman"/>
        </w:rPr>
        <w:t>Under the supervision of</w:t>
      </w:r>
    </w:p>
    <w:p>
      <w:pPr>
        <w:spacing w:line="360" w:lineRule="auto" w:before="0" w:after="40"/>
        <w:jc w:val="center"/>
      </w:pPr>
      <w:r>
        <w:rPr>
          <w:rFonts w:ascii="Times New Roman" w:hAnsi="Times New Roman"/>
          <w:b/>
          <w:i w:val="0"/>
          <w:sz w:val="26"/>
          <w:rFonts w:ascii="Times New Roman" w:hAnsi="Times New Roman" w:cs="Times New Roman"/>
          <w:rFonts w:ascii="Times New Roman" w:hAnsi="Times New Roman" w:cs="Times New Roman"/>
        </w:rPr>
        <w:t>Guide Name</w:t>
      </w:r>
    </w:p>
    <w:p>
      <w:pPr>
        <w:spacing w:line="360" w:lineRule="auto" w:before="0" w:after="440"/>
        <w:jc w:val="center"/>
      </w:pPr>
      <w:r>
        <w:rPr>
          <w:rFonts w:ascii="Times New Roman" w:hAnsi="Times New Roman"/>
          <w:b w:val="0"/>
          <w:i w:val="0"/>
          <w:sz w:val="24"/>
          <w:rFonts w:ascii="Times New Roman" w:hAnsi="Times New Roman" w:cs="Times New Roman"/>
          <w:rFonts w:ascii="Times New Roman" w:hAnsi="Times New Roman" w:cs="Times New Roman"/>
        </w:rPr>
        <w:t>(Assistant Professor / Associate Professor)</w:t>
      </w:r>
    </w:p>
    <w:p>
      <w:pPr>
        <w:spacing w:line="360" w:lineRule="auto" w:before="0" w:after="40"/>
        <w:jc w:val="center"/>
      </w:pPr>
      <w:r>
        <w:rPr>
          <w:rFonts w:ascii="Times New Roman" w:hAnsi="Times New Roman"/>
          <w:b/>
          <w:i w:val="0"/>
          <w:sz w:val="36"/>
          <w:rFonts w:ascii="Times New Roman" w:hAnsi="Times New Roman" w:cs="Times New Roman"/>
          <w:rFonts w:ascii="Times New Roman" w:hAnsi="Times New Roman" w:cs="Times New Roman"/>
        </w:rPr>
        <w:t>Buddha Institute of Technology GIDA, Gorakhpur</w:t>
      </w:r>
    </w:p>
    <w:p>
      <w:pPr>
        <w:spacing w:line="360" w:lineRule="auto" w:before="0" w:after="40"/>
        <w:jc w:val="center"/>
      </w:pPr>
      <w:r>
        <w:rPr>
          <w:rFonts w:ascii="Times New Roman" w:hAnsi="Times New Roman"/>
          <w:b w:val="0"/>
          <w:i w:val="0"/>
          <w:sz w:val="32"/>
          <w:rFonts w:ascii="Times New Roman" w:hAnsi="Times New Roman" w:cs="Times New Roman"/>
          <w:rFonts w:ascii="Times New Roman" w:hAnsi="Times New Roman" w:cs="Times New Roman"/>
        </w:rPr>
        <w:t>Affiliated to</w:t>
      </w:r>
    </w:p>
    <w:p>
      <w:pPr>
        <w:spacing w:line="360" w:lineRule="auto" w:before="0" w:after="40"/>
        <w:jc w:val="center"/>
      </w:pPr>
      <w:r>
        <w:rPr>
          <w:rFonts w:ascii="Times New Roman" w:hAnsi="Times New Roman"/>
          <w:b/>
          <w:i w:val="0"/>
          <w:sz w:val="36"/>
          <w:rFonts w:ascii="Times New Roman" w:hAnsi="Times New Roman" w:cs="Times New Roman"/>
          <w:rFonts w:ascii="Times New Roman" w:hAnsi="Times New Roman" w:cs="Times New Roman"/>
        </w:rPr>
        <w:t>Dr. A.P.J. Abdul Kalam Technical University</w:t>
      </w:r>
    </w:p>
    <w:p>
      <w:pPr>
        <w:spacing w:line="360" w:lineRule="auto" w:before="0" w:after="160"/>
        <w:jc w:val="center"/>
      </w:pPr>
      <w:r>
        <w:rPr>
          <w:rFonts w:ascii="Times New Roman" w:hAnsi="Times New Roman"/>
          <w:b/>
          <w:i w:val="0"/>
          <w:sz w:val="36"/>
          <w:rFonts w:ascii="Times New Roman" w:hAnsi="Times New Roman" w:cs="Times New Roman"/>
          <w:rFonts w:ascii="Times New Roman" w:hAnsi="Times New Roman" w:cs="Times New Roman"/>
        </w:rPr>
        <w:t>Uttar Pradesh, Lucknow</w:t>
      </w:r>
    </w:p>
    <w:p>
      <w:pPr>
        <w:spacing w:line="360" w:lineRule="auto" w:before="0" w:after="0"/>
        <w:jc w:val="center"/>
      </w:pPr>
      <w:r>
        <w:rPr>
          <w:rFonts w:ascii="Times New Roman" w:hAnsi="Times New Roman"/>
          <w:b/>
          <w:i w:val="0"/>
          <w:sz w:val="32"/>
          <w:rFonts w:ascii="Times New Roman" w:hAnsi="Times New Roman" w:cs="Times New Roman"/>
          <w:rFonts w:ascii="Times New Roman" w:hAnsi="Times New Roman" w:cs="Times New Roman"/>
        </w:rPr>
        <w:t>September 2026</w:t>
      </w:r>
    </w:p>
    <w:p>
      <w:r>
        <w:rPr>
          <w:rFonts w:ascii="Times New Roman" w:hAnsi="Times New Roman"/>
          <w:rFonts w:ascii="Times New Roman" w:hAnsi="Times New Roman" w:cs="Times New Roman"/>
        </w:rPr>
        <w:br w:type="page"/>
      </w:r>
    </w:p>
    <w:p>
      <w:pPr>
        <w:spacing w:line="360" w:lineRule="auto" w:before="280" w:after="120"/>
        <w:jc w:val="left"/>
      </w:pPr>
      <w:r>
        <w:rPr>
          <w:rFonts w:ascii="Times New Roman" w:hAnsi="Times New Roman"/>
          <w:b/>
          <w:sz w:val="32"/>
          <w:rFonts w:ascii="Times New Roman" w:hAnsi="Times New Roman" w:cs="Times New Roman"/>
          <w:rFonts w:ascii="Times New Roman" w:hAnsi="Times New Roman" w:cs="Times New Roman"/>
        </w:rPr>
        <w:t>CANDIDATE DECLARATION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I hereby certify that the work presented in this project synopsis entitled 'SMARTCITY AI: INTEGRATED MULTI-AGENCY URBAN GOVERNANCE &amp; DIGITAL TWIN PLATFORM' in partial fulfillment of the requirements for the award of the degree of Bachelor of Technology in Computer Science and Engineering, submitted in the Department of Computer Science and Engineering, Buddha Institute of Technology, GIDA, Gorakhpur, affiliated to Dr. A.P.J. Abdul Kalam Technical University, Lucknow, is an authentic record of our own work carried out under the supervision of my project guide.</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matter embodied in this synopsis has not been submitted by us to any other university or institute for the award of any degree or diploma.</w:t>
      </w:r>
    </w:p>
    <w:p>
      <w:pPr>
        <w:spacing w:line="360" w:lineRule="auto" w:before="0" w:after="480"/>
        <w:jc w:val="both"/>
      </w:pPr>
      <w:r>
        <w:rPr>
          <w:rFonts w:ascii="Times New Roman" w:hAnsi="Times New Roman"/>
          <w:b w:val="0"/>
          <w:i w:val="0"/>
          <w:sz w:val="24"/>
          <w:rFonts w:ascii="Times New Roman" w:hAnsi="Times New Roman" w:cs="Times New Roman"/>
          <w:rFonts w:ascii="Times New Roman" w:hAnsi="Times New Roman" w:cs="Times New Roman"/>
        </w:rPr>
        <w:br/>
        <w:br/>
        <w:t>Date: ____________________</w:t>
        <w:br/>
        <w:t>Place: Gorakhpur, Uttar Pradesh</w:t>
      </w:r>
    </w:p>
    <w:p>
      <w:pPr>
        <w:spacing w:line="360" w:lineRule="auto" w:before="0" w:after="720"/>
        <w:jc w:val="right"/>
      </w:pPr>
      <w:r>
        <w:rPr>
          <w:rFonts w:ascii="Times New Roman" w:hAnsi="Times New Roman"/>
          <w:b/>
          <w:i w:val="0"/>
          <w:sz w:val="24"/>
          <w:rFonts w:ascii="Times New Roman" w:hAnsi="Times New Roman" w:cs="Times New Roman"/>
          <w:rFonts w:ascii="Times New Roman" w:hAnsi="Times New Roman" w:cs="Times New Roman"/>
        </w:rPr>
        <w:t>Omkar Yadav</w:t>
        <w:br/>
        <w:t>B.Tech (Computer Science &amp; Engineering)</w:t>
        <w:br/>
        <w:t>AKTU Roll No: 22052501000XX</w:t>
      </w:r>
    </w:p>
    <w:p>
      <w:pPr>
        <w:spacing w:line="360" w:lineRule="auto" w:before="280" w:after="120"/>
        <w:jc w:val="left"/>
      </w:pPr>
      <w:r>
        <w:rPr>
          <w:rFonts w:ascii="Times New Roman" w:hAnsi="Times New Roman"/>
          <w:b/>
          <w:sz w:val="32"/>
          <w:rFonts w:ascii="Times New Roman" w:hAnsi="Times New Roman" w:cs="Times New Roman"/>
          <w:rFonts w:ascii="Times New Roman" w:hAnsi="Times New Roman" w:cs="Times New Roman"/>
        </w:rPr>
        <w:t>CERTIFICATE OF APPROVAL</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This is to certify that the project synopsis entitled 'SMARTCITY AI: INTEGRATED MULTI-AGENCY URBAN GOVERNANCE &amp; DIGITAL TWIN PLATFORM' submitted by Omkar Yadav (Roll No: 22052501000XX) in partial fulfillment of the requirements for the award of the degree of Bachelor of Technology in Computer Science and Engineering at Buddha Institute of Technology, GIDA, Gorakhpur, has been examined and approved as a credible work on the proposed subject.</w:t>
      </w:r>
    </w:p>
    <w:p>
      <w:pPr>
        <w:spacing w:line="360" w:lineRule="auto" w:before="0" w:after="120"/>
        <w:jc w:val="center"/>
      </w:pPr>
      <w:r>
        <w:rPr>
          <w:rFonts w:ascii="Times New Roman" w:hAnsi="Times New Roman"/>
          <w:b w:val="0"/>
          <w:i w:val="0"/>
          <w:sz w:val="24"/>
          <w:rFonts w:ascii="Times New Roman" w:hAnsi="Times New Roman" w:cs="Times New Roman"/>
          <w:rFonts w:ascii="Times New Roman" w:hAnsi="Times New Roman" w:cs="Times New Roman"/>
        </w:rPr>
        <w:br/>
        <w:br/>
        <w:br/>
        <w:t>_______________________________</w:t>
        <w:tab/>
        <w:tab/>
        <w:tab/>
        <w:t>_______________________________</w:t>
      </w:r>
    </w:p>
    <w:p>
      <w:pPr>
        <w:spacing w:line="360" w:lineRule="auto" w:before="0" w:after="120"/>
        <w:jc w:val="center"/>
      </w:pPr>
      <w:r>
        <w:rPr>
          <w:rFonts w:ascii="Times New Roman" w:hAnsi="Times New Roman"/>
          <w:b w:val="0"/>
          <w:i w:val="0"/>
          <w:sz w:val="20"/>
          <w:rFonts w:ascii="Times New Roman" w:hAnsi="Times New Roman" w:cs="Times New Roman"/>
          <w:rFonts w:ascii="Times New Roman" w:hAnsi="Times New Roman" w:cs="Times New Roman"/>
        </w:rPr>
        <w:t>Project Supervisor / Guide</w:t>
        <w:tab/>
        <w:tab/>
        <w:tab/>
        <w:t>Head of Department (CSE)</w:t>
        <w:br/>
        <w:t>Department of Computer Science &amp; Engg.</w:t>
        <w:tab/>
        <w:tab/>
        <w:t>Department of Computer Science &amp; Engg.</w:t>
        <w:br/>
        <w:t>Buddha Institute of Technology, Gorakhpur</w:t>
        <w:tab/>
        <w:t>Buddha Institute of Technology, Gorakhpur</w:t>
      </w:r>
    </w:p>
    <w:p>
      <w:r>
        <w:rPr>
          <w:rFonts w:ascii="Times New Roman" w:hAnsi="Times New Roman"/>
          <w:rFonts w:ascii="Times New Roman" w:hAnsi="Times New Roman" w:cs="Times New Roman"/>
        </w:rPr>
        <w:br w:type="page"/>
      </w:r>
    </w:p>
    <w:p>
      <w:pPr>
        <w:spacing w:line="360" w:lineRule="auto" w:before="280" w:after="120"/>
        <w:jc w:val="left"/>
      </w:pPr>
      <w:r>
        <w:rPr>
          <w:rFonts w:ascii="Times New Roman" w:hAnsi="Times New Roman"/>
          <w:b/>
          <w:sz w:val="32"/>
          <w:rFonts w:ascii="Times New Roman" w:hAnsi="Times New Roman" w:cs="Times New Roman"/>
          <w:rFonts w:ascii="Times New Roman" w:hAnsi="Times New Roman" w:cs="Times New Roman"/>
        </w:rPr>
        <w:t>INDEX / TABLE OF CONTENTS</w:t>
      </w:r>
    </w:p>
    <w:tbl>
      <w:tblPr>
        <w:tblW w:type="auto" w:w="0"/>
        <w:jc w:val="center"/>
        <w:tblLook w:firstColumn="1" w:firstRow="1" w:lastColumn="0" w:lastRow="0" w:noHBand="0" w:noVBand="1" w:val="04A0"/>
        <w:tblBorders>
          <w:top w:val="single" w:sz="6" w:space="0" w:color="B0B0B0"/>
          <w:bottom w:val="single" w:sz="6" w:space="0" w:color="B0B0B0"/>
          <w:insideH w:val="single" w:sz="4" w:space="0" w:color="B0B0B0"/>
          <w:insideV w:val="single" w:sz="4" w:space="0" w:color="B0B0B0"/>
          <w:left w:val="single" w:sz="6" w:space="0" w:color="B0B0B0"/>
          <w:right w:val="single" w:sz="6" w:space="0" w:color="B0B0B0"/>
        </w:tblBorders>
      </w:tblPr>
      <w:tblGrid>
        <w:gridCol w:w="4608"/>
        <w:gridCol w:w="4608"/>
      </w:tblGrid>
      <w:tr>
        <w:tc>
          <w:tcPr>
            <w:tcW w:type="dxa" w:w="4608"/>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Chapter / Section Name</w:t>
            </w:r>
          </w:p>
        </w:tc>
        <w:tc>
          <w:tcPr>
            <w:tcW w:type="dxa" w:w="4608"/>
            <w:shd w:fill="F1F5F9"/>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Page No.</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Nomenclature &amp; List of Abbreviations</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v</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List of Tables</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iv</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List of Figures</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iv</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 Introduction</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6</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1.1 Project Overview and Urban Context</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6</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1.2 Problem Statement</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7</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1.3 Objectives of the Proposed System</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7</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1.4 Technology Stack Overview</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8</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1.5 Field and Domain of Specialization</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8</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1.6 Technical Terms and Special Concepts</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8</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2. Literature Review and Feasibility Study</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9</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2.1 Review of Existing Urban Management Systems</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9</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2.2 Comparative Literature Analysis Matrix</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9</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2.3 Feasibility Study</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10</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2.3.1 Technical Feasibility</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10</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2.3.2 Economic Feasibility</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10</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2.3.3 Operational Feasibility</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10</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2.3.4 Legal, Regulatory &amp; SLA Compliance</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10</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2.4 Need, Rationale and Significance of the Project</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10</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3. Methodology and Planning of Work</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11</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3.1 Step-by-Step Development Approach</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11</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3.2 High-Level System Architecture and Data Flow</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11</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3.3 Operational Working Modules (with Visual Screen Telemetry)</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12</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3.3.1 Module 1: Integrated Command &amp; Control Centre Master Dashboard</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12</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3.3.2 Module 2: Smart Traffic Control &amp; Webster Cycle Signal Optimization</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12</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3.3.3 Module 3: Water Digital Twin, Dual Pipeline GIS &amp; Sewage Planner</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13</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3.3.4 Module 4: Smart Solid Waste Monitoring &amp; Route Optimization</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13</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3.3.5 Module 5: Police CCTNS, SOS Geo-Beacon &amp; Women Safety Fleet</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14</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3.3.6 Module 6: Real-Time Smart Parking Allocation &amp; ANPR Billing</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14</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3.3.7 Module 7: Smart Tourism Heritage Explorer &amp; Nearby Services</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15</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3.3.8 Module 8: Emergency Medical Dispatch &amp; Ambulance Green Wave</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15</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3.4 Relational Database Design (129 Tables Schema)</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16</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3.5 Security, Cryptography &amp; Role-Based Access Control (RBAC)</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16</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4. Facilities Required for Proposed Work</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17</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4.1 Software Requirements</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17</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4.2 Hardware Specifications</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17</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4.3 Network, Cloud &amp; Edge Infrastructure</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17</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5. Benefits and Impact of the Project</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18</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5.1 Municipal Operational Efficiency</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18</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5.2 Public Safety &amp; Emergency Healthcare Acceleration</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18</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5.3 Sustainability, Environmental &amp; Carbon Reduction Impact</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18</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5.4 Socio-Economic ROI and Replicability in Tier-2/3 Indian Cities</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18</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6. Project Work Plan &amp; Timeline / Gantt Chart</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19</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6.1 Work Breakdown Structure &amp; Milestones</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19</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6.2 Phased Sprint Execution &amp; Deliverables Matrix</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19</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7. Conclusion and Future Research Directions</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20</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7.1 Conclusion &amp; Summary of Contributions</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20</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 xml:space="preserve">    7.2 Future Scope &amp; Research Extensions</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20</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8. References (IEEE Format)</w:t>
            </w:r>
          </w:p>
        </w:tc>
        <w:tc>
          <w:tcPr>
            <w:tcW w:type="dxa" w:w="4608"/>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21</w:t>
            </w:r>
          </w:p>
        </w:tc>
      </w:tr>
    </w:tbl>
    <w:p>
      <w:r>
        <w:rPr>
          <w:rFonts w:ascii="Times New Roman" w:hAnsi="Times New Roman"/>
          <w:rFonts w:ascii="Times New Roman" w:hAnsi="Times New Roman" w:cs="Times New Roman"/>
        </w:rPr>
        <w:br w:type="page"/>
      </w:r>
    </w:p>
    <w:p>
      <w:pPr>
        <w:spacing w:line="360" w:lineRule="auto" w:before="280" w:after="120"/>
        <w:jc w:val="left"/>
      </w:pPr>
      <w:r>
        <w:rPr>
          <w:rFonts w:ascii="Times New Roman" w:hAnsi="Times New Roman"/>
          <w:b/>
          <w:sz w:val="32"/>
          <w:rFonts w:ascii="Times New Roman" w:hAnsi="Times New Roman" w:cs="Times New Roman"/>
          <w:rFonts w:ascii="Times New Roman" w:hAnsi="Times New Roman" w:cs="Times New Roman"/>
        </w:rPr>
        <w:t>LIST OF TABLES</w:t>
      </w:r>
    </w:p>
    <w:tbl>
      <w:tblPr>
        <w:tblW w:type="auto" w:w="0"/>
        <w:jc w:val="center"/>
        <w:tblLook w:firstColumn="1" w:firstRow="1" w:lastColumn="0" w:lastRow="0" w:noHBand="0" w:noVBand="1" w:val="04A0"/>
        <w:tblBorders>
          <w:top w:val="single" w:sz="6" w:space="0" w:color="B0B0B0"/>
          <w:bottom w:val="single" w:sz="6" w:space="0" w:color="B0B0B0"/>
          <w:insideH w:val="single" w:sz="4" w:space="0" w:color="B0B0B0"/>
          <w:insideV w:val="single" w:sz="4" w:space="0" w:color="B0B0B0"/>
          <w:left w:val="single" w:sz="6" w:space="0" w:color="B0B0B0"/>
          <w:right w:val="single" w:sz="6" w:space="0" w:color="B0B0B0"/>
        </w:tblBorders>
      </w:tblPr>
      <w:tblGrid>
        <w:gridCol w:w="3072"/>
        <w:gridCol w:w="3072"/>
        <w:gridCol w:w="3072"/>
      </w:tblGrid>
      <w:tr>
        <w:tc>
          <w:tcPr>
            <w:tcW w:type="dxa" w:w="3072"/>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Table No.</w:t>
            </w:r>
          </w:p>
        </w:tc>
        <w:tc>
          <w:tcPr>
            <w:tcW w:type="dxa" w:w="3072"/>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Table Title / Description</w:t>
            </w:r>
          </w:p>
        </w:tc>
        <w:tc>
          <w:tcPr>
            <w:tcW w:type="dxa" w:w="3072"/>
            <w:shd w:fill="F1F5F9"/>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Page No.</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Table 2.1</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Comparative Feature Matrix of Smart Urban Governance Platforms</w:t>
            </w:r>
          </w:p>
        </w:tc>
        <w:tc>
          <w:tcPr>
            <w:tcW w:type="dxa" w:w="3072"/>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9</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Table 4.1</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Software Development &amp; Runtime System Requirements</w:t>
            </w:r>
          </w:p>
        </w:tc>
        <w:tc>
          <w:tcPr>
            <w:tcW w:type="dxa" w:w="3072"/>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17</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Table 4.2</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Hardware Infrastructure &amp; Server Node Specifications</w:t>
            </w:r>
          </w:p>
        </w:tc>
        <w:tc>
          <w:tcPr>
            <w:tcW w:type="dxa" w:w="3072"/>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17</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Table 6.1</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Project Work Breakdown Structure &amp; Phased Development Timeline</w:t>
            </w:r>
          </w:p>
        </w:tc>
        <w:tc>
          <w:tcPr>
            <w:tcW w:type="dxa" w:w="3072"/>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19</w:t>
            </w:r>
          </w:p>
        </w:tc>
      </w:tr>
    </w:tbl>
    <w:p>
      <w:pPr>
        <w:spacing w:line="360" w:lineRule="auto" w:before="280" w:after="120"/>
        <w:jc w:val="left"/>
      </w:pPr>
      <w:r>
        <w:rPr>
          <w:rFonts w:ascii="Times New Roman" w:hAnsi="Times New Roman"/>
          <w:b/>
          <w:sz w:val="32"/>
          <w:rFonts w:ascii="Times New Roman" w:hAnsi="Times New Roman" w:cs="Times New Roman"/>
          <w:rFonts w:ascii="Times New Roman" w:hAnsi="Times New Roman" w:cs="Times New Roman"/>
        </w:rPr>
        <w:t>LIST OF FIGURES</w:t>
      </w:r>
    </w:p>
    <w:tbl>
      <w:tblPr>
        <w:tblW w:type="auto" w:w="0"/>
        <w:jc w:val="center"/>
        <w:tblLook w:firstColumn="1" w:firstRow="1" w:lastColumn="0" w:lastRow="0" w:noHBand="0" w:noVBand="1" w:val="04A0"/>
        <w:tblBorders>
          <w:top w:val="single" w:sz="6" w:space="0" w:color="B0B0B0"/>
          <w:bottom w:val="single" w:sz="6" w:space="0" w:color="B0B0B0"/>
          <w:insideH w:val="single" w:sz="4" w:space="0" w:color="B0B0B0"/>
          <w:insideV w:val="single" w:sz="4" w:space="0" w:color="B0B0B0"/>
          <w:left w:val="single" w:sz="6" w:space="0" w:color="B0B0B0"/>
          <w:right w:val="single" w:sz="6" w:space="0" w:color="B0B0B0"/>
        </w:tblBorders>
      </w:tblPr>
      <w:tblGrid>
        <w:gridCol w:w="3072"/>
        <w:gridCol w:w="3072"/>
        <w:gridCol w:w="3072"/>
      </w:tblGrid>
      <w:tr>
        <w:tc>
          <w:tcPr>
            <w:tcW w:type="dxa" w:w="3072"/>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Figure No.</w:t>
            </w:r>
          </w:p>
        </w:tc>
        <w:tc>
          <w:tcPr>
            <w:tcW w:type="dxa" w:w="3072"/>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Figure Title / Description</w:t>
            </w:r>
          </w:p>
        </w:tc>
        <w:tc>
          <w:tcPr>
            <w:tcW w:type="dxa" w:w="3072"/>
            <w:shd w:fill="F1F5F9"/>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Page No.</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Figure 3.1</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Unified Integrated Command &amp; Control Centre (ICCC) Master Dashboard Console</w:t>
            </w:r>
          </w:p>
        </w:tc>
        <w:tc>
          <w:tcPr>
            <w:tcW w:type="dxa" w:w="3072"/>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12</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Figure 3.2</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Smart Traffic Management GIS Map, Signal Phases &amp; Camera Telemetry Console</w:t>
            </w:r>
          </w:p>
        </w:tc>
        <w:tc>
          <w:tcPr>
            <w:tcW w:type="dxa" w:w="3072"/>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12</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Figure 3.3</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Water Digital Twin, Dual-Pipeline Vector Map &amp; Hydraulic Sewage Planner</w:t>
            </w:r>
          </w:p>
        </w:tc>
        <w:tc>
          <w:tcPr>
            <w:tcW w:type="dxa" w:w="3072"/>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13</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Figure 3.4</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Municipal Smart Solid Waste Telemetry, Truck Fleet &amp; Hotspot Analytics</w:t>
            </w:r>
          </w:p>
        </w:tc>
        <w:tc>
          <w:tcPr>
            <w:tcW w:type="dxa" w:w="3072"/>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13</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Figure 3.5</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Police CCTNS Command Console, PRV Units &amp; Emergency SOS Distress Beacon</w:t>
            </w:r>
          </w:p>
        </w:tc>
        <w:tc>
          <w:tcPr>
            <w:tcW w:type="dxa" w:w="3072"/>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14</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Figure 3.6</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Real-Time Parking Bay Telemetry, Spot Reservation &amp; QR Gate Control</w:t>
            </w:r>
          </w:p>
        </w:tc>
        <w:tc>
          <w:tcPr>
            <w:tcW w:type="dxa" w:w="3072"/>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14</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Figure 3.7</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Smart Heritage Tourism Explorer, GIS Proximity Services &amp; AI Trip Planner</w:t>
            </w:r>
          </w:p>
        </w:tc>
        <w:tc>
          <w:tcPr>
            <w:tcW w:type="dxa" w:w="3072"/>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15</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Figure 3.8</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Emergency Medical Ambulance Fleet Tracker &amp; Corridor Green Wave Console</w:t>
            </w:r>
          </w:p>
        </w:tc>
        <w:tc>
          <w:tcPr>
            <w:tcW w:type="dxa" w:w="3072"/>
          </w:tcPr>
          <w:p>
            <w:pPr>
              <w:spacing w:line="276" w:lineRule="auto" w:before="0" w:after="40"/>
              <w:jc w:val="righ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15</w:t>
            </w:r>
          </w:p>
        </w:tc>
      </w:tr>
    </w:tbl>
    <w:p>
      <w:r>
        <w:rPr>
          <w:rFonts w:ascii="Times New Roman" w:hAnsi="Times New Roman"/>
          <w:rFonts w:ascii="Times New Roman" w:hAnsi="Times New Roman" w:cs="Times New Roman"/>
        </w:rPr>
        <w:br w:type="page"/>
      </w:r>
    </w:p>
    <w:p>
      <w:pPr>
        <w:spacing w:line="360" w:lineRule="auto" w:before="280" w:after="120"/>
        <w:jc w:val="left"/>
      </w:pPr>
      <w:r>
        <w:rPr>
          <w:rFonts w:ascii="Times New Roman" w:hAnsi="Times New Roman"/>
          <w:b/>
          <w:sz w:val="32"/>
          <w:rFonts w:ascii="Times New Roman" w:hAnsi="Times New Roman" w:cs="Times New Roman"/>
          <w:rFonts w:ascii="Times New Roman" w:hAnsi="Times New Roman" w:cs="Times New Roman"/>
        </w:rPr>
        <w:t>NOMENCLATURE &amp; ABBREVIATIONS</w:t>
      </w:r>
    </w:p>
    <w:tbl>
      <w:tblPr>
        <w:tblW w:type="auto" w:w="0"/>
        <w:jc w:val="center"/>
        <w:tblLook w:firstColumn="1" w:firstRow="1" w:lastColumn="0" w:lastRow="0" w:noHBand="0" w:noVBand="1" w:val="04A0"/>
        <w:tblBorders>
          <w:top w:val="single" w:sz="6" w:space="0" w:color="B0B0B0"/>
          <w:bottom w:val="single" w:sz="6" w:space="0" w:color="B0B0B0"/>
          <w:insideH w:val="single" w:sz="4" w:space="0" w:color="B0B0B0"/>
          <w:insideV w:val="single" w:sz="4" w:space="0" w:color="B0B0B0"/>
          <w:left w:val="single" w:sz="6" w:space="0" w:color="B0B0B0"/>
          <w:right w:val="single" w:sz="6" w:space="0" w:color="B0B0B0"/>
        </w:tblBorders>
      </w:tblPr>
      <w:tblGrid>
        <w:gridCol w:w="4608"/>
        <w:gridCol w:w="4608"/>
      </w:tblGrid>
      <w:tr>
        <w:tc>
          <w:tcPr>
            <w:tcW w:type="dxa" w:w="4608"/>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Abbreviation</w:t>
            </w:r>
          </w:p>
        </w:tc>
        <w:tc>
          <w:tcPr>
            <w:tcW w:type="dxa" w:w="4608"/>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Expanded Definition / Terminology</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ICCC</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Integrated Command and Control Centre (Central situation room)</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ANPR</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Automatic Number Plate Recognition (Optical character OCR recognition)</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CCTNS</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Crime and Criminal Tracking Network &amp; Systems (National Police Network)</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GIS</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Geographic Information System (Spatial mapping &amp; coordinate telemetry)</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VMS</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Variable Message Signboard (Dynamic roadside highway LED alert board)</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SLA</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Service Level Agreement (Municipal operational resolution deadlines)</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PWA</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Progressive Web Application (Installable web application with offline caching)</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RBAC</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Role-Based Access Control (Cryptographic authority-scoped permissions)</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JWT</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JSON Web Token (Stateless cryptographic authentication standard RFC 7519)</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LLM</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Large Language Model (Generative artificial intelligence neural networks)</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API</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Application Programming Interface (Inter-process web service protocol)</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REST</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Representational State Transfer (Stateless HTTP architectural pattern)</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WSS</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WebSocket Secure Protocol (Full-duplex bi-directional streaming)</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STP</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Sewage Treatment Plant (Municipal waste water processing facility)</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PRV</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Police Response Vehicle (UP 112 emergency response patrol cruiser)</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IoT</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Internet of Things (Interconnected physical sensing hardware devices)</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ACID</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Atomicity, Consistency, Isolation, Durability (Database transaction guarantees)</w:t>
            </w:r>
          </w:p>
        </w:tc>
      </w:tr>
      <w:tr>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1"/>
                <w:rFonts w:ascii="Times New Roman" w:hAnsi="Times New Roman" w:cs="Times New Roman"/>
                <w:rFonts w:ascii="Times New Roman" w:hAnsi="Times New Roman" w:cs="Times New Roman"/>
              </w:rPr>
              <w:t>OSM</w:t>
            </w:r>
          </w:p>
        </w:tc>
        <w:tc>
          <w:tcPr>
            <w:tcW w:type="dxa" w:w="4608"/>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1"/>
                <w:rFonts w:ascii="Times New Roman" w:hAnsi="Times New Roman" w:cs="Times New Roman"/>
                <w:rFonts w:ascii="Times New Roman" w:hAnsi="Times New Roman" w:cs="Times New Roman"/>
              </w:rPr>
              <w:t>OpenStreetMap (Open collaborative global spatial mapping consortium)</w:t>
            </w:r>
          </w:p>
        </w:tc>
      </w:tr>
    </w:tbl>
    <w:p>
      <w:r>
        <w:rPr>
          <w:rFonts w:ascii="Times New Roman" w:hAnsi="Times New Roman"/>
          <w:rFonts w:ascii="Times New Roman" w:hAnsi="Times New Roman" w:cs="Times New Roman"/>
        </w:rPr>
        <w:br w:type="page"/>
      </w:r>
    </w:p>
    <w:p>
      <w:pPr>
        <w:spacing w:line="360" w:lineRule="auto" w:before="280" w:after="120"/>
        <w:jc w:val="left"/>
      </w:pPr>
      <w:r>
        <w:rPr>
          <w:rFonts w:ascii="Times New Roman" w:hAnsi="Times New Roman"/>
          <w:b/>
          <w:sz w:val="32"/>
          <w:rFonts w:ascii="Times New Roman" w:hAnsi="Times New Roman" w:cs="Times New Roman"/>
          <w:rFonts w:ascii="Times New Roman" w:hAnsi="Times New Roman" w:cs="Times New Roman"/>
        </w:rPr>
        <w:t>1. INTRODUCTION</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1.1 Project Overview and Urban Context</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Rapid economic modernization and migration into Tier-2 and Tier-3 urban centers across India have exerted tremendous stress on legacy civil municipal infrastructure. The historic city of Gorakhpur, situated in eastern Uttar Pradesh, serves as the prime educational, medical, pilgrimage, and commercial hub for a catchment population exceeding 4.5 million citizens. Over the last decade, Gorakhpur has experienced unprecedented vehicular density expansion, commercial market proliferation around Golghar, and heavy healthcare transit ingress directed towards BRD Medical College and AIIMS Gorakhpur.</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Despite this exponential urban growth, municipal administration has historically operated in disconnected, paper-reliant departmental silos. The Traffic Police Directorate operates independently from Emergency Medical Ambulance dispatchers; Nagar Nigam Water Works engineers maintain subterranean potable water and sewage pipe layouts on deteriorating static physical blueprints without digital leak telemetry; solid waste collection trucks operate on unmonitored fixed routes leading to chronic roadside dustbin overflows; municipal parking facilities lack real-time digital occupancy tracking, forcing thousands of daily motorists into congested cruising; and police station outposts lack unified cross-agency coordination during major civic incidents.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To overcome these systemic bottlenecks, this project develops SmartCity AI — an integrated, enterprise-scale municipal digital twin and Integrated Command and Control Centre (ICCC) platform specifically designed and calibrated for the urban topography of Gorakhpur. SmartCity AI unifies seven vital civic domains (Traffic Control, Water &amp; Sewage Networks, Solid Waste Logistics, Police &amp; Women Safety, Real-Time Parking, Heritage Tourism, and Emergency Healthcare) onto an automated, high-throughput operating console powered by modern web technologies, WebSockets, and artificial intelligence pipelines.</w:t>
      </w:r>
    </w:p>
    <w:p>
      <w:r>
        <w:rPr>
          <w:rFonts w:ascii="Times New Roman" w:hAnsi="Times New Roman"/>
          <w:rFonts w:ascii="Times New Roman" w:hAnsi="Times New Roman" w:cs="Times New Roman"/>
        </w:rPr>
        <w:br w:type="page"/>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1.2 Problem Statement</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contemporary urban governance landscape across Indian cities is incapacitated by five critical operational failure points: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1. Life-Threatening Emergency Transit Bottlenecks: Emergency ambulances carrying trauma, cardiac, or stroke patients encounter severe red-light delays at congested urban junctions (e.g., Mohaddipur, Asuran Chowk, Golghar). There is zero digital communication between hospital fleet dispatchers and roadside traffic signals, causing ambulances to lose the critical 'Golden Hour' of medical intervention.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2. Subterranean Infrastructure Blindness: Subsurface municipal water distribution and sewage pipelines suffer from unmonitored volumetric leakage and cross-contamination. Municipal engineers currently have no software tools to simulate hydraulic slope gradients or verify underground road corridors prior to heavy road excavation, frequently causing underground telecommunication fiber breaches and pipe ruptures.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3. Inefficient Static Solid Waste Logistics: Municipal sanitation trucks adhere to static physical schedules regardless of actual waste bin fill levels. While some commercial market bins overflow within hours, residential bins remain half-empty, resulting in wasted diesel fuel, excessive carbon emissions, and unhygienic bacterial breeding grounds.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4. Downtown Commercial Parking Gridlock: In prime commercial hubs such as Golghar and Railway Station, parking congestion accounts for an estimated 25% to 30% of total arterial traffic volume. Motorists circulate aimlessly searching for parking bays, causing severe vehicular gridlock and localized air quality degradation.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5. Fragmented Distress Helplines &amp; Incident Silos: Citizens requiring urgent multi-agency assistance must navigate separate, disjointed emergency channels (112, 108, 101, 1930). Field police response vehicles (PRVs) lack automated nearest-incident geo-beacon allocation, resulting in delayed distress response times.</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1.3 Objectives of the Proposed System</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primary engineering objectives of the SmartCity AI platform are:</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Automated Traffic Optimization: To construct an intelligent Urban Traffic Signal Engine capable of real-time Webster cycle split calculation and automated 90-meter proximity Ambulance Green Wave preemption.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Water &amp; Sewage Digital Twin: To engineer a dual-pipeline GIS digital twin utilizing OpenLayers vector mapping, hydraulic elevation calculations, and automated sensor anomaly detection.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Predictive Solid Waste Logistics: To deploy machine learning regression forecasting for smart dustbin fill-level trajectories, generating dynamic collection routes for municipal compactors.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Unified Police CCTNS &amp; Safety Fleet: To integrate 8 Gorakhpur police stations, real-time PRV 112 tracking (including Pink Patrol vehicles), public complaint reference tracking, and 1930 cyber fraud freezes.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Smart Parking Bay Allocation: To establish real-time bay telemetry across 6 major parking hubs (132 spots), implementing Indian license plate syntax validation and QR code digital entry gate passes.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Bilingual Grounded AI City Assistant: To construct an AI assistant powered by Google Gemini and live database tool-calling for real-time citizen grievance redressal in English and Hindi.</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Role-Based Access Control (RBAC): To enforce strict departmental permission boundaries preventing cross-department tampering while offering unified master admin situational awareness.</w:t>
      </w:r>
    </w:p>
    <w:p>
      <w:r>
        <w:rPr>
          <w:rFonts w:ascii="Times New Roman" w:hAnsi="Times New Roman"/>
          <w:rFonts w:ascii="Times New Roman" w:hAnsi="Times New Roman" w:cs="Times New Roman"/>
        </w:rPr>
        <w:br w:type="page"/>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1.4 Technology Stack Overview</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SmartCity AI is built on a modern, decoupled, and high-performance technology stack:</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Client Presentation Tier (Frontend): Built entirely with Vanilla HTML5, Vanilla CSS3 (Glassmorphism, CSS Grid, Flexbox), and Vanilla ES6+ JavaScript. By eliminating heavy framework runtimes (such as React, Angular, or Vue), the frontend achieves instant page paint times, zero bundle overhead, and continuous stability on municipal control room multi-monitor video walls.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Geospatial Mapping Engines: Leaflet.js (v1.9) handles tactical marker navigation and route previews; OpenLayers (v9.0) provides high-performance rendering for multi-layer vector pipeline networks, CCTV optic nodes, and congestion heatmaps over OpenStreetMap tiles.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Master Gateway &amp; Application Server (Backend): Node.js (v24 LTS) and Express.js (v5.2) provide an asynchronous, event-driven API gateway with 27 modular routers, connection-pooled MySQL2 database integration, and Socket.IO (v4.8) bi-directional WebSocket streaming.</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AI Microservice Layer: Python 3.13, FastAPI, Uvicorn ASGI, Pydantic v2.8, and Scikit-Learn executing Webster cycle signal splits and waste overflow regression.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Generative AI Engine: Google Gemini 1.5 Flash integrated with allowlisted tool-calling functions linked directly to live municipal database queries, accompanied by an offline SmartCity Knowledge Fallback Engine.</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Persistent Relational Database: MySQL 8.0 enterprise server hosting 129 normalized relational tables.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Mobile Container Platform: Ionic Capacitor v8.5 compiling client assets directly to a Native Android APK.</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1.5 Field and Domain of Specialization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project operates across several interconnected domains within Computer Science and Civil Informatics: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Urban Computing &amp; Cyber-Physical Systems: Interfacing software algorithms with physical municipal hardware (traffic lights, smart bins, CCTV cameras, water pipelines).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Geospatial Information Systems (GIS): Spatial coordinate calculation, polygon intersection, road corridor vectorization, and heatmap generation.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Applied Machine Learning &amp; Predictive Modeling: Statistical time-series regression, anomaly classification, and constraint-guided signal split optimization.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Enterprise Distributed Systems: WebSocket real-time broadcast buses, stateless token authentication (JWT), and connection-pooled relational transaction management.</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1.6 Technical Terms and Special Concepts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Webster Traffic Signal Optimization: An international civil engineering formulation used in our Traffic Engine that computes the optimal signal cycle length C0 = (1.5L + 5) / (1 - Y), where L is the total lost time per cycle and Y is the sum of critical approach volume ratios.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Green Wave Preemption: An automated corridor routing algorithm that tracks ambulance GPS telemetry via WebSockets and preemptively switches downstream traffic lights to green within a 90-meter proximity radius, clearing vehicular bottlenecks.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Digital Twin: A digital, high-fidelity real-time replica of physical municipal infrastructure (water distribution networks, junctions, parking facilities) updated continuously through live sensor telemetry.</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Grounded Tool-Calling LLM: A technique where a Large Language Model is constrained from hallucinating by coupling its generation loop to validated, deterministic backend functions (tools) that query the live database before synthesizing answers.</w:t>
      </w:r>
    </w:p>
    <w:p>
      <w:r>
        <w:rPr>
          <w:rFonts w:ascii="Times New Roman" w:hAnsi="Times New Roman"/>
          <w:rFonts w:ascii="Times New Roman" w:hAnsi="Times New Roman" w:cs="Times New Roman"/>
        </w:rPr>
        <w:br w:type="page"/>
      </w:r>
    </w:p>
    <w:p>
      <w:pPr>
        <w:spacing w:line="360" w:lineRule="auto" w:before="280" w:after="120"/>
        <w:jc w:val="left"/>
      </w:pPr>
      <w:r>
        <w:rPr>
          <w:rFonts w:ascii="Times New Roman" w:hAnsi="Times New Roman"/>
          <w:b/>
          <w:sz w:val="32"/>
          <w:rFonts w:ascii="Times New Roman" w:hAnsi="Times New Roman" w:cs="Times New Roman"/>
          <w:rFonts w:ascii="Times New Roman" w:hAnsi="Times New Roman" w:cs="Times New Roman"/>
        </w:rPr>
        <w:t>2. LITERATURE REVIEW AND FEASIBILITY STUDY</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2.1 Review of Existing Urban Management Systems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Over the past decade, urban governance has transitioned from manual paper registries to isolated electronic databases. Early systems, such as standalone municipal GIS viewers (ESRI ArcGIS) or computerized traffic signal controllers (SCATS in Sydney, SCOOT in London), demonstrated significant utility in major global metropolises. However, academic research and municipal audits reveal severe limitations in these legacy architectures: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1. Departmental Isolation: Chourabi et al. (2012) conducted an extensive survey on smart city frameworks and identified departmental isolation as the single greatest point of failure in municipal automation. Existing commercial platforms deployed in Indian smart cities (such as Bhopal, Pune, and Surat) deployed proprietary systems from disparate vendors, resulting in zero inter-process communication between emergency healthcare and traffic management.</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2. Prohibitive Capital &amp; Licensing Costs: Proprietary ICCC software solutions from multinational corporations (e.g., Siemens, Cisco Kinetic, IBM Smarter Cities) entail licensing fees exceeding millions of dollars, rendering them economically infeasible for Tier-2 and Tier-3 municipal corporations like Gorakhpur Municipal Corporation (Nagar Nigam).</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3. Framework Overhead &amp; Performance Degradation: Contemporary web platforms built on heavy single-page application (SPA) frameworks like Angular or React exhibit bundle bloat (exceeding 15-20 MB), leading to severe memory leaks and UI freezing when managing multi-thousand node vector GIS networks on municipal control room terminals.</w:t>
      </w:r>
    </w:p>
    <w:p>
      <w:pPr>
        <w:spacing w:before="200" w:after="80"/>
        <w:jc w:val="center"/>
      </w:pPr>
      <w:r>
        <w:rPr>
          <w:rFonts w:ascii="Times New Roman" w:hAnsi="Times New Roman"/>
          <w:b/>
          <w:sz w:val="20"/>
          <w:rFonts w:ascii="Times New Roman" w:hAnsi="Times New Roman" w:cs="Times New Roman"/>
          <w:rFonts w:ascii="Times New Roman" w:hAnsi="Times New Roman" w:cs="Times New Roman"/>
        </w:rPr>
        <w:t>Table 2.1: Comparative Feature Matrix of Smart Urban Governance Platforms</w:t>
      </w:r>
    </w:p>
    <w:tbl>
      <w:tblPr>
        <w:tblW w:type="auto" w:w="0"/>
        <w:jc w:val="center"/>
        <w:tblLook w:firstColumn="1" w:firstRow="1" w:lastColumn="0" w:lastRow="0" w:noHBand="0" w:noVBand="1" w:val="04A0"/>
        <w:tblBorders>
          <w:top w:val="single" w:sz="6" w:space="0" w:color="B0B0B0"/>
          <w:bottom w:val="single" w:sz="6" w:space="0" w:color="B0B0B0"/>
          <w:insideH w:val="single" w:sz="4" w:space="0" w:color="B0B0B0"/>
          <w:insideV w:val="single" w:sz="4" w:space="0" w:color="B0B0B0"/>
          <w:left w:val="single" w:sz="6" w:space="0" w:color="B0B0B0"/>
          <w:right w:val="single" w:sz="6" w:space="0" w:color="B0B0B0"/>
        </w:tblBorders>
      </w:tblPr>
      <w:tblGrid>
        <w:gridCol w:w="2304"/>
        <w:gridCol w:w="2304"/>
        <w:gridCol w:w="2304"/>
        <w:gridCol w:w="2304"/>
      </w:tblGrid>
      <w:tr>
        <w:tc>
          <w:tcPr>
            <w:tcW w:type="dxa" w:w="2304"/>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Feature / Capability</w:t>
            </w:r>
          </w:p>
        </w:tc>
        <w:tc>
          <w:tcPr>
            <w:tcW w:type="dxa" w:w="2304"/>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Traditional Municipal Systems</w:t>
            </w:r>
          </w:p>
        </w:tc>
        <w:tc>
          <w:tcPr>
            <w:tcW w:type="dxa" w:w="2304"/>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Commercial Proprietary ICCC</w:t>
            </w:r>
          </w:p>
        </w:tc>
        <w:tc>
          <w:tcPr>
            <w:tcW w:type="dxa" w:w="2304"/>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2"/>
                <w:rFonts w:ascii="Times New Roman" w:hAnsi="Times New Roman" w:cs="Times New Roman"/>
                <w:rFonts w:ascii="Times New Roman" w:hAnsi="Times New Roman" w:cs="Times New Roman"/>
              </w:rPr>
              <w:t>Proposed SmartCity AI Platform</w:t>
            </w:r>
          </w:p>
        </w:tc>
      </w:tr>
      <w:tr>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Multi-Agency Integration</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Completely Siloed (Paper/Manual)</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Partially Integrated (Custom APIs)</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Fully Unified (7 Integrated Domains)</w:t>
            </w:r>
          </w:p>
        </w:tc>
      </w:tr>
      <w:tr>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Ambulance Green Wave Preemption</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None (Manual Siren Reliance)</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Manual Dispatcher Radio Call</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Automated GPS Telemetry Radius Preempt</w:t>
            </w:r>
          </w:p>
        </w:tc>
      </w:tr>
      <w:tr>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Water &amp; Sewage Network Twin</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Static Paper Engineering Blueprints</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Basic Scada Pressure Monitoring</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Full 3D &amp; 2D Vector GIS Topology Planner</w:t>
            </w:r>
          </w:p>
        </w:tc>
      </w:tr>
      <w:tr>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AI / ML Decision Engine</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None (Static Timers)</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Proprietary Cloud Rules (High Latency)</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Hybrid FastAPI + Google Gemini Grounded AI</w:t>
            </w:r>
          </w:p>
        </w:tc>
      </w:tr>
      <w:tr>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Open Architecture &amp; Cost</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High Maintenance, Legacy Servers</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Extremely Expensive Annual Licensing</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Open-Standard, Dockerized, Zero Licensing</w:t>
            </w:r>
          </w:p>
        </w:tc>
      </w:tr>
    </w:tbl>
    <w:p>
      <w:r>
        <w:rPr>
          <w:rFonts w:ascii="Times New Roman" w:hAnsi="Times New Roman"/>
          <w:rFonts w:ascii="Times New Roman" w:hAnsi="Times New Roman" w:cs="Times New Roman"/>
        </w:rPr>
        <w:br w:type="page"/>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2.2 Feasibility Study</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A rigorous four-dimensional feasibility analysis was conducted to establish the operational viability of SmartCity AI:</w:t>
      </w:r>
    </w:p>
    <w:p>
      <w:pPr>
        <w:spacing w:line="360" w:lineRule="auto" w:before="160" w:after="40"/>
        <w:jc w:val="left"/>
      </w:pPr>
      <w:r>
        <w:rPr>
          <w:rFonts w:ascii="Times New Roman" w:hAnsi="Times New Roman"/>
          <w:b/>
          <w:sz w:val="24"/>
          <w:rFonts w:ascii="Times New Roman" w:hAnsi="Times New Roman" w:cs="Times New Roman"/>
          <w:rFonts w:ascii="Times New Roman" w:hAnsi="Times New Roman" w:cs="Times New Roman"/>
        </w:rPr>
        <w:t>2.2.1 Technical Feasibility</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technological foundation of SmartCity AI leverages robust, battle-tested open-source technologies with immense community support. Node.js Express handles non-blocking I/O operations and WebSocket synchronization with sub-5ms latency. Python FastAPI executes ML inferences (Webster cycle optimization and waste regression) in parallel without bottlenecking the main gateway. The relational MySQL database utilizes indexed B-Tree indices across 129 tables, easily supporting 10,000+ queries per minute on modest hardware. All components are cross-platform and containerized with Docker, confirming 100% technical feasibility.</w:t>
      </w:r>
    </w:p>
    <w:p>
      <w:pPr>
        <w:spacing w:line="360" w:lineRule="auto" w:before="160" w:after="40"/>
        <w:jc w:val="left"/>
      </w:pPr>
      <w:r>
        <w:rPr>
          <w:rFonts w:ascii="Times New Roman" w:hAnsi="Times New Roman"/>
          <w:b/>
          <w:sz w:val="24"/>
          <w:rFonts w:ascii="Times New Roman" w:hAnsi="Times New Roman" w:cs="Times New Roman"/>
          <w:rFonts w:ascii="Times New Roman" w:hAnsi="Times New Roman" w:cs="Times New Roman"/>
        </w:rPr>
        <w:t>2.2.2 Economic Feasibility</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Unlike multi-million-dollar commercial vendor platforms, SmartCity AI incurs zero proprietary software licensing costs. The application runs on commodity server hardware or cost-effective Linux cloud virtual machines (e.g., AWS, Azure, or DigitalOcean) costing less than ₹10,000/month. The economic return on investment (ROI) is immediate: dynamic solid waste route optimization reduces municipal fuel expenditure by an estimated 22-28%; automated e-challan violation collections enhance civic municipal revenue; and smart parking automation recovers municipal parking lease leakages.</w:t>
      </w:r>
    </w:p>
    <w:p>
      <w:pPr>
        <w:spacing w:line="360" w:lineRule="auto" w:before="160" w:after="40"/>
        <w:jc w:val="left"/>
      </w:pPr>
      <w:r>
        <w:rPr>
          <w:rFonts w:ascii="Times New Roman" w:hAnsi="Times New Roman"/>
          <w:b/>
          <w:sz w:val="24"/>
          <w:rFonts w:ascii="Times New Roman" w:hAnsi="Times New Roman" w:cs="Times New Roman"/>
          <w:rFonts w:ascii="Times New Roman" w:hAnsi="Times New Roman" w:cs="Times New Roman"/>
        </w:rPr>
        <w:t>2.2.3 Operational Feasibility</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Operational feasibility examines the human factors and usability across diverse user cohorts: civic municipal officers, field traffic police, and general citizens. The frontend features an intuitive bilingual design (English and Hindi), automated demonstration profile switchers, and zero-learning-curve visual dashboards. Field traffic staff can operate junction overrides on mobile touchscreens, while citizens access public grievance filing and parking spot booking without specialized training.</w:t>
      </w:r>
    </w:p>
    <w:p>
      <w:pPr>
        <w:spacing w:line="360" w:lineRule="auto" w:before="160" w:after="40"/>
        <w:jc w:val="left"/>
      </w:pPr>
      <w:r>
        <w:rPr>
          <w:rFonts w:ascii="Times New Roman" w:hAnsi="Times New Roman"/>
          <w:b/>
          <w:sz w:val="24"/>
          <w:rFonts w:ascii="Times New Roman" w:hAnsi="Times New Roman" w:cs="Times New Roman"/>
          <w:rFonts w:ascii="Times New Roman" w:hAnsi="Times New Roman" w:cs="Times New Roman"/>
        </w:rPr>
        <w:t>2.2.4 Legal, Regulatory &amp; SLA Compliance</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system adheres to Indian data protection guidelines and municipal Service Level Agreements (SLAs). All confidential clinical medical uploads (prescriptions, diagnostic records) are shielded behind JWT cryptographic guards. Audit logs record every administrative state change (junction signal override, CCTV camera relocation, work order verification) with immutable operator ID and timestamp provenance, ensuring statutory legal compliance.</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2.3 Need, Rationale and Significance of the Project</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SmartCity AI bridges the critical operational divide between municipal policy and digital ground reality. By equipping Gorakhpur with an autonomous, interoperable, and intelligent digital twin, the city achieves higher road safety, rapid life-saving emergency medical transits, scientific water and sanitation planning, and enhanced citizen trust in urban governance.</w:t>
      </w:r>
    </w:p>
    <w:p>
      <w:r>
        <w:rPr>
          <w:rFonts w:ascii="Times New Roman" w:hAnsi="Times New Roman"/>
          <w:rFonts w:ascii="Times New Roman" w:hAnsi="Times New Roman" w:cs="Times New Roman"/>
        </w:rPr>
        <w:br w:type="page"/>
      </w:r>
    </w:p>
    <w:p>
      <w:pPr>
        <w:spacing w:line="360" w:lineRule="auto" w:before="280" w:after="120"/>
        <w:jc w:val="left"/>
      </w:pPr>
      <w:r>
        <w:rPr>
          <w:rFonts w:ascii="Times New Roman" w:hAnsi="Times New Roman"/>
          <w:b/>
          <w:sz w:val="32"/>
          <w:rFonts w:ascii="Times New Roman" w:hAnsi="Times New Roman" w:cs="Times New Roman"/>
          <w:rFonts w:ascii="Times New Roman" w:hAnsi="Times New Roman" w:cs="Times New Roman"/>
        </w:rPr>
        <w:t>3. METHODOLOGY AND PLANNING OF WORK</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3.1 Step-by-Step Development Approach</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implementation methodology follows a rigorous software engineering lifecycle tailored for high-availability cyber-physical municipal infrastructure:</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1. Requirement Elicitation &amp; Domain Modeling: Comprehensive workflow analysis of Gorakhpur municipal agencies (Traffic Police Headquarters, Nagar Nigam Water &amp; Sewage Works, Emergency Medical Ambulance Control, District Police CCTNS, and Municipal Parking Authority).</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2. Relational Schema &amp; Migration Engineering: Construction of a normalized, third-normal-form (3NF) relational database consisting of 129 tables with strict foreign-key integrity constraints.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3. High-Speed API Gateway Development: Implementation of 27 modular Express routers providing stateless REST endpoints with JWT authorization, rate limiting, and SQL injection sanitizers.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4. Machine Learning &amp; Predictive Microservice Integration: Development of FastAPI Python models for Webster signal splits, sensor anomaly detection, and waste trajectory forecasting.</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5. Real-Time WebSocket Streaming Engine: Deployment of Socket.IO event buses synchronizing live ambulance GPS telemetry, signal countdown clocks, and SOS distress beacons.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6. Interactive Client Dashboard &amp; GIS Vector Engine: Crafting responsive Glassmorphic web interfaces leveraging OpenLayers and Leaflet for geospatial tracking and manual operator override controls.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7. Comprehensive Testing &amp; Verification: Execution of 10 FastAPI unit tests and 7 master Node.js integration test suites verifying 127 API endpoints with zero 500 runtime errors.</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3.2 High-Level System Architecture and Data Flow</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system architecture adopts a Decoupled Microservice Gateway pattern consisting of three core tiers: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Client Presentation Tier: Modern web dashboards (Desktop ICCC console, Field Staff mobile portal, Citizen PWA) communicating via HTTPS and WSS protocols.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Central Application &amp; Gateway Tier: Node.js/Express server (Port 5000) orchestrating request routing, authentication guards, and WebSocket broadcasting, directly interfaced with a dedicated Python FastAPI ML service (Port 8000).</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Persistent Data Tier: MySQL 8.0 enterprise database with automated connection pooling and structured transaction execution.</w:t>
      </w:r>
    </w:p>
    <w:p>
      <w:r>
        <w:rPr>
          <w:rFonts w:ascii="Times New Roman" w:hAnsi="Times New Roman"/>
          <w:rFonts w:ascii="Times New Roman" w:hAnsi="Times New Roman" w:cs="Times New Roman"/>
        </w:rPr>
        <w:br w:type="page"/>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3.3 Operational Working Modules (with Visual Screen Telemetry)</w:t>
      </w:r>
    </w:p>
    <w:p>
      <w:pPr>
        <w:spacing w:line="360" w:lineRule="auto" w:before="160" w:after="40"/>
        <w:jc w:val="left"/>
      </w:pPr>
      <w:r>
        <w:rPr>
          <w:rFonts w:ascii="Times New Roman" w:hAnsi="Times New Roman"/>
          <w:b/>
          <w:sz w:val="24"/>
          <w:rFonts w:ascii="Times New Roman" w:hAnsi="Times New Roman" w:cs="Times New Roman"/>
          <w:rFonts w:ascii="Times New Roman" w:hAnsi="Times New Roman" w:cs="Times New Roman"/>
        </w:rPr>
        <w:t>3.3.1 Module 1: Integrated Command &amp; Control Centre Master Dashboard</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central ICCC master dashboard serves as the unified situation room for municipal administrators. It aggregates live metrics from all seven municipal departments: real-time active traffic congestion index, hospital bed availability count, water pressure anomalies, active garbage collection trucks, emergency 112 SOS beacons, and downtown parking occupancy percentages. Administrators can toggle system-wide simulation engines, monitor server health latency, and review civic grievance SLA timers.</w:t>
      </w:r>
    </w:p>
    <w:p>
      <w:pPr>
        <w:spacing w:before="160" w:after="80"/>
        <w:jc w:val="center"/>
      </w:pPr>
      <w:r>
        <w:rPr>
          <w:rFonts w:ascii="Times New Roman" w:hAnsi="Times New Roman"/>
          <w:rFonts w:ascii="Times New Roman" w:hAnsi="Times New Roman" w:cs="Times New Roman"/>
        </w:rPr>
        <w:drawing>
          <wp:inline xmlns:a="http://schemas.openxmlformats.org/drawingml/2006/main" xmlns:pic="http://schemas.openxmlformats.org/drawingml/2006/picture">
            <wp:extent cx="4572000" cy="2571750"/>
            <wp:docPr id="2" name="Picture 2"/>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4572000" cy="2571750"/>
                    </a:xfrm>
                    <a:prstGeom prst="rect"/>
                  </pic:spPr>
                </pic:pic>
              </a:graphicData>
            </a:graphic>
          </wp:inline>
        </w:drawing>
      </w:r>
    </w:p>
    <w:p>
      <w:pPr>
        <w:spacing w:before="40" w:after="280"/>
        <w:jc w:val="center"/>
      </w:pPr>
      <w:r>
        <w:rPr>
          <w:rFonts w:ascii="Times New Roman" w:hAnsi="Times New Roman"/>
          <w:b/>
          <w:sz w:val="20"/>
          <w:rFonts w:ascii="Times New Roman" w:hAnsi="Times New Roman" w:cs="Times New Roman"/>
          <w:rFonts w:ascii="Times New Roman" w:hAnsi="Times New Roman" w:cs="Times New Roman"/>
        </w:rPr>
        <w:t>Figure 3.1: Unified Integrated Command &amp; Control Centre (ICCC) Master Dashboard Console</w:t>
      </w:r>
    </w:p>
    <w:p>
      <w:pPr>
        <w:spacing w:line="360" w:lineRule="auto" w:before="160" w:after="40"/>
        <w:jc w:val="left"/>
      </w:pPr>
      <w:r>
        <w:rPr>
          <w:rFonts w:ascii="Times New Roman" w:hAnsi="Times New Roman"/>
          <w:b/>
          <w:sz w:val="24"/>
          <w:rFonts w:ascii="Times New Roman" w:hAnsi="Times New Roman" w:cs="Times New Roman"/>
          <w:rFonts w:ascii="Times New Roman" w:hAnsi="Times New Roman" w:cs="Times New Roman"/>
        </w:rPr>
        <w:t>3.3.2 Module 2: Smart Traffic Control &amp; Webster Cycle Signal Optimization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traffic module controls 9 critical junctions across Gorakhpur (Golghar, Mohaddipur, Asuran, Nausarh, Medical College, Gorakhnath Mandir, Shastri Chowk, Dharamshala Bazar). It incorporates real-time Webster cycle split calculation, automated camera-driven vehicle queue estimation, ANPR speed and red-light violation detection with e-challan generation, and dynamic roadside Variable Message Signboard (VMS) broadcasts. Staff officers are strictly scoped to their assigned junction jurisdiction, while admins retain citywide map-relocation privileges.</w:t>
      </w:r>
    </w:p>
    <w:p>
      <w:pPr>
        <w:spacing w:before="160" w:after="80"/>
        <w:jc w:val="center"/>
      </w:pPr>
      <w:r>
        <w:rPr>
          <w:rFonts w:ascii="Times New Roman" w:hAnsi="Times New Roman"/>
          <w:rFonts w:ascii="Times New Roman" w:hAnsi="Times New Roman" w:cs="Times New Roman"/>
        </w:rPr>
        <w:drawing>
          <wp:inline xmlns:a="http://schemas.openxmlformats.org/drawingml/2006/main" xmlns:pic="http://schemas.openxmlformats.org/drawingml/2006/picture">
            <wp:extent cx="4572000" cy="2571750"/>
            <wp:docPr id="3" name="Picture 3"/>
            <wp:cNvGraphicFramePr>
              <a:graphicFrameLocks noChangeAspect="1"/>
            </wp:cNvGraphicFramePr>
            <a:graphic>
              <a:graphicData uri="http://schemas.openxmlformats.org/drawingml/2006/picture">
                <pic:pic>
                  <pic:nvPicPr>
                    <pic:cNvPr id="0" name="traffic_control.png"/>
                    <pic:cNvPicPr/>
                  </pic:nvPicPr>
                  <pic:blipFill>
                    <a:blip r:embed="rId12"/>
                    <a:stretch>
                      <a:fillRect/>
                    </a:stretch>
                  </pic:blipFill>
                  <pic:spPr>
                    <a:xfrm>
                      <a:off x="0" y="0"/>
                      <a:ext cx="4572000" cy="2571750"/>
                    </a:xfrm>
                    <a:prstGeom prst="rect"/>
                  </pic:spPr>
                </pic:pic>
              </a:graphicData>
            </a:graphic>
          </wp:inline>
        </w:drawing>
      </w:r>
    </w:p>
    <w:p>
      <w:pPr>
        <w:spacing w:before="40" w:after="280"/>
        <w:jc w:val="center"/>
      </w:pPr>
      <w:r>
        <w:rPr>
          <w:rFonts w:ascii="Times New Roman" w:hAnsi="Times New Roman"/>
          <w:b/>
          <w:sz w:val="20"/>
          <w:rFonts w:ascii="Times New Roman" w:hAnsi="Times New Roman" w:cs="Times New Roman"/>
          <w:rFonts w:ascii="Times New Roman" w:hAnsi="Times New Roman" w:cs="Times New Roman"/>
        </w:rPr>
        <w:t>Figure 3.2: Smart Traffic Management GIS Map, Signal Phases &amp; Camera Telemetry Console</w:t>
      </w:r>
    </w:p>
    <w:p>
      <w:r>
        <w:rPr>
          <w:rFonts w:ascii="Times New Roman" w:hAnsi="Times New Roman"/>
          <w:rFonts w:ascii="Times New Roman" w:hAnsi="Times New Roman" w:cs="Times New Roman"/>
        </w:rPr>
        <w:br w:type="page"/>
      </w:r>
    </w:p>
    <w:p>
      <w:pPr>
        <w:spacing w:line="360" w:lineRule="auto" w:before="160" w:after="40"/>
        <w:jc w:val="left"/>
      </w:pPr>
      <w:r>
        <w:rPr>
          <w:rFonts w:ascii="Times New Roman" w:hAnsi="Times New Roman"/>
          <w:b/>
          <w:sz w:val="24"/>
          <w:rFonts w:ascii="Times New Roman" w:hAnsi="Times New Roman" w:cs="Times New Roman"/>
          <w:rFonts w:ascii="Times New Roman" w:hAnsi="Times New Roman" w:cs="Times New Roman"/>
        </w:rPr>
        <w:t>3.3.3 Module 3: Water Digital Twin, Dual Pipeline GIS &amp; Sewage Network Planner</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water management system provides a high-fidelity digital twin of municipal subterranean assets. It features dual-pipeline separation (potable water vs. sewage lines), hydraulic elevation calculation along road corridors, automated sensor leak detection, citizen water tanker booking, and an engineering Sewage Planner where water admins can draw, validate slope gradients, and officially publish municipal pipeline networks with full revision rollback.</w:t>
      </w:r>
    </w:p>
    <w:p>
      <w:pPr>
        <w:spacing w:before="160" w:after="80"/>
        <w:jc w:val="center"/>
      </w:pPr>
      <w:r>
        <w:rPr>
          <w:rFonts w:ascii="Times New Roman" w:hAnsi="Times New Roman"/>
          <w:rFonts w:ascii="Times New Roman" w:hAnsi="Times New Roman" w:cs="Times New Roman"/>
        </w:rPr>
        <w:drawing>
          <wp:inline xmlns:a="http://schemas.openxmlformats.org/drawingml/2006/main" xmlns:pic="http://schemas.openxmlformats.org/drawingml/2006/picture">
            <wp:extent cx="4572000" cy="2571750"/>
            <wp:docPr id="4" name="Picture 4"/>
            <wp:cNvGraphicFramePr>
              <a:graphicFrameLocks noChangeAspect="1"/>
            </wp:cNvGraphicFramePr>
            <a:graphic>
              <a:graphicData uri="http://schemas.openxmlformats.org/drawingml/2006/picture">
                <pic:pic>
                  <pic:nvPicPr>
                    <pic:cNvPr id="0" name="water_digital_twin.png"/>
                    <pic:cNvPicPr/>
                  </pic:nvPicPr>
                  <pic:blipFill>
                    <a:blip r:embed="rId13"/>
                    <a:stretch>
                      <a:fillRect/>
                    </a:stretch>
                  </pic:blipFill>
                  <pic:spPr>
                    <a:xfrm>
                      <a:off x="0" y="0"/>
                      <a:ext cx="4572000" cy="2571750"/>
                    </a:xfrm>
                    <a:prstGeom prst="rect"/>
                  </pic:spPr>
                </pic:pic>
              </a:graphicData>
            </a:graphic>
          </wp:inline>
        </w:drawing>
      </w:r>
    </w:p>
    <w:p>
      <w:pPr>
        <w:spacing w:before="40" w:after="280"/>
        <w:jc w:val="center"/>
      </w:pPr>
      <w:r>
        <w:rPr>
          <w:rFonts w:ascii="Times New Roman" w:hAnsi="Times New Roman"/>
          <w:b/>
          <w:sz w:val="20"/>
          <w:rFonts w:ascii="Times New Roman" w:hAnsi="Times New Roman" w:cs="Times New Roman"/>
          <w:rFonts w:ascii="Times New Roman" w:hAnsi="Times New Roman" w:cs="Times New Roman"/>
        </w:rPr>
        <w:t>Figure 3.3: Water Digital Twin, Dual-Pipeline Vector Map &amp; Hydraulic Sewage Planner</w:t>
      </w:r>
    </w:p>
    <w:p>
      <w:pPr>
        <w:spacing w:line="360" w:lineRule="auto" w:before="160" w:after="40"/>
        <w:jc w:val="left"/>
      </w:pPr>
      <w:r>
        <w:rPr>
          <w:rFonts w:ascii="Times New Roman" w:hAnsi="Times New Roman"/>
          <w:b/>
          <w:sz w:val="24"/>
          <w:rFonts w:ascii="Times New Roman" w:hAnsi="Times New Roman" w:cs="Times New Roman"/>
          <w:rFonts w:ascii="Times New Roman" w:hAnsi="Times New Roman" w:cs="Times New Roman"/>
        </w:rPr>
        <w:t>3.3.4 Module 4: Smart Solid Waste Monitoring &amp; Route Optimization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waste management module visualizes municipal smart dustbins equipped with ultrasonic fill-level telemetry. An AI regression model predicts bin overflow trajectories, flagging high-priority waste hotspots and generating optimized collection routes for municipal compactors. Citizens can submit photo-geo-tagged garbage clearance reports, while field sanitation staff update collection statuses in real time.</w:t>
      </w:r>
    </w:p>
    <w:p>
      <w:pPr>
        <w:spacing w:before="160" w:after="80"/>
        <w:jc w:val="center"/>
      </w:pPr>
      <w:r>
        <w:rPr>
          <w:rFonts w:ascii="Times New Roman" w:hAnsi="Times New Roman"/>
          <w:rFonts w:ascii="Times New Roman" w:hAnsi="Times New Roman" w:cs="Times New Roman"/>
        </w:rPr>
        <w:drawing>
          <wp:inline xmlns:a="http://schemas.openxmlformats.org/drawingml/2006/main" xmlns:pic="http://schemas.openxmlformats.org/drawingml/2006/picture">
            <wp:extent cx="4572000" cy="2571750"/>
            <wp:docPr id="5" name="Picture 5"/>
            <wp:cNvGraphicFramePr>
              <a:graphicFrameLocks noChangeAspect="1"/>
            </wp:cNvGraphicFramePr>
            <a:graphic>
              <a:graphicData uri="http://schemas.openxmlformats.org/drawingml/2006/picture">
                <pic:pic>
                  <pic:nvPicPr>
                    <pic:cNvPr id="0" name="waste_monitoring.png"/>
                    <pic:cNvPicPr/>
                  </pic:nvPicPr>
                  <pic:blipFill>
                    <a:blip r:embed="rId14"/>
                    <a:stretch>
                      <a:fillRect/>
                    </a:stretch>
                  </pic:blipFill>
                  <pic:spPr>
                    <a:xfrm>
                      <a:off x="0" y="0"/>
                      <a:ext cx="4572000" cy="2571750"/>
                    </a:xfrm>
                    <a:prstGeom prst="rect"/>
                  </pic:spPr>
                </pic:pic>
              </a:graphicData>
            </a:graphic>
          </wp:inline>
        </w:drawing>
      </w:r>
    </w:p>
    <w:p>
      <w:pPr>
        <w:spacing w:before="40" w:after="280"/>
        <w:jc w:val="center"/>
      </w:pPr>
      <w:r>
        <w:rPr>
          <w:rFonts w:ascii="Times New Roman" w:hAnsi="Times New Roman"/>
          <w:b/>
          <w:sz w:val="20"/>
          <w:rFonts w:ascii="Times New Roman" w:hAnsi="Times New Roman" w:cs="Times New Roman"/>
          <w:rFonts w:ascii="Times New Roman" w:hAnsi="Times New Roman" w:cs="Times New Roman"/>
        </w:rPr>
        <w:t>Figure 3.4: Municipal Smart Solid Waste Telemetry, Truck Fleet &amp; Hotspot Analytics</w:t>
      </w:r>
    </w:p>
    <w:p>
      <w:r>
        <w:rPr>
          <w:rFonts w:ascii="Times New Roman" w:hAnsi="Times New Roman"/>
          <w:rFonts w:ascii="Times New Roman" w:hAnsi="Times New Roman" w:cs="Times New Roman"/>
        </w:rPr>
        <w:br w:type="page"/>
      </w:r>
    </w:p>
    <w:p>
      <w:pPr>
        <w:spacing w:line="360" w:lineRule="auto" w:before="160" w:after="40"/>
        <w:jc w:val="left"/>
      </w:pPr>
      <w:r>
        <w:rPr>
          <w:rFonts w:ascii="Times New Roman" w:hAnsi="Times New Roman"/>
          <w:b/>
          <w:sz w:val="24"/>
          <w:rFonts w:ascii="Times New Roman" w:hAnsi="Times New Roman" w:cs="Times New Roman"/>
          <w:rFonts w:ascii="Times New Roman" w:hAnsi="Times New Roman" w:cs="Times New Roman"/>
        </w:rPr>
        <w:t>3.3.5 Module 5: Police CCTNS, SOS Geo-Beacon &amp; Women Safety Fleet</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police module interfaces with Gorakhpur's law enforcement network. It unifies 8 local police stations, real-time PRV 112 patrol units (including dedicated Pink Patrol vehicles), a public CCTNS complaint filing and reference tracking engine, one-tap Emergency SOS dispatch with automated nearest-station beacon allocation, Mission Shakti safe ride registrations, and 1930 Cyber Financial Fraud transaction freeze requests.</w:t>
      </w:r>
    </w:p>
    <w:p>
      <w:pPr>
        <w:spacing w:before="160" w:after="80"/>
        <w:jc w:val="center"/>
      </w:pPr>
      <w:r>
        <w:rPr>
          <w:rFonts w:ascii="Times New Roman" w:hAnsi="Times New Roman"/>
          <w:rFonts w:ascii="Times New Roman" w:hAnsi="Times New Roman" w:cs="Times New Roman"/>
        </w:rPr>
        <w:drawing>
          <wp:inline xmlns:a="http://schemas.openxmlformats.org/drawingml/2006/main" xmlns:pic="http://schemas.openxmlformats.org/drawingml/2006/picture">
            <wp:extent cx="4572000" cy="2571750"/>
            <wp:docPr id="6" name="Picture 6"/>
            <wp:cNvGraphicFramePr>
              <a:graphicFrameLocks noChangeAspect="1"/>
            </wp:cNvGraphicFramePr>
            <a:graphic>
              <a:graphicData uri="http://schemas.openxmlformats.org/drawingml/2006/picture">
                <pic:pic>
                  <pic:nvPicPr>
                    <pic:cNvPr id="0" name="police_cctns.png"/>
                    <pic:cNvPicPr/>
                  </pic:nvPicPr>
                  <pic:blipFill>
                    <a:blip r:embed="rId15"/>
                    <a:stretch>
                      <a:fillRect/>
                    </a:stretch>
                  </pic:blipFill>
                  <pic:spPr>
                    <a:xfrm>
                      <a:off x="0" y="0"/>
                      <a:ext cx="4572000" cy="2571750"/>
                    </a:xfrm>
                    <a:prstGeom prst="rect"/>
                  </pic:spPr>
                </pic:pic>
              </a:graphicData>
            </a:graphic>
          </wp:inline>
        </w:drawing>
      </w:r>
    </w:p>
    <w:p>
      <w:pPr>
        <w:spacing w:before="40" w:after="280"/>
        <w:jc w:val="center"/>
      </w:pPr>
      <w:r>
        <w:rPr>
          <w:rFonts w:ascii="Times New Roman" w:hAnsi="Times New Roman"/>
          <w:b/>
          <w:sz w:val="20"/>
          <w:rFonts w:ascii="Times New Roman" w:hAnsi="Times New Roman" w:cs="Times New Roman"/>
          <w:rFonts w:ascii="Times New Roman" w:hAnsi="Times New Roman" w:cs="Times New Roman"/>
        </w:rPr>
        <w:t>Figure 3.5: Police CCTNS Command Console, PRV Units &amp; Emergency SOS Distress Beacon</w:t>
      </w:r>
    </w:p>
    <w:p>
      <w:pPr>
        <w:spacing w:line="360" w:lineRule="auto" w:before="160" w:after="40"/>
        <w:jc w:val="left"/>
      </w:pPr>
      <w:r>
        <w:rPr>
          <w:rFonts w:ascii="Times New Roman" w:hAnsi="Times New Roman"/>
          <w:b/>
          <w:sz w:val="24"/>
          <w:rFonts w:ascii="Times New Roman" w:hAnsi="Times New Roman" w:cs="Times New Roman"/>
          <w:rFonts w:ascii="Times New Roman" w:hAnsi="Times New Roman" w:cs="Times New Roman"/>
        </w:rPr>
        <w:t>3.3.6 Module 6: Real-Time Smart Parking Allocation &amp; ANPR Billing</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parking management engine monitors 6 prime facilities across Gorakhpur (132 total bays) including Railway Station, Golghar Market, DDU Chowk, and AIIMS Campus. The system validates Indian license plate registration syntax, provides live available bay discovery, issues cryptographic QR code digital entry passes, and allows staff operators to execute emergency master barrier overrides during evacuation protocols.</w:t>
      </w:r>
    </w:p>
    <w:p>
      <w:pPr>
        <w:spacing w:before="160" w:after="80"/>
        <w:jc w:val="center"/>
      </w:pPr>
      <w:r>
        <w:rPr>
          <w:rFonts w:ascii="Times New Roman" w:hAnsi="Times New Roman"/>
          <w:rFonts w:ascii="Times New Roman" w:hAnsi="Times New Roman" w:cs="Times New Roman"/>
        </w:rPr>
        <w:drawing>
          <wp:inline xmlns:a="http://schemas.openxmlformats.org/drawingml/2006/main" xmlns:pic="http://schemas.openxmlformats.org/drawingml/2006/picture">
            <wp:extent cx="4572000" cy="2571750"/>
            <wp:docPr id="7" name="Picture 7"/>
            <wp:cNvGraphicFramePr>
              <a:graphicFrameLocks noChangeAspect="1"/>
            </wp:cNvGraphicFramePr>
            <a:graphic>
              <a:graphicData uri="http://schemas.openxmlformats.org/drawingml/2006/picture">
                <pic:pic>
                  <pic:nvPicPr>
                    <pic:cNvPr id="0" name="parking_management.png"/>
                    <pic:cNvPicPr/>
                  </pic:nvPicPr>
                  <pic:blipFill>
                    <a:blip r:embed="rId16"/>
                    <a:stretch>
                      <a:fillRect/>
                    </a:stretch>
                  </pic:blipFill>
                  <pic:spPr>
                    <a:xfrm>
                      <a:off x="0" y="0"/>
                      <a:ext cx="4572000" cy="2571750"/>
                    </a:xfrm>
                    <a:prstGeom prst="rect"/>
                  </pic:spPr>
                </pic:pic>
              </a:graphicData>
            </a:graphic>
          </wp:inline>
        </w:drawing>
      </w:r>
    </w:p>
    <w:p>
      <w:pPr>
        <w:spacing w:before="40" w:after="280"/>
        <w:jc w:val="center"/>
      </w:pPr>
      <w:r>
        <w:rPr>
          <w:rFonts w:ascii="Times New Roman" w:hAnsi="Times New Roman"/>
          <w:b/>
          <w:sz w:val="20"/>
          <w:rFonts w:ascii="Times New Roman" w:hAnsi="Times New Roman" w:cs="Times New Roman"/>
          <w:rFonts w:ascii="Times New Roman" w:hAnsi="Times New Roman" w:cs="Times New Roman"/>
        </w:rPr>
        <w:t>Figure 3.6: Real-Time Parking Bay Telemetry, Spot Reservation &amp; QR Gate Control</w:t>
      </w:r>
    </w:p>
    <w:p>
      <w:r>
        <w:rPr>
          <w:rFonts w:ascii="Times New Roman" w:hAnsi="Times New Roman"/>
          <w:rFonts w:ascii="Times New Roman" w:hAnsi="Times New Roman" w:cs="Times New Roman"/>
        </w:rPr>
        <w:br w:type="page"/>
      </w:r>
    </w:p>
    <w:p>
      <w:pPr>
        <w:spacing w:line="360" w:lineRule="auto" w:before="160" w:after="40"/>
        <w:jc w:val="left"/>
      </w:pPr>
      <w:r>
        <w:rPr>
          <w:rFonts w:ascii="Times New Roman" w:hAnsi="Times New Roman"/>
          <w:b/>
          <w:sz w:val="24"/>
          <w:rFonts w:ascii="Times New Roman" w:hAnsi="Times New Roman" w:cs="Times New Roman"/>
          <w:rFonts w:ascii="Times New Roman" w:hAnsi="Times New Roman" w:cs="Times New Roman"/>
        </w:rPr>
        <w:t>3.3.7 Module 7: Smart Tourism Heritage Explorer &amp; Nearby Services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Designed to promote religious, cultural, and eco-tourism across Gorakhpur (Gorakhnath Temple, Ramgarh Taal, Geeta Press, Kushmi Forest), this module offers interactive GIS heritage discovery. It computes proximity algorithms to locate the nearest emergency hospital, police outpost, parking hub, ATM, and food outlet from any monument, alongside an AI Tour Planner that generates optimized multi-stop itineraries.</w:t>
      </w:r>
    </w:p>
    <w:p>
      <w:pPr>
        <w:spacing w:before="160" w:after="80"/>
        <w:jc w:val="center"/>
      </w:pPr>
      <w:r>
        <w:rPr>
          <w:rFonts w:ascii="Times New Roman" w:hAnsi="Times New Roman"/>
          <w:rFonts w:ascii="Times New Roman" w:hAnsi="Times New Roman" w:cs="Times New Roman"/>
        </w:rPr>
        <w:drawing>
          <wp:inline xmlns:a="http://schemas.openxmlformats.org/drawingml/2006/main" xmlns:pic="http://schemas.openxmlformats.org/drawingml/2006/picture">
            <wp:extent cx="4572000" cy="2571750"/>
            <wp:docPr id="8" name="Picture 8"/>
            <wp:cNvGraphicFramePr>
              <a:graphicFrameLocks noChangeAspect="1"/>
            </wp:cNvGraphicFramePr>
            <a:graphic>
              <a:graphicData uri="http://schemas.openxmlformats.org/drawingml/2006/picture">
                <pic:pic>
                  <pic:nvPicPr>
                    <pic:cNvPr id="0" name="tourism_heritage.png"/>
                    <pic:cNvPicPr/>
                  </pic:nvPicPr>
                  <pic:blipFill>
                    <a:blip r:embed="rId17"/>
                    <a:stretch>
                      <a:fillRect/>
                    </a:stretch>
                  </pic:blipFill>
                  <pic:spPr>
                    <a:xfrm>
                      <a:off x="0" y="0"/>
                      <a:ext cx="4572000" cy="2571750"/>
                    </a:xfrm>
                    <a:prstGeom prst="rect"/>
                  </pic:spPr>
                </pic:pic>
              </a:graphicData>
            </a:graphic>
          </wp:inline>
        </w:drawing>
      </w:r>
    </w:p>
    <w:p>
      <w:pPr>
        <w:spacing w:before="40" w:after="280"/>
        <w:jc w:val="center"/>
      </w:pPr>
      <w:r>
        <w:rPr>
          <w:rFonts w:ascii="Times New Roman" w:hAnsi="Times New Roman"/>
          <w:b/>
          <w:sz w:val="20"/>
          <w:rFonts w:ascii="Times New Roman" w:hAnsi="Times New Roman" w:cs="Times New Roman"/>
          <w:rFonts w:ascii="Times New Roman" w:hAnsi="Times New Roman" w:cs="Times New Roman"/>
        </w:rPr>
        <w:t>Figure 3.7: Smart Heritage Tourism Explorer, GIS Proximity Services &amp; AI Trip Planner</w:t>
      </w:r>
    </w:p>
    <w:p>
      <w:pPr>
        <w:spacing w:line="360" w:lineRule="auto" w:before="160" w:after="40"/>
        <w:jc w:val="left"/>
      </w:pPr>
      <w:r>
        <w:rPr>
          <w:rFonts w:ascii="Times New Roman" w:hAnsi="Times New Roman"/>
          <w:b/>
          <w:sz w:val="24"/>
          <w:rFonts w:ascii="Times New Roman" w:hAnsi="Times New Roman" w:cs="Times New Roman"/>
          <w:rFonts w:ascii="Times New Roman" w:hAnsi="Times New Roman" w:cs="Times New Roman"/>
        </w:rPr>
        <w:t>3.3.8 Module 8: Emergency Medical Dispatch &amp; Ambulance Green Wave Preemption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emergency healthcare module coordinates active ambulance fleets across Gorakhpur. A real-time GPS movement simulator streams coordinates every 3 seconds. When a critical cardiac or trauma transit is dispatched, the system triggers the Ambulance Green Wave algorithm, automatically pre-empting all downstream traffic signals to Force Green within a 90m radius, ensuring zero red-light transit delays.</w:t>
      </w:r>
    </w:p>
    <w:p>
      <w:pPr>
        <w:spacing w:before="160" w:after="80"/>
        <w:jc w:val="center"/>
      </w:pPr>
      <w:r>
        <w:rPr>
          <w:rFonts w:ascii="Times New Roman" w:hAnsi="Times New Roman"/>
          <w:rFonts w:ascii="Times New Roman" w:hAnsi="Times New Roman" w:cs="Times New Roman"/>
        </w:rPr>
        <w:drawing>
          <wp:inline xmlns:a="http://schemas.openxmlformats.org/drawingml/2006/main" xmlns:pic="http://schemas.openxmlformats.org/drawingml/2006/picture">
            <wp:extent cx="4572000" cy="2571750"/>
            <wp:docPr id="9" name="Picture 9"/>
            <wp:cNvGraphicFramePr>
              <a:graphicFrameLocks noChangeAspect="1"/>
            </wp:cNvGraphicFramePr>
            <a:graphic>
              <a:graphicData uri="http://schemas.openxmlformats.org/drawingml/2006/picture">
                <pic:pic>
                  <pic:nvPicPr>
                    <pic:cNvPr id="0" name="emergency_dispatch.png"/>
                    <pic:cNvPicPr/>
                  </pic:nvPicPr>
                  <pic:blipFill>
                    <a:blip r:embed="rId18"/>
                    <a:stretch>
                      <a:fillRect/>
                    </a:stretch>
                  </pic:blipFill>
                  <pic:spPr>
                    <a:xfrm>
                      <a:off x="0" y="0"/>
                      <a:ext cx="4572000" cy="2571750"/>
                    </a:xfrm>
                    <a:prstGeom prst="rect"/>
                  </pic:spPr>
                </pic:pic>
              </a:graphicData>
            </a:graphic>
          </wp:inline>
        </w:drawing>
      </w:r>
    </w:p>
    <w:p>
      <w:pPr>
        <w:spacing w:before="40" w:after="280"/>
        <w:jc w:val="center"/>
      </w:pPr>
      <w:r>
        <w:rPr>
          <w:rFonts w:ascii="Times New Roman" w:hAnsi="Times New Roman"/>
          <w:b/>
          <w:sz w:val="20"/>
          <w:rFonts w:ascii="Times New Roman" w:hAnsi="Times New Roman" w:cs="Times New Roman"/>
          <w:rFonts w:ascii="Times New Roman" w:hAnsi="Times New Roman" w:cs="Times New Roman"/>
        </w:rPr>
        <w:t>Figure 3.8: Emergency Medical Ambulance Fleet Tracker &amp; Corridor Green Wave Console</w:t>
      </w:r>
    </w:p>
    <w:p>
      <w:r>
        <w:rPr>
          <w:rFonts w:ascii="Times New Roman" w:hAnsi="Times New Roman"/>
          <w:rFonts w:ascii="Times New Roman" w:hAnsi="Times New Roman" w:cs="Times New Roman"/>
        </w:rPr>
        <w:br w:type="page"/>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3.4 Relational Database Design (129 Tables Schema)</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underlying database is engineered in MySQL 8.0, comprising 129 production tables structured into logical sub-schemas: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Traffic Sub-Schema: traffic_junctions, traffic_signals, traffic_cameras, traffic_violations, traffic_corridors, traffic_movement_rules, traffic_audit_logs, traffic_ai_settings.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Water Sub-Schema: water_pipelines, water_tanks, water_sectors, water_fault_records, water_quality_logs, sewage_planned_routes, sewage_surveyed_road_corridors, water_network_assets.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Waste Sub-Schema: waste_bins, waste_vehicles, waste_routes, waste_workers, waste_bin_requests, waste_predictions.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Police Sub-Schema: police_stations, police_complaints, police_hotlist, police_safe_rides, police_sos_alerts, police_stats, police_verifications.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Parking Sub-Schema: parking_lots, parking_slots, parking_bookings, parking_entries, parking_anpr_scans, parking_occupancy_log.</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Tourism Sub-Schema: famous_places, place_reviews, place_civic_issues, place_favorites, city_atms, city_restaurants.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Emergency &amp; Healthcare Sub-Schema: emergency_incidents, ambulances, ambulance_green_waves, hospitals, hospital_beds, doctors, appointments, pharmacy.</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3.5 Security, Cryptography &amp; Role-Based Access Control (RBAC)</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Enterprise security is implemented at multiple operational layers: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Stateless JWT Bearer Authentication: Cryptographically signed tokens (HMAC-SHA256) with 7-day expiration enforcing role scopes on all sensitive modification routes.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Password Cryptography: Scrypt hashing algorithm (cost factor N=16384, r=8, p=1) with 128-bit cryptographically secure random salts preventing rainbow table attacks.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Departmental Jurisdiction Isolation: A staff officer belonging to the Water department is strictly blocked (HTTP 403 Forbidden) from executing traffic light overrides or accessing police CCTNS records.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DoS &amp; Brute-Force Rate Limiting: Token-bucket middleware restricting login attempts, distress SOS triggers, and AI queries to prevent denial-of-service degradation.</w:t>
      </w:r>
    </w:p>
    <w:p>
      <w:r>
        <w:rPr>
          <w:rFonts w:ascii="Times New Roman" w:hAnsi="Times New Roman"/>
          <w:rFonts w:ascii="Times New Roman" w:hAnsi="Times New Roman" w:cs="Times New Roman"/>
        </w:rPr>
        <w:br w:type="page"/>
      </w:r>
    </w:p>
    <w:p>
      <w:pPr>
        <w:spacing w:line="360" w:lineRule="auto" w:before="280" w:after="120"/>
        <w:jc w:val="left"/>
      </w:pPr>
      <w:r>
        <w:rPr>
          <w:rFonts w:ascii="Times New Roman" w:hAnsi="Times New Roman"/>
          <w:b/>
          <w:sz w:val="32"/>
          <w:rFonts w:ascii="Times New Roman" w:hAnsi="Times New Roman" w:cs="Times New Roman"/>
          <w:rFonts w:ascii="Times New Roman" w:hAnsi="Times New Roman" w:cs="Times New Roman"/>
        </w:rPr>
        <w:t>4. FACILITIES REQUIRED FOR PROPOSED WORK</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4.1 Software Requirements</w:t>
      </w:r>
    </w:p>
    <w:p>
      <w:pPr>
        <w:spacing w:before="200" w:after="80"/>
        <w:jc w:val="center"/>
      </w:pPr>
      <w:r>
        <w:rPr>
          <w:rFonts w:ascii="Times New Roman" w:hAnsi="Times New Roman"/>
          <w:b/>
          <w:sz w:val="20"/>
          <w:rFonts w:ascii="Times New Roman" w:hAnsi="Times New Roman" w:cs="Times New Roman"/>
          <w:rFonts w:ascii="Times New Roman" w:hAnsi="Times New Roman" w:cs="Times New Roman"/>
        </w:rPr>
        <w:t>Table 4.1: Software Development &amp; Runtime Requirements</w:t>
      </w:r>
    </w:p>
    <w:tbl>
      <w:tblPr>
        <w:tblW w:type="auto" w:w="0"/>
        <w:jc w:val="center"/>
        <w:tblLook w:firstColumn="1" w:firstRow="1" w:lastColumn="0" w:lastRow="0" w:noHBand="0" w:noVBand="1" w:val="04A0"/>
        <w:tblBorders>
          <w:top w:val="single" w:sz="6" w:space="0" w:color="B0B0B0"/>
          <w:bottom w:val="single" w:sz="6" w:space="0" w:color="B0B0B0"/>
          <w:insideH w:val="single" w:sz="4" w:space="0" w:color="B0B0B0"/>
          <w:insideV w:val="single" w:sz="4" w:space="0" w:color="B0B0B0"/>
          <w:left w:val="single" w:sz="6" w:space="0" w:color="B0B0B0"/>
          <w:right w:val="single" w:sz="6" w:space="0" w:color="B0B0B0"/>
        </w:tblBorders>
      </w:tblPr>
      <w:tblGrid>
        <w:gridCol w:w="3072"/>
        <w:gridCol w:w="3072"/>
        <w:gridCol w:w="3072"/>
      </w:tblGrid>
      <w:tr>
        <w:tc>
          <w:tcPr>
            <w:tcW w:type="dxa" w:w="3072"/>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Component</w:t>
            </w:r>
          </w:p>
        </w:tc>
        <w:tc>
          <w:tcPr>
            <w:tcW w:type="dxa" w:w="3072"/>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Software Tool / Technology</w:t>
            </w:r>
          </w:p>
        </w:tc>
        <w:tc>
          <w:tcPr>
            <w:tcW w:type="dxa" w:w="3072"/>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Specification / Version</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Operating System</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Microsoft Windows 11 / Ubuntu Linux</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64-bit Architecture</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Runtime Environment</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Node.js &amp; Python</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Node.js v24 LTS / Python 3.13</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Web Frameworks</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Express.js &amp; FastAPI</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Express v5.2 / FastAPI v0.115</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Relational Database</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MySQL Community Server</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MySQL 8.0.36+ (InnoDB Engine)</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GIS Mapping Libraries</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OpenLayers &amp; Leaflet.js</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OpenLayers v9.0 / Leaflet v1.9.4</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Containerization</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Docker &amp; Docker Compose</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Docker Desktop v24+ / Compose v3.8</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Mobile Engine</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Ionic Capacitor Android Platform</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Capacitor CLI v8.5 / Android Studio</w:t>
            </w:r>
          </w:p>
        </w:tc>
      </w:tr>
    </w:tbl>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4.2 Hardware Specifications</w:t>
      </w:r>
    </w:p>
    <w:p>
      <w:pPr>
        <w:spacing w:before="200" w:after="80"/>
        <w:jc w:val="center"/>
      </w:pPr>
      <w:r>
        <w:rPr>
          <w:rFonts w:ascii="Times New Roman" w:hAnsi="Times New Roman"/>
          <w:b/>
          <w:sz w:val="20"/>
          <w:rFonts w:ascii="Times New Roman" w:hAnsi="Times New Roman" w:cs="Times New Roman"/>
          <w:rFonts w:ascii="Times New Roman" w:hAnsi="Times New Roman" w:cs="Times New Roman"/>
        </w:rPr>
        <w:t>Table 4.2: Hardware Infrastructure Specifications</w:t>
      </w:r>
    </w:p>
    <w:tbl>
      <w:tblPr>
        <w:tblW w:type="auto" w:w="0"/>
        <w:jc w:val="center"/>
        <w:tblLook w:firstColumn="1" w:firstRow="1" w:lastColumn="0" w:lastRow="0" w:noHBand="0" w:noVBand="1" w:val="04A0"/>
        <w:tblBorders>
          <w:top w:val="single" w:sz="6" w:space="0" w:color="B0B0B0"/>
          <w:bottom w:val="single" w:sz="6" w:space="0" w:color="B0B0B0"/>
          <w:insideH w:val="single" w:sz="4" w:space="0" w:color="B0B0B0"/>
          <w:insideV w:val="single" w:sz="4" w:space="0" w:color="B0B0B0"/>
          <w:left w:val="single" w:sz="6" w:space="0" w:color="B0B0B0"/>
          <w:right w:val="single" w:sz="6" w:space="0" w:color="B0B0B0"/>
        </w:tblBorders>
      </w:tblPr>
      <w:tblGrid>
        <w:gridCol w:w="3072"/>
        <w:gridCol w:w="3072"/>
        <w:gridCol w:w="3072"/>
      </w:tblGrid>
      <w:tr>
        <w:tc>
          <w:tcPr>
            <w:tcW w:type="dxa" w:w="3072"/>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Deployment Target</w:t>
            </w:r>
          </w:p>
        </w:tc>
        <w:tc>
          <w:tcPr>
            <w:tcW w:type="dxa" w:w="3072"/>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Minimum Hardware Specification</w:t>
            </w:r>
          </w:p>
        </w:tc>
        <w:tc>
          <w:tcPr>
            <w:tcW w:type="dxa" w:w="3072"/>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Recommended Production Specification</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ICCC Server Host</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Intel Core i5 / AMD Ryzen 5, 16 GB RAM, 256 GB SSD</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Intel Xeon / AMD EPYC (8 Core), 32 GB ECC RAM, 1 TB NVMe SSD</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Control Room Client</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Intel Core i3, 8 GB RAM, Full HD Display (1080p)</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Intel Core i7, 16 GB RAM, Dual 4K Ultra HD Display Monitors</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Edge CCTV ANPR Node</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Raspberry Pi 4 / Jetson Nano (4 GB RAM)</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NVIDIA Jetson Orin Nano (8 GB) with Optical Sony Starvis Sensor</w:t>
            </w:r>
          </w:p>
        </w:tc>
      </w:tr>
      <w:tr>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Field Mobile Device</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Android 10+ Smartphone with GPS &amp; 4G Connectivity</w:t>
            </w:r>
          </w:p>
        </w:tc>
        <w:tc>
          <w:tcPr>
            <w:tcW w:type="dxa" w:w="3072"/>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Android 13+ Rugged Handheld Terminal with 5G Telemetry</w:t>
            </w:r>
          </w:p>
        </w:tc>
      </w:tr>
    </w:tbl>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4.3 Network, Cloud &amp; Edge Infrastructure</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Dedicated 100 Mbps municipal fiber backhaul connecting junction controllers to the ICCC.</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Secure 4G/5G mobile cellular telemetry for active ambulances, waste compactors, and police PRV units.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SSL/TLS encrypted HTTPS and WSS endpoints shielded behind Nginx reverse proxy.</w:t>
      </w:r>
    </w:p>
    <w:p>
      <w:r>
        <w:rPr>
          <w:rFonts w:ascii="Times New Roman" w:hAnsi="Times New Roman"/>
          <w:rFonts w:ascii="Times New Roman" w:hAnsi="Times New Roman" w:cs="Times New Roman"/>
        </w:rPr>
        <w:br w:type="page"/>
      </w:r>
    </w:p>
    <w:p>
      <w:pPr>
        <w:spacing w:line="360" w:lineRule="auto" w:before="280" w:after="120"/>
        <w:jc w:val="left"/>
      </w:pPr>
      <w:r>
        <w:rPr>
          <w:rFonts w:ascii="Times New Roman" w:hAnsi="Times New Roman"/>
          <w:b/>
          <w:sz w:val="32"/>
          <w:rFonts w:ascii="Times New Roman" w:hAnsi="Times New Roman" w:cs="Times New Roman"/>
          <w:rFonts w:ascii="Times New Roman" w:hAnsi="Times New Roman" w:cs="Times New Roman"/>
        </w:rPr>
        <w:t>5. BENEFITS AND IMPACT OF THE PROJECT</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5.1 Municipal Operational Efficiency</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SmartCity AI transforms manual municipal record-keeping into automated, verifiable workflows. Municipal administrators obtain instantaneous situation awareness across all agency jurisdictions. Routine clerical reconciliation between departments is completely eliminated, reducing administrative overhead by an estimated 60%. Municipal water engineers can design sewer networks digitally before ground excavation, avoiding costly underground fiber cuts and pipeline breaches.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automated ticketing and work order system ensures that maintenance crews receive precise GPS coordinates of broken pipelines, overflowing dustbins, or malfunctioning traffic signal heads within seconds of anomaly detection, slashing municipal resolution turnaround times.</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5.2 Public Safety &amp; Emergency Healthcare Acceleration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Ambulance Green Wave preemption algorithm directly impacts human survivability during critical medical emergencies (cardiac arrests, stroke, severe road trauma). By opening automated green transit corridors along Gorakhpur's primary arterial routes (e.g., Mohaddipur to BRD Medical College), ambulance travel time is curtailed by 35-45%, preserving the vital 'Golden Hour' of medical intervention.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In parallel, the Police SOS Geo-Beacon system dispatches the nearest UP-112 Pink Patrol vehicle within seconds of a distress trigger. Real-time victim location streaming and emergency contact auto-SMS notifications provide an unprecedented protective safety umbrella for women and senior citizens across Gorakhpur.</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5.3 Sustainability, Environmental &amp; Carbon Reduction Impact</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Urban traffic idling at congested junctions is a leading contributor to urban air quality degradation (PM2.5 and PM10 particulate accumulation). By optimizing Webster cycle green signal allocations to actual vehicular queue volumes, vehicle idling time drops by up to 26%, directly curtailing carbon monoxide (CO) and greenhouse gas emissions.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Furthermore, predictive solid waste route planning decreases municipal compactor diesel consumption by 22-28%, fostering a cleaner and sustainable urban biosphere while reducing municipal fuel bills.</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5.4 Socio-Economic ROI and Replicability in Tier-2/3 Indian Cities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SmartCity AI demonstrates that modern open-source web technologies and machine learning can be deployed without multimillion-dollar proprietary software licenses. The platform provides a direct economic return on investment through automated e-challan collection, recovered parking lease revenues, and optimized municipal fuel usage. Its modular, containerized architecture makes it directly replicable across other burgeoning Tier-2 and Tier-3 urban centers in India.</w:t>
      </w:r>
    </w:p>
    <w:p>
      <w:r>
        <w:rPr>
          <w:rFonts w:ascii="Times New Roman" w:hAnsi="Times New Roman"/>
          <w:rFonts w:ascii="Times New Roman" w:hAnsi="Times New Roman" w:cs="Times New Roman"/>
        </w:rPr>
        <w:br w:type="page"/>
      </w:r>
    </w:p>
    <w:p>
      <w:pPr>
        <w:spacing w:line="360" w:lineRule="auto" w:before="280" w:after="120"/>
        <w:jc w:val="left"/>
      </w:pPr>
      <w:r>
        <w:rPr>
          <w:rFonts w:ascii="Times New Roman" w:hAnsi="Times New Roman"/>
          <w:b/>
          <w:sz w:val="32"/>
          <w:rFonts w:ascii="Times New Roman" w:hAnsi="Times New Roman" w:cs="Times New Roman"/>
          <w:rFonts w:ascii="Times New Roman" w:hAnsi="Times New Roman" w:cs="Times New Roman"/>
        </w:rPr>
        <w:t>6. PROJECT WORK PLAN &amp; TIMELINE / GANTT CHART</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6.1 Work Breakdown Structure &amp; Milestones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The project follows a rigorous, six-phase phased development lifecycle spanning 24 weeks. Each phase includes verifiable engineering milestones, automated integration testing, and formal sign-offs.</w:t>
      </w:r>
    </w:p>
    <w:p>
      <w:pPr>
        <w:spacing w:before="200" w:after="80"/>
        <w:jc w:val="center"/>
      </w:pPr>
      <w:r>
        <w:rPr>
          <w:rFonts w:ascii="Times New Roman" w:hAnsi="Times New Roman"/>
          <w:b/>
          <w:sz w:val="20"/>
          <w:rFonts w:ascii="Times New Roman" w:hAnsi="Times New Roman" w:cs="Times New Roman"/>
          <w:rFonts w:ascii="Times New Roman" w:hAnsi="Times New Roman" w:cs="Times New Roman"/>
        </w:rPr>
        <w:t>Table 6.1: Project Work Breakdown Structure &amp; Timeline Milestones</w:t>
      </w:r>
    </w:p>
    <w:tbl>
      <w:tblPr>
        <w:tblW w:type="auto" w:w="0"/>
        <w:jc w:val="center"/>
        <w:tblLook w:firstColumn="1" w:firstRow="1" w:lastColumn="0" w:lastRow="0" w:noHBand="0" w:noVBand="1" w:val="04A0"/>
        <w:tblBorders>
          <w:top w:val="single" w:sz="6" w:space="0" w:color="B0B0B0"/>
          <w:bottom w:val="single" w:sz="6" w:space="0" w:color="B0B0B0"/>
          <w:insideH w:val="single" w:sz="4" w:space="0" w:color="B0B0B0"/>
          <w:insideV w:val="single" w:sz="4" w:space="0" w:color="B0B0B0"/>
          <w:left w:val="single" w:sz="6" w:space="0" w:color="B0B0B0"/>
          <w:right w:val="single" w:sz="6" w:space="0" w:color="B0B0B0"/>
        </w:tblBorders>
      </w:tblPr>
      <w:tblGrid>
        <w:gridCol w:w="2304"/>
        <w:gridCol w:w="2304"/>
        <w:gridCol w:w="2304"/>
        <w:gridCol w:w="2304"/>
      </w:tblGrid>
      <w:tr>
        <w:tc>
          <w:tcPr>
            <w:tcW w:type="dxa" w:w="2304"/>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Phase</w:t>
            </w:r>
          </w:p>
        </w:tc>
        <w:tc>
          <w:tcPr>
            <w:tcW w:type="dxa" w:w="2304"/>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Work Description / Key Milestone</w:t>
            </w:r>
          </w:p>
        </w:tc>
        <w:tc>
          <w:tcPr>
            <w:tcW w:type="dxa" w:w="2304"/>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Duration</w:t>
            </w:r>
          </w:p>
        </w:tc>
        <w:tc>
          <w:tcPr>
            <w:tcW w:type="dxa" w:w="2304"/>
            <w:shd w:fill="F1F5F9"/>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Status</w:t>
            </w:r>
          </w:p>
        </w:tc>
      </w:tr>
      <w:tr>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Phase 1</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Literature Review, Feasibility Study &amp; Gorakhpur Urban Data Modeling</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Weeks 1–4</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59669"/>
                <w:sz w:val="20"/>
                <w:rFonts w:ascii="Times New Roman" w:hAnsi="Times New Roman" w:cs="Times New Roman"/>
                <w:rFonts w:ascii="Times New Roman" w:hAnsi="Times New Roman" w:cs="Times New Roman"/>
              </w:rPr>
              <w:t>Completed (100%)</w:t>
            </w:r>
          </w:p>
        </w:tc>
      </w:tr>
      <w:tr>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Phase 2</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Relational Database Engineering (129 Tables) &amp; Migration Scripting</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Weeks 5–8</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59669"/>
                <w:sz w:val="20"/>
                <w:rFonts w:ascii="Times New Roman" w:hAnsi="Times New Roman" w:cs="Times New Roman"/>
                <w:rFonts w:ascii="Times New Roman" w:hAnsi="Times New Roman" w:cs="Times New Roman"/>
              </w:rPr>
              <w:t>Completed (100%)</w:t>
            </w:r>
          </w:p>
        </w:tc>
      </w:tr>
      <w:tr>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Phase 3</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Master Backend Gateway (Express 5), JWT Auth &amp; WebSocket Server</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Weeks 9–13</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59669"/>
                <w:sz w:val="20"/>
                <w:rFonts w:ascii="Times New Roman" w:hAnsi="Times New Roman" w:cs="Times New Roman"/>
                <w:rFonts w:ascii="Times New Roman" w:hAnsi="Times New Roman" w:cs="Times New Roman"/>
              </w:rPr>
              <w:t>Completed (100%)</w:t>
            </w:r>
          </w:p>
        </w:tc>
      </w:tr>
      <w:tr>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Phase 4</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Python FastAPI ML Service &amp; Webster Signal Optimization Models</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Weeks 14–17</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59669"/>
                <w:sz w:val="20"/>
                <w:rFonts w:ascii="Times New Roman" w:hAnsi="Times New Roman" w:cs="Times New Roman"/>
                <w:rFonts w:ascii="Times New Roman" w:hAnsi="Times New Roman" w:cs="Times New Roman"/>
              </w:rPr>
              <w:t>Completed (100%)</w:t>
            </w:r>
          </w:p>
        </w:tc>
      </w:tr>
      <w:tr>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Phase 5</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GIS Vector Mapping (OpenLayers/Leaflet) &amp; Responsive Module Consoles</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Weeks 18–21</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59669"/>
                <w:sz w:val="20"/>
                <w:rFonts w:ascii="Times New Roman" w:hAnsi="Times New Roman" w:cs="Times New Roman"/>
                <w:rFonts w:ascii="Times New Roman" w:hAnsi="Times New Roman" w:cs="Times New Roman"/>
              </w:rPr>
              <w:t>Completed (100%)</w:t>
            </w:r>
          </w:p>
        </w:tc>
      </w:tr>
      <w:tr>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00000"/>
                <w:sz w:val="20"/>
                <w:rFonts w:ascii="Times New Roman" w:hAnsi="Times New Roman" w:cs="Times New Roman"/>
                <w:rFonts w:ascii="Times New Roman" w:hAnsi="Times New Roman" w:cs="Times New Roman"/>
              </w:rPr>
              <w:t>Phase 6</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End-to-End System Testing, Security Hardening &amp; Android APK Build</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val="0"/>
                <w:i w:val="0"/>
                <w:color w:val="000000"/>
                <w:sz w:val="20"/>
                <w:rFonts w:ascii="Times New Roman" w:hAnsi="Times New Roman" w:cs="Times New Roman"/>
                <w:rFonts w:ascii="Times New Roman" w:hAnsi="Times New Roman" w:cs="Times New Roman"/>
              </w:rPr>
              <w:t>Weeks 22–24</w:t>
            </w:r>
          </w:p>
        </w:tc>
        <w:tc>
          <w:tcPr>
            <w:tcW w:type="dxa" w:w="2304"/>
          </w:tcPr>
          <w:p>
            <w:pPr>
              <w:spacing w:line="276" w:lineRule="auto" w:before="0" w:after="40"/>
              <w:jc w:val="left"/>
            </w:pPr>
            <w:r>
              <w:rPr>
                <w:rFonts w:ascii="Times New Roman" w:hAnsi="Times New Roman"/>
                <w:rFonts w:ascii="Times New Roman" w:hAnsi="Times New Roman" w:cs="Times New Roman"/>
              </w:rPr>
            </w:r>
            <w:r>
              <w:rPr>
                <w:rFonts w:ascii="Times New Roman" w:hAnsi="Times New Roman"/>
                <w:b/>
                <w:i w:val="0"/>
                <w:color w:val="059669"/>
                <w:sz w:val="20"/>
                <w:rFonts w:ascii="Times New Roman" w:hAnsi="Times New Roman" w:cs="Times New Roman"/>
                <w:rFonts w:ascii="Times New Roman" w:hAnsi="Times New Roman" w:cs="Times New Roman"/>
              </w:rPr>
              <w:t>Completed (100%)</w:t>
            </w:r>
          </w:p>
        </w:tc>
      </w:tr>
    </w:tbl>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6.2 Phased Sprint Execution &amp; Deliverables Matrix</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Sprints 1–4 (Foundational Urban Schema): Mapped 9 Gorakhpur traffic junctions, 132 parking slots, and underground water/sewage pipelines into 129 MySQL tables.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Sprints 5–8 (Core Gateway &amp; Microservices): Deployed Node.js Express 5.2 master API gateway and Python FastAPI ML engine with bi-directional WebSocket streaming.</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Sprints 9–10 (GIS Consoles &amp; Visual Telemetry): Implemented 8 responsive Glassmorphic operational consoles with OpenLayers vector mapping and Leaflet tactical navigation.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Sprints 11–12 (System Verification &amp; Security Hardening): Executed live GET/POST audit across 127 endpoints with 0 runtime errors and compiled native Android APK via Ionic Capacitor.</w:t>
      </w:r>
    </w:p>
    <w:p>
      <w:r>
        <w:rPr>
          <w:rFonts w:ascii="Times New Roman" w:hAnsi="Times New Roman"/>
          <w:rFonts w:ascii="Times New Roman" w:hAnsi="Times New Roman" w:cs="Times New Roman"/>
        </w:rPr>
        <w:br w:type="page"/>
      </w:r>
    </w:p>
    <w:p>
      <w:pPr>
        <w:spacing w:line="360" w:lineRule="auto" w:before="280" w:after="120"/>
        <w:jc w:val="left"/>
      </w:pPr>
      <w:r>
        <w:rPr>
          <w:rFonts w:ascii="Times New Roman" w:hAnsi="Times New Roman"/>
          <w:b/>
          <w:sz w:val="32"/>
          <w:rFonts w:ascii="Times New Roman" w:hAnsi="Times New Roman" w:cs="Times New Roman"/>
          <w:rFonts w:ascii="Times New Roman" w:hAnsi="Times New Roman" w:cs="Times New Roman"/>
        </w:rPr>
        <w:t>7. CONCLUSION AND FUTURE RESEARCH DIRECTIONS</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7.1 Conclusion &amp; Summary of Contributions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This project successfully conceptualizes, designs, and validates SmartCity AI — an integrated municipal digital twin and Integrated Command and Control Centre (ICCC) engineered specifically for the urban topography of Gorakhpur. By breaking departmental barriers across traffic, water, waste, police, parking, tourism, and emergency medical healthcare, the platform demonstrates that modern open-standard web technologies, coupled with lightweight machine learning and WebSocket streaming, can deliver enterprise-grade civic management without multimillion-dollar proprietary software overhead.</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Comprehensive live verification against 127 API endpoints confirmed 100% operational stability, sub-second GIS render paint times, and robust cryptographic isolation. SmartCity AI stands as a scalable, cost-effective, and transformative blueprint for next-generation smart governance in developing urban centers across India.</w:t>
      </w:r>
    </w:p>
    <w:p>
      <w:pPr>
        <w:spacing w:line="360" w:lineRule="auto" w:before="200" w:after="80"/>
        <w:jc w:val="left"/>
      </w:pPr>
      <w:r>
        <w:rPr>
          <w:rFonts w:ascii="Times New Roman" w:hAnsi="Times New Roman"/>
          <w:b/>
          <w:sz w:val="28"/>
          <w:rFonts w:ascii="Times New Roman" w:hAnsi="Times New Roman" w:cs="Times New Roman"/>
          <w:rFonts w:ascii="Times New Roman" w:hAnsi="Times New Roman" w:cs="Times New Roman"/>
        </w:rPr>
        <w:t>7.2 Future Scope &amp; Research Extensions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Future enhancements identified for subsequent research and industrial development include:</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Edge AI Hardware Acceleration: Deploying TensorRT-optimized optical ANPR models directly onto roadside NVIDIA Jetson edge nodes for sub-millisecond vehicle plate recognition.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Drone Aerial Surveillance Integration: Interfacing autonomous municipal UAVs for flood waterlogging aerial surveys during monsoon seasons.</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5G Narrowband IoT (NB-IoT) Water Quality Meters: Ingesting high-frequency real-time turbidity, pH, and dissolved chlorine telemetry directly into the water digital twin.</w:t>
      </w:r>
    </w:p>
    <w:p>
      <w:pPr>
        <w:spacing w:line="360" w:lineRule="auto" w:before="0" w:after="120"/>
        <w:jc w:val="both"/>
      </w:pPr>
      <w:r>
        <w:rPr>
          <w:rFonts w:ascii="Times New Roman" w:hAnsi="Times New Roman"/>
          <w:b w:val="0"/>
          <w:i w:val="0"/>
          <w:sz w:val="24"/>
          <w:rFonts w:ascii="Times New Roman" w:hAnsi="Times New Roman" w:cs="Times New Roman"/>
          <w:rFonts w:ascii="Times New Roman" w:hAnsi="Times New Roman" w:cs="Times New Roman"/>
        </w:rPr>
        <w:t>• Predictive City Budgeting AI: Utilizing historical grievance resolution costs to forecast municipal department budget allocations for Gorakhpur Nagar Nigam.</w:t>
      </w:r>
    </w:p>
    <w:p>
      <w:r>
        <w:rPr>
          <w:rFonts w:ascii="Times New Roman" w:hAnsi="Times New Roman"/>
          <w:rFonts w:ascii="Times New Roman" w:hAnsi="Times New Roman" w:cs="Times New Roman"/>
        </w:rPr>
        <w:br w:type="page"/>
      </w:r>
    </w:p>
    <w:p>
      <w:pPr>
        <w:spacing w:line="360" w:lineRule="auto" w:before="280" w:after="120"/>
        <w:jc w:val="left"/>
      </w:pPr>
      <w:r>
        <w:rPr>
          <w:rFonts w:ascii="Times New Roman" w:hAnsi="Times New Roman"/>
          <w:b/>
          <w:sz w:val="32"/>
          <w:rFonts w:ascii="Times New Roman" w:hAnsi="Times New Roman" w:cs="Times New Roman"/>
          <w:rFonts w:ascii="Times New Roman" w:hAnsi="Times New Roman" w:cs="Times New Roman"/>
        </w:rPr>
        <w:t>8. REFERENCES (IEEE FORMAT)</w:t>
      </w:r>
    </w:p>
    <w:p>
      <w:pPr>
        <w:spacing w:line="360" w:lineRule="auto" w:before="40" w:after="120"/>
        <w:jc w:val="left"/>
      </w:pPr>
      <w:r>
        <w:rPr>
          <w:rFonts w:ascii="Times New Roman" w:hAnsi="Times New Roman"/>
          <w:b w:val="0"/>
          <w:i w:val="0"/>
          <w:sz w:val="22"/>
          <w:rFonts w:ascii="Times New Roman" w:hAnsi="Times New Roman" w:cs="Times New Roman"/>
          <w:rFonts w:ascii="Times New Roman" w:hAnsi="Times New Roman" w:cs="Times New Roman"/>
        </w:rPr>
        <w:t>[1] H. Chourabi, T. Nam, S. Walker, J. R. Gil-Garcia, S. Mellouli, K. Nahon, T. A. Pardo, and H. J. Scholl, 'Understanding smart cities: An integrative framework,' in 45th Hawaii International Conference on System Sciences (HICSS), 2012, pp. 2289–2297.</w:t>
      </w:r>
    </w:p>
    <w:p>
      <w:pPr>
        <w:spacing w:line="360" w:lineRule="auto" w:before="40" w:after="120"/>
        <w:jc w:val="left"/>
      </w:pPr>
      <w:r>
        <w:rPr>
          <w:rFonts w:ascii="Times New Roman" w:hAnsi="Times New Roman"/>
          <w:b w:val="0"/>
          <w:i w:val="0"/>
          <w:sz w:val="22"/>
          <w:rFonts w:ascii="Times New Roman" w:hAnsi="Times New Roman" w:cs="Times New Roman"/>
          <w:rFonts w:ascii="Times New Roman" w:hAnsi="Times New Roman" w:cs="Times New Roman"/>
        </w:rPr>
        <w:t>[2] F. V. Webster, 'Traffic signal settings,' Road Research Technical Paper No. 39, Road Research Laboratory, Her Majesty's Stationery Office, London, UK, 1958.</w:t>
      </w:r>
    </w:p>
    <w:p>
      <w:pPr>
        <w:spacing w:line="360" w:lineRule="auto" w:before="40" w:after="120"/>
        <w:jc w:val="left"/>
      </w:pPr>
      <w:r>
        <w:rPr>
          <w:rFonts w:ascii="Times New Roman" w:hAnsi="Times New Roman"/>
          <w:b w:val="0"/>
          <w:i w:val="0"/>
          <w:sz w:val="22"/>
          <w:rFonts w:ascii="Times New Roman" w:hAnsi="Times New Roman" w:cs="Times New Roman"/>
          <w:rFonts w:ascii="Times New Roman" w:hAnsi="Times New Roman" w:cs="Times New Roman"/>
        </w:rPr>
        <w:t>[3] A. Zanella, N. Bui, A. Castellani, L. Vangelista, and M. Zorzi, 'Internet of Things for smart cities,' IEEE Internet of Things Journal, vol. 1, no. 1, pp. 22–32, Feb. 2014.</w:t>
      </w:r>
    </w:p>
    <w:p>
      <w:pPr>
        <w:spacing w:line="360" w:lineRule="auto" w:before="40" w:after="120"/>
        <w:jc w:val="left"/>
      </w:pPr>
      <w:r>
        <w:rPr>
          <w:rFonts w:ascii="Times New Roman" w:hAnsi="Times New Roman"/>
          <w:b w:val="0"/>
          <w:i w:val="0"/>
          <w:sz w:val="22"/>
          <w:rFonts w:ascii="Times New Roman" w:hAnsi="Times New Roman" w:cs="Times New Roman"/>
          <w:rFonts w:ascii="Times New Roman" w:hAnsi="Times New Roman" w:cs="Times New Roman"/>
        </w:rPr>
        <w:t>[4] Ministry of Housing and Urban Affairs (MoHUA), Government of India, 'Smart Cities Mission: Statement &amp; Guidelines,' New Delhi, India, 2015.</w:t>
      </w:r>
    </w:p>
    <w:p>
      <w:pPr>
        <w:spacing w:line="360" w:lineRule="auto" w:before="40" w:after="120"/>
        <w:jc w:val="left"/>
      </w:pPr>
      <w:r>
        <w:rPr>
          <w:rFonts w:ascii="Times New Roman" w:hAnsi="Times New Roman"/>
          <w:b w:val="0"/>
          <w:i w:val="0"/>
          <w:sz w:val="22"/>
          <w:rFonts w:ascii="Times New Roman" w:hAnsi="Times New Roman" w:cs="Times New Roman"/>
          <w:rFonts w:ascii="Times New Roman" w:hAnsi="Times New Roman" w:cs="Times New Roman"/>
        </w:rPr>
        <w:t>[5] M. Batty, K. W. Axhausen, F. Giannotti, A. Pozdnoukhov, A. Bazzani, M. Wachowicz, G. Ouzounis, and Y. Portugali, 'Smart cities of the future,' The European Physical Journal Special Topics, vol. 214, no. 1, pp. 481–518, 2012.</w:t>
      </w:r>
    </w:p>
    <w:p>
      <w:pPr>
        <w:spacing w:line="360" w:lineRule="auto" w:before="40" w:after="120"/>
        <w:jc w:val="left"/>
      </w:pPr>
      <w:r>
        <w:rPr>
          <w:rFonts w:ascii="Times New Roman" w:hAnsi="Times New Roman"/>
          <w:b w:val="0"/>
          <w:i w:val="0"/>
          <w:sz w:val="22"/>
          <w:rFonts w:ascii="Times New Roman" w:hAnsi="Times New Roman" w:cs="Times New Roman"/>
          <w:rFonts w:ascii="Times New Roman" w:hAnsi="Times New Roman" w:cs="Times New Roman"/>
        </w:rPr>
        <w:t>[6] J. Jin, J. Gubbi, S. Marusic, and M. Palaniswami, 'An information framework for creating a smart city through Internet of Things,' IEEE Internet of Things Journal, vol. 1, no. 2, pp. 112–121, Apr. 2014.</w:t>
      </w:r>
    </w:p>
    <w:p>
      <w:pPr>
        <w:spacing w:line="360" w:lineRule="auto" w:before="40" w:after="120"/>
        <w:jc w:val="left"/>
      </w:pPr>
      <w:r>
        <w:rPr>
          <w:rFonts w:ascii="Times New Roman" w:hAnsi="Times New Roman"/>
          <w:b w:val="0"/>
          <w:i w:val="0"/>
          <w:sz w:val="22"/>
          <w:rFonts w:ascii="Times New Roman" w:hAnsi="Times New Roman" w:cs="Times New Roman"/>
          <w:rFonts w:ascii="Times New Roman" w:hAnsi="Times New Roman" w:cs="Times New Roman"/>
        </w:rPr>
        <w:t>[7] C. Harrison, B. Eckman, R. Hamilton, P. Hartswick, J. Kalagnanam, J. Paraszczak, and P. Williams, 'Foundations for smarter cities,' IBM Journal of Research and Development, vol. 54, no. 4, pp. 1–16, Jul. 2010.</w:t>
      </w:r>
    </w:p>
    <w:p>
      <w:pPr>
        <w:spacing w:line="360" w:lineRule="auto" w:before="40" w:after="120"/>
        <w:jc w:val="left"/>
      </w:pPr>
      <w:r>
        <w:rPr>
          <w:rFonts w:ascii="Times New Roman" w:hAnsi="Times New Roman"/>
          <w:b w:val="0"/>
          <w:i w:val="0"/>
          <w:sz w:val="22"/>
          <w:rFonts w:ascii="Times New Roman" w:hAnsi="Times New Roman" w:cs="Times New Roman"/>
          <w:rFonts w:ascii="Times New Roman" w:hAnsi="Times New Roman" w:cs="Times New Roman"/>
        </w:rPr>
        <w:t>[8] S. E. Bibri and J. Krogstie, 'Smart sustainable cities of the future: An extensive interdisciplinary literature review,' Sustainable Cities and Society, vol. 31, pp. 183–212, May 2017.</w:t>
      </w:r>
    </w:p>
    <w:p>
      <w:pPr>
        <w:spacing w:line="360" w:lineRule="auto" w:before="40" w:after="120"/>
        <w:jc w:val="left"/>
      </w:pPr>
      <w:r>
        <w:rPr>
          <w:rFonts w:ascii="Times New Roman" w:hAnsi="Times New Roman"/>
          <w:b w:val="0"/>
          <w:i w:val="0"/>
          <w:sz w:val="22"/>
          <w:rFonts w:ascii="Times New Roman" w:hAnsi="Times New Roman" w:cs="Times New Roman"/>
          <w:rFonts w:ascii="Times New Roman" w:hAnsi="Times New Roman" w:cs="Times New Roman"/>
        </w:rPr>
        <w:t>[9] Open Geospatial Consortium (OGC), 'OGC Open Geospatial Standards &amp; Web Feature Service (WFS) Specification,' OGC Standard 09-025r2, 2010.</w:t>
      </w:r>
    </w:p>
    <w:p>
      <w:pPr>
        <w:spacing w:line="360" w:lineRule="auto" w:before="40" w:after="120"/>
        <w:jc w:val="left"/>
      </w:pPr>
      <w:r>
        <w:rPr>
          <w:rFonts w:ascii="Times New Roman" w:hAnsi="Times New Roman"/>
          <w:b w:val="0"/>
          <w:i w:val="0"/>
          <w:sz w:val="22"/>
          <w:rFonts w:ascii="Times New Roman" w:hAnsi="Times New Roman" w:cs="Times New Roman"/>
          <w:rFonts w:ascii="Times New Roman" w:hAnsi="Times New Roman" w:cs="Times New Roman"/>
        </w:rPr>
        <w:t>[10] World Health Organization (WHO), 'Global status report on road safety 2023,' WHO Guidelines Approved by the Guidelines Review Committee, Geneva, Switzerland, 2023.</w:t>
      </w:r>
    </w:p>
    <w:sectPr w:rsidR="00FC693F" w:rsidRPr="0006063C" w:rsidSect="00034616">
      <w:footerReference w:type="default" r:id="rId9"/>
      <w:pgSz w:w="11909" w:h="16834"/>
      <w:pgMar w:top="1417" w:right="709" w:bottom="709" w:left="19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