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26"/>
        </w:rPr>
        <w:t>PIMPRI CHINCHWAD EDUCATION TRUST'S</w:t>
        <w:br/>
      </w:r>
      <w:r>
        <w:rPr>
          <w:b/>
          <w:color w:val="8B0000"/>
          <w:sz w:val="30"/>
        </w:rPr>
        <w:t>PIMPRI CHINCHWAD COLLEGE OF ENGINEERING</w:t>
        <w:br/>
      </w:r>
    </w:p>
    <w:p>
      <w:pPr>
        <w:spacing w:before="80" w:after="80"/>
        <w:jc w:val="center"/>
      </w:pPr>
      <w:r>
        <w:drawing>
          <wp:inline xmlns:a="http://schemas.openxmlformats.org/drawingml/2006/main" xmlns:pic="http://schemas.openxmlformats.org/drawingml/2006/picture">
            <wp:extent cx="1097280" cy="931619"/>
            <wp:docPr id="1" name="Picture 1"/>
            <wp:cNvGraphicFramePr>
              <a:graphicFrameLocks noChangeAspect="1"/>
            </wp:cNvGraphicFramePr>
            <a:graphic>
              <a:graphicData uri="http://schemas.openxmlformats.org/drawingml/2006/picture">
                <pic:pic>
                  <pic:nvPicPr>
                    <pic:cNvPr id="0" name="pccoe_logo.png"/>
                    <pic:cNvPicPr/>
                  </pic:nvPicPr>
                  <pic:blipFill>
                    <a:blip r:embed="rId9"/>
                    <a:stretch>
                      <a:fillRect/>
                    </a:stretch>
                  </pic:blipFill>
                  <pic:spPr>
                    <a:xfrm>
                      <a:off x="0" y="0"/>
                      <a:ext cx="1097280" cy="931619"/>
                    </a:xfrm>
                    <a:prstGeom prst="rect"/>
                  </pic:spPr>
                </pic:pic>
              </a:graphicData>
            </a:graphic>
          </wp:inline>
        </w:drawing>
      </w:r>
    </w:p>
    <w:p>
      <w:pPr>
        <w:jc w:val="center"/>
      </w:pPr>
      <w:r>
        <w:rPr>
          <w:b/>
          <w:sz w:val="24"/>
        </w:rPr>
        <w:t>Department of AS&amp;H</w:t>
        <w:br/>
      </w:r>
      <w:r>
        <w:rPr>
          <w:b/>
          <w:color w:val="1B365D"/>
          <w:sz w:val="26"/>
        </w:rPr>
        <w:t>Report of FA-2 activity</w:t>
        <w:br/>
      </w:r>
      <w:r>
        <w:rPr>
          <w:b/>
          <w:sz w:val="22"/>
        </w:rPr>
        <w:t>Subject: BSH23OE04: Open Elective: Statistical Data Analysis using R</w:t>
        <w:br/>
      </w:r>
      <w:r>
        <w:rPr>
          <w:i/>
          <w:sz w:val="20"/>
        </w:rPr>
        <w:t>Academic Year 2026-27 | Semester I</w:t>
        <w:br/>
      </w:r>
    </w:p>
    <w:p>
      <w:pPr>
        <w:spacing w:after="160"/>
      </w:pPr>
      <w:r>
        <w:rPr>
          <w:color w:val="AAAAAA"/>
        </w:rPr>
        <w:t>――――――――――――――――――――――――――――――――――――――――――――――――――――――――――</w:t>
      </w:r>
    </w:p>
    <w:p>
      <w:r>
        <w:rPr>
          <w:b/>
        </w:rPr>
        <w:t>Submitted by:</w:t>
        <w:br/>
      </w:r>
    </w:p>
    <w:tbl>
      <w:tblPr>
        <w:tblW w:type="auto" w:w="0"/>
        <w:jc w:val="center"/>
        <w:tblLook w:firstColumn="1" w:firstRow="1" w:lastColumn="0" w:lastRow="0" w:noHBand="0" w:noVBand="1" w:val="04A0"/>
      </w:tblPr>
      <w:tblGrid>
        <w:gridCol w:w="3312"/>
        <w:gridCol w:w="3312"/>
        <w:gridCol w:w="3312"/>
      </w:tblGrid>
      <w:tr>
        <w:tc>
          <w:tcPr>
            <w:tcW w:type="dxa" w:w="3312"/>
            <w:shd w:fill="EAECEE"/>
          </w:tcPr>
          <w:p>
            <w:r>
              <w:rPr>
                <w:b/>
                <w:sz w:val="20"/>
              </w:rPr>
              <w:t>Name of the student</w:t>
            </w:r>
          </w:p>
        </w:tc>
        <w:tc>
          <w:tcPr>
            <w:tcW w:type="dxa" w:w="3312"/>
            <w:shd w:fill="EAECEE"/>
          </w:tcPr>
          <w:p>
            <w:r>
              <w:rPr>
                <w:b/>
                <w:sz w:val="20"/>
              </w:rPr>
              <w:t>PRN number</w:t>
            </w:r>
          </w:p>
        </w:tc>
        <w:tc>
          <w:tcPr>
            <w:tcW w:type="dxa" w:w="3312"/>
            <w:shd w:fill="EAECEE"/>
          </w:tcPr>
          <w:p>
            <w:r>
              <w:rPr>
                <w:b/>
                <w:sz w:val="20"/>
              </w:rPr>
              <w:t>Branch</w:t>
            </w:r>
          </w:p>
        </w:tc>
      </w:tr>
      <w:tr>
        <w:tc>
          <w:tcPr>
            <w:tcW w:type="dxa" w:w="3312"/>
          </w:tcPr>
          <w:p>
            <w:r>
              <w:rPr>
                <w:sz w:val="19"/>
              </w:rPr>
              <w:t>Om Khanjodkar</w:t>
            </w:r>
          </w:p>
        </w:tc>
        <w:tc>
          <w:tcPr>
            <w:tcW w:type="dxa" w:w="3312"/>
          </w:tcPr>
          <w:p>
            <w:r>
              <w:rPr>
                <w:sz w:val="19"/>
              </w:rPr>
              <w:t>125B1B283</w:t>
            </w:r>
          </w:p>
        </w:tc>
        <w:tc>
          <w:tcPr>
            <w:tcW w:type="dxa" w:w="3312"/>
          </w:tcPr>
          <w:p>
            <w:r>
              <w:rPr>
                <w:sz w:val="19"/>
              </w:rPr>
              <w:t>Computer Engineering</w:t>
            </w:r>
          </w:p>
        </w:tc>
      </w:tr>
      <w:tr>
        <w:tc>
          <w:tcPr>
            <w:tcW w:type="dxa" w:w="3312"/>
          </w:tcPr>
          <w:p>
            <w:r>
              <w:rPr>
                <w:sz w:val="19"/>
              </w:rPr>
              <w:t>Siddhant Verma</w:t>
            </w:r>
          </w:p>
        </w:tc>
        <w:tc>
          <w:tcPr>
            <w:tcW w:type="dxa" w:w="3312"/>
          </w:tcPr>
          <w:p>
            <w:r>
              <w:rPr>
                <w:sz w:val="19"/>
              </w:rPr>
              <w:t>125B1B278</w:t>
            </w:r>
          </w:p>
        </w:tc>
        <w:tc>
          <w:tcPr>
            <w:tcW w:type="dxa" w:w="3312"/>
          </w:tcPr>
          <w:p>
            <w:r>
              <w:rPr>
                <w:sz w:val="19"/>
              </w:rPr>
              <w:t>Computer Engineering</w:t>
            </w:r>
          </w:p>
        </w:tc>
      </w:tr>
      <w:tr>
        <w:tc>
          <w:tcPr>
            <w:tcW w:type="dxa" w:w="3312"/>
          </w:tcPr>
          <w:p>
            <w:r>
              <w:rPr>
                <w:sz w:val="19"/>
              </w:rPr>
              <w:t>Parth Ghumade</w:t>
            </w:r>
          </w:p>
        </w:tc>
        <w:tc>
          <w:tcPr>
            <w:tcW w:type="dxa" w:w="3312"/>
          </w:tcPr>
          <w:p>
            <w:r>
              <w:rPr>
                <w:sz w:val="19"/>
              </w:rPr>
              <w:t>125B1B234</w:t>
            </w:r>
          </w:p>
        </w:tc>
        <w:tc>
          <w:tcPr>
            <w:tcW w:type="dxa" w:w="3312"/>
          </w:tcPr>
          <w:p>
            <w:r>
              <w:rPr>
                <w:sz w:val="19"/>
              </w:rPr>
              <w:t>Computer Engineering</w:t>
            </w:r>
          </w:p>
        </w:tc>
      </w:tr>
      <w:tr>
        <w:tc>
          <w:tcPr>
            <w:tcW w:type="dxa" w:w="3312"/>
          </w:tcPr>
          <w:p>
            <w:r>
              <w:rPr>
                <w:sz w:val="19"/>
              </w:rPr>
              <w:t>Tanishk Malge</w:t>
            </w:r>
          </w:p>
        </w:tc>
        <w:tc>
          <w:tcPr>
            <w:tcW w:type="dxa" w:w="3312"/>
          </w:tcPr>
          <w:p>
            <w:r>
              <w:rPr>
                <w:sz w:val="19"/>
              </w:rPr>
              <w:t>125B1B247</w:t>
            </w:r>
          </w:p>
        </w:tc>
        <w:tc>
          <w:tcPr>
            <w:tcW w:type="dxa" w:w="3312"/>
          </w:tcPr>
          <w:p>
            <w:r>
              <w:rPr>
                <w:sz w:val="19"/>
              </w:rPr>
              <w:t>Computer Engineering</w:t>
            </w:r>
          </w:p>
        </w:tc>
      </w:tr>
    </w:tbl>
    <w:p>
      <w:pPr>
        <w:spacing w:before="160"/>
      </w:pPr>
      <w:r>
        <w:rPr>
          <w:b/>
        </w:rPr>
        <w:t xml:space="preserve">Submitted to: </w:t>
      </w:r>
      <w:r>
        <w:t>Dr. Rajesh G Talekar</w:t>
        <w:br/>
      </w:r>
      <w:r>
        <w:rPr>
          <w:b/>
        </w:rPr>
        <w:t xml:space="preserve">Date: </w:t>
      </w:r>
      <w:r>
        <w:t xml:space="preserve">23/10/2026          </w:t>
      </w:r>
      <w:r>
        <w:rPr>
          <w:b/>
        </w:rPr>
        <w:t xml:space="preserve">Sign: </w:t>
      </w:r>
      <w:r>
        <w:t>____________________</w:t>
        <w:br/>
      </w:r>
    </w:p>
    <w:p>
      <w:r>
        <w:rPr>
          <w:color w:val="AAAAAA"/>
        </w:rPr>
        <w:t>――――――――――――――――――――――――――――――――――――――――――――――――――――――――――</w:t>
      </w:r>
    </w:p>
    <w:p>
      <w:r>
        <w:rPr>
          <w:b/>
        </w:rPr>
        <w:t xml:space="preserve">Project Title: </w:t>
      </w:r>
      <w:r>
        <w:t>Descriptive and Exploratory Analysis of THOR Vietnam War Bombing Operations Data using R</w:t>
        <w:br/>
      </w:r>
      <w:r>
        <w:rPr>
          <w:b/>
        </w:rPr>
        <w:t xml:space="preserve">Data used: </w:t>
      </w:r>
      <w:r>
        <w:t>Theater History of Operations Reports (THOR) Vietnam War Aerial Bombing Dataset</w:t>
        <w:br/>
      </w:r>
      <w:r>
        <w:rPr>
          <w:b/>
        </w:rPr>
        <w:t xml:space="preserve">Details of the data: </w:t>
      </w:r>
      <w:r>
        <w:t>The analyzed dataset consists of 20,000 representative combat delivery records sampled across 1965–1975 with key variables as follows:</w:t>
        <w:br/>
      </w:r>
    </w:p>
    <w:p>
      <w:pPr>
        <w:spacing w:after="40"/>
        <w:ind w:left="288"/>
      </w:pPr>
      <w:r>
        <w:rPr>
          <w:b/>
        </w:rPr>
        <w:t xml:space="preserve">1. MISSION_DATE: </w:t>
      </w:r>
      <w:r>
        <w:t>Calendar date of the combat mission</w:t>
      </w:r>
    </w:p>
    <w:p>
      <w:pPr>
        <w:spacing w:after="40"/>
        <w:ind w:left="288"/>
      </w:pPr>
      <w:r>
        <w:rPr>
          <w:b/>
        </w:rPr>
        <w:t xml:space="preserve">2. YEAR: </w:t>
      </w:r>
      <w:r>
        <w:t>Year of operation (1965 to 1975)</w:t>
      </w:r>
    </w:p>
    <w:p>
      <w:pPr>
        <w:spacing w:after="40"/>
        <w:ind w:left="288"/>
      </w:pPr>
      <w:r>
        <w:rPr>
          <w:b/>
        </w:rPr>
        <w:t xml:space="preserve">3. PERIOD: </w:t>
      </w:r>
      <w:r>
        <w:t>Time period of delivery: Day vs. Night</w:t>
      </w:r>
    </w:p>
    <w:p>
      <w:pPr>
        <w:spacing w:after="40"/>
        <w:ind w:left="288"/>
      </w:pPr>
      <w:r>
        <w:rPr>
          <w:b/>
        </w:rPr>
        <w:t xml:space="preserve">4. COUNTRY: </w:t>
      </w:r>
      <w:r>
        <w:t>Target sovereign country (South Vietnam, Laos, North Vietnam, Cambodia, Thailand)</w:t>
      </w:r>
    </w:p>
    <w:p>
      <w:pPr>
        <w:spacing w:after="40"/>
        <w:ind w:left="288"/>
      </w:pPr>
      <w:r>
        <w:rPr>
          <w:b/>
        </w:rPr>
        <w:t xml:space="preserve">5. SERVICE: </w:t>
      </w:r>
      <w:r>
        <w:t>Operating military service branch (USAF, USN, VNAF, USMC)</w:t>
      </w:r>
    </w:p>
    <w:p>
      <w:pPr>
        <w:spacing w:after="40"/>
        <w:ind w:left="288"/>
      </w:pPr>
      <w:r>
        <w:rPr>
          <w:b/>
        </w:rPr>
        <w:t xml:space="preserve">6. AIRCRAFT_GROUP: </w:t>
      </w:r>
      <w:r>
        <w:t>Standardized combat aircraft model (F-4 Phantom, B-52, F-100, A-1, A-4, A-37)</w:t>
      </w:r>
    </w:p>
    <w:p>
      <w:pPr>
        <w:spacing w:after="40"/>
        <w:ind w:left="288"/>
      </w:pPr>
      <w:r>
        <w:rPr>
          <w:b/>
        </w:rPr>
        <w:t xml:space="preserve">7. WEAPON_CLASS: </w:t>
      </w:r>
      <w:r>
        <w:t>Class of weapon delivered (BOMB, ROCKET, GUN, MISSILE, SUPPORT)</w:t>
      </w:r>
    </w:p>
    <w:p>
      <w:pPr>
        <w:spacing w:after="40"/>
        <w:ind w:left="288"/>
      </w:pPr>
      <w:r>
        <w:rPr>
          <w:b/>
        </w:rPr>
        <w:t xml:space="preserve">8. WEAPONS_DELIVERED: </w:t>
      </w:r>
      <w:r>
        <w:t>Number of ordnance units delivered on target</w:t>
      </w:r>
    </w:p>
    <w:p>
      <w:pPr>
        <w:spacing w:after="40"/>
        <w:ind w:left="288"/>
      </w:pPr>
      <w:r>
        <w:rPr>
          <w:b/>
        </w:rPr>
        <w:t xml:space="preserve">9. LOAD_LB: </w:t>
      </w:r>
      <w:r>
        <w:t>Total weight of ordnance delivered (in pounds)</w:t>
      </w:r>
    </w:p>
    <w:p>
      <w:pPr>
        <w:spacing w:after="40"/>
        <w:ind w:left="288"/>
      </w:pPr>
      <w:r>
        <w:rPr>
          <w:b/>
        </w:rPr>
        <w:t xml:space="preserve">10. TGT_HOUR: </w:t>
      </w:r>
      <w:r>
        <w:t>Local hour of target delivery (0-23)</w:t>
      </w:r>
    </w:p>
    <w:p>
      <w:pPr>
        <w:spacing w:after="40"/>
        <w:ind w:left="288"/>
      </w:pPr>
      <w:r>
        <w:rPr>
          <w:b/>
        </w:rPr>
        <w:t xml:space="preserve">11. LAT &amp; LON: </w:t>
      </w:r>
      <w:r>
        <w:t>Geographic coordinates of strike location</w:t>
      </w:r>
    </w:p>
    <w:p>
      <w:pPr>
        <w:spacing w:before="160"/>
      </w:pPr>
      <w:r>
        <w:rPr>
          <w:b/>
        </w:rPr>
        <w:t xml:space="preserve">Flow: </w:t>
      </w:r>
      <w:r>
        <w:br/>
        <w:t>Problem Statement</w:t>
        <w:br/>
        <w:t>Statistical Analysis</w:t>
        <w:br/>
        <w:t>Data Visualization</w:t>
        <w:br/>
        <w:t>Coding in R</w:t>
        <w:br/>
        <w:t>Findings &amp; Interpretations</w:t>
        <w:br/>
      </w:r>
    </w:p>
    <w:p>
      <w:r>
        <w:rPr>
          <w:color w:val="AAAAAA"/>
        </w:rPr>
        <w:t>――――――――――――――――――――――――――――――――――――――――――――――――――――――――――</w:t>
      </w:r>
    </w:p>
    <w:p>
      <w:pPr>
        <w:pStyle w:val="Heading2"/>
        <w:spacing w:before="240"/>
      </w:pPr>
      <w:r>
        <w:t>Problem statement 1: How did bombing mission activity and weapon delivery volume change across the years of the war?</w:t>
      </w:r>
    </w:p>
    <w:p>
      <w:r>
        <w:t>The data is grouped by operation year from 1965 through 1975 to assess annual operational tempo, peak engagement periods, and de-escalation trends. The frequency distribution of missions is summarized below:</w:t>
      </w:r>
    </w:p>
    <w:tbl>
      <w:tblPr>
        <w:tblW w:type="auto" w:w="0"/>
        <w:jc w:val="center"/>
        <w:tblLook w:firstColumn="1" w:firstRow="1" w:lastColumn="0" w:lastRow="0" w:noHBand="0" w:noVBand="1" w:val="04A0"/>
      </w:tblPr>
      <w:tblGrid>
        <w:gridCol w:w="3312"/>
        <w:gridCol w:w="3312"/>
        <w:gridCol w:w="3312"/>
      </w:tblGrid>
      <w:tr>
        <w:tc>
          <w:tcPr>
            <w:tcW w:type="dxa" w:w="3312"/>
            <w:shd w:fill="EAECEE"/>
          </w:tcPr>
          <w:p>
            <w:r>
              <w:rPr>
                <w:b/>
              </w:rPr>
              <w:t>Year</w:t>
            </w:r>
          </w:p>
        </w:tc>
        <w:tc>
          <w:tcPr>
            <w:tcW w:type="dxa" w:w="3312"/>
            <w:shd w:fill="EAECEE"/>
          </w:tcPr>
          <w:p>
            <w:r>
              <w:rPr>
                <w:b/>
              </w:rPr>
              <w:t>Recorded Deliveries</w:t>
            </w:r>
          </w:p>
        </w:tc>
        <w:tc>
          <w:tcPr>
            <w:tcW w:type="dxa" w:w="3312"/>
            <w:shd w:fill="EAECEE"/>
          </w:tcPr>
          <w:p>
            <w:r>
              <w:rPr>
                <w:b/>
              </w:rPr>
              <w:t>Percentage Share (%)</w:t>
            </w:r>
          </w:p>
        </w:tc>
      </w:tr>
      <w:tr>
        <w:tc>
          <w:tcPr>
            <w:tcW w:type="dxa" w:w="3312"/>
          </w:tcPr>
          <w:p>
            <w:r>
              <w:t>1965</w:t>
            </w:r>
          </w:p>
        </w:tc>
        <w:tc>
          <w:tcPr>
            <w:tcW w:type="dxa" w:w="3312"/>
          </w:tcPr>
          <w:p>
            <w:r>
              <w:t>300</w:t>
            </w:r>
          </w:p>
        </w:tc>
        <w:tc>
          <w:tcPr>
            <w:tcW w:type="dxa" w:w="3312"/>
          </w:tcPr>
          <w:p>
            <w:r>
              <w:t>1.50%</w:t>
            </w:r>
          </w:p>
        </w:tc>
      </w:tr>
      <w:tr>
        <w:tc>
          <w:tcPr>
            <w:tcW w:type="dxa" w:w="3312"/>
          </w:tcPr>
          <w:p>
            <w:r>
              <w:t>1966</w:t>
            </w:r>
          </w:p>
        </w:tc>
        <w:tc>
          <w:tcPr>
            <w:tcW w:type="dxa" w:w="3312"/>
          </w:tcPr>
          <w:p>
            <w:r>
              <w:t>1,954</w:t>
            </w:r>
          </w:p>
        </w:tc>
        <w:tc>
          <w:tcPr>
            <w:tcW w:type="dxa" w:w="3312"/>
          </w:tcPr>
          <w:p>
            <w:r>
              <w:t>9.77%</w:t>
            </w:r>
          </w:p>
        </w:tc>
      </w:tr>
      <w:tr>
        <w:tc>
          <w:tcPr>
            <w:tcW w:type="dxa" w:w="3312"/>
          </w:tcPr>
          <w:p>
            <w:r>
              <w:t>1967</w:t>
            </w:r>
          </w:p>
        </w:tc>
        <w:tc>
          <w:tcPr>
            <w:tcW w:type="dxa" w:w="3312"/>
          </w:tcPr>
          <w:p>
            <w:r>
              <w:t>2,337</w:t>
            </w:r>
          </w:p>
        </w:tc>
        <w:tc>
          <w:tcPr>
            <w:tcW w:type="dxa" w:w="3312"/>
          </w:tcPr>
          <w:p>
            <w:r>
              <w:t>11.69%</w:t>
            </w:r>
          </w:p>
        </w:tc>
      </w:tr>
      <w:tr>
        <w:tc>
          <w:tcPr>
            <w:tcW w:type="dxa" w:w="3312"/>
          </w:tcPr>
          <w:p>
            <w:r>
              <w:t>1968</w:t>
            </w:r>
          </w:p>
        </w:tc>
        <w:tc>
          <w:tcPr>
            <w:tcW w:type="dxa" w:w="3312"/>
          </w:tcPr>
          <w:p>
            <w:r>
              <w:t>3,352</w:t>
            </w:r>
          </w:p>
        </w:tc>
        <w:tc>
          <w:tcPr>
            <w:tcW w:type="dxa" w:w="3312"/>
          </w:tcPr>
          <w:p>
            <w:r>
              <w:t>16.76%</w:t>
            </w:r>
          </w:p>
        </w:tc>
      </w:tr>
      <w:tr>
        <w:tc>
          <w:tcPr>
            <w:tcW w:type="dxa" w:w="3312"/>
          </w:tcPr>
          <w:p>
            <w:r>
              <w:t>1969</w:t>
            </w:r>
          </w:p>
        </w:tc>
        <w:tc>
          <w:tcPr>
            <w:tcW w:type="dxa" w:w="3312"/>
          </w:tcPr>
          <w:p>
            <w:r>
              <w:t>2,470</w:t>
            </w:r>
          </w:p>
        </w:tc>
        <w:tc>
          <w:tcPr>
            <w:tcW w:type="dxa" w:w="3312"/>
          </w:tcPr>
          <w:p>
            <w:r>
              <w:t>12.35%</w:t>
            </w:r>
          </w:p>
        </w:tc>
      </w:tr>
      <w:tr>
        <w:tc>
          <w:tcPr>
            <w:tcW w:type="dxa" w:w="3312"/>
          </w:tcPr>
          <w:p>
            <w:r>
              <w:t>1970</w:t>
            </w:r>
          </w:p>
        </w:tc>
        <w:tc>
          <w:tcPr>
            <w:tcW w:type="dxa" w:w="3312"/>
          </w:tcPr>
          <w:p>
            <w:r>
              <w:t>3,532</w:t>
            </w:r>
          </w:p>
        </w:tc>
        <w:tc>
          <w:tcPr>
            <w:tcW w:type="dxa" w:w="3312"/>
          </w:tcPr>
          <w:p>
            <w:r>
              <w:t>17.66%</w:t>
            </w:r>
          </w:p>
        </w:tc>
      </w:tr>
      <w:tr>
        <w:tc>
          <w:tcPr>
            <w:tcW w:type="dxa" w:w="3312"/>
          </w:tcPr>
          <w:p>
            <w:r>
              <w:t>1971</w:t>
            </w:r>
          </w:p>
        </w:tc>
        <w:tc>
          <w:tcPr>
            <w:tcW w:type="dxa" w:w="3312"/>
          </w:tcPr>
          <w:p>
            <w:r>
              <w:t>2,161</w:t>
            </w:r>
          </w:p>
        </w:tc>
        <w:tc>
          <w:tcPr>
            <w:tcW w:type="dxa" w:w="3312"/>
          </w:tcPr>
          <w:p>
            <w:r>
              <w:t>10.81%</w:t>
            </w:r>
          </w:p>
        </w:tc>
      </w:tr>
      <w:tr>
        <w:tc>
          <w:tcPr>
            <w:tcW w:type="dxa" w:w="3312"/>
          </w:tcPr>
          <w:p>
            <w:r>
              <w:t>1972</w:t>
            </w:r>
          </w:p>
        </w:tc>
        <w:tc>
          <w:tcPr>
            <w:tcW w:type="dxa" w:w="3312"/>
          </w:tcPr>
          <w:p>
            <w:r>
              <w:t>2,642</w:t>
            </w:r>
          </w:p>
        </w:tc>
        <w:tc>
          <w:tcPr>
            <w:tcW w:type="dxa" w:w="3312"/>
          </w:tcPr>
          <w:p>
            <w:r>
              <w:t>13.21%</w:t>
            </w:r>
          </w:p>
        </w:tc>
      </w:tr>
      <w:tr>
        <w:tc>
          <w:tcPr>
            <w:tcW w:type="dxa" w:w="3312"/>
          </w:tcPr>
          <w:p>
            <w:r>
              <w:t>1973</w:t>
            </w:r>
          </w:p>
        </w:tc>
        <w:tc>
          <w:tcPr>
            <w:tcW w:type="dxa" w:w="3312"/>
          </w:tcPr>
          <w:p>
            <w:r>
              <w:t>910</w:t>
            </w:r>
          </w:p>
        </w:tc>
        <w:tc>
          <w:tcPr>
            <w:tcW w:type="dxa" w:w="3312"/>
          </w:tcPr>
          <w:p>
            <w:r>
              <w:t>4.55%</w:t>
            </w:r>
          </w:p>
        </w:tc>
      </w:tr>
      <w:tr>
        <w:tc>
          <w:tcPr>
            <w:tcW w:type="dxa" w:w="3312"/>
          </w:tcPr>
          <w:p>
            <w:r>
              <w:t>1974</w:t>
            </w:r>
          </w:p>
        </w:tc>
        <w:tc>
          <w:tcPr>
            <w:tcW w:type="dxa" w:w="3312"/>
          </w:tcPr>
          <w:p>
            <w:r>
              <w:t>256</w:t>
            </w:r>
          </w:p>
        </w:tc>
        <w:tc>
          <w:tcPr>
            <w:tcW w:type="dxa" w:w="3312"/>
          </w:tcPr>
          <w:p>
            <w:r>
              <w:t>1.28%</w:t>
            </w:r>
          </w:p>
        </w:tc>
      </w:tr>
      <w:tr>
        <w:tc>
          <w:tcPr>
            <w:tcW w:type="dxa" w:w="3312"/>
          </w:tcPr>
          <w:p>
            <w:r>
              <w:t>1975</w:t>
            </w:r>
          </w:p>
        </w:tc>
        <w:tc>
          <w:tcPr>
            <w:tcW w:type="dxa" w:w="3312"/>
          </w:tcPr>
          <w:p>
            <w:r>
              <w:t>86</w:t>
            </w:r>
          </w:p>
        </w:tc>
        <w:tc>
          <w:tcPr>
            <w:tcW w:type="dxa" w:w="3312"/>
          </w:tcPr>
          <w:p>
            <w:r>
              <w:t>0.43%</w:t>
            </w:r>
          </w:p>
        </w:tc>
      </w:tr>
    </w:tbl>
    <w:p>
      <w:r>
        <w:t>It shows that weapon delivery operations escalated sharply between 1966 and 1968, reaching an all-time operational peak in 1970 (3,532 deliveries, 17.66%), followed by a gradual reduction and steep drop following the 1973 ceasefire. This trend is visualized in the bar chart below:</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graph1_missions_by_year.png"/>
                    <pic:cNvPicPr/>
                  </pic:nvPicPr>
                  <pic:blipFill>
                    <a:blip r:embed="rId10"/>
                    <a:stretch>
                      <a:fillRect/>
                    </a:stretch>
                  </pic:blipFill>
                  <pic:spPr>
                    <a:xfrm>
                      <a:off x="0" y="0"/>
                      <a:ext cx="5029200" cy="3143250"/>
                    </a:xfrm>
                    <a:prstGeom prst="rect"/>
                  </pic:spPr>
                </pic:pic>
              </a:graphicData>
            </a:graphic>
          </wp:inline>
        </w:drawing>
      </w:r>
    </w:p>
    <w:p>
      <w:pPr/>
      <w:r>
        <w:rPr>
          <w:b/>
        </w:rPr>
        <w:t>R Code Snippet:</w:t>
        <w:br/>
      </w:r>
      <w:r>
        <w:rPr>
          <w:sz w:val="19"/>
        </w:rPr>
        <w:t>yearly_counts &lt;- as.data.frame(table(Year = data$YEAR))</w:t>
        <w:br/>
        <w:t>ggplot(yearly_counts, aes(x = Year, y = Freq)) +</w:t>
        <w:br/>
        <w:t xml:space="preserve">  geom_bar(stat = "identity", fill = "#2b5c8f", width = 0.7) +</w:t>
        <w:br/>
        <w:t xml:space="preserve">  geom_text(aes(label = format(Freq, big.mark = ",")), vjust = -0.5, fontface = "bold") +</w:t>
        <w:br/>
        <w:t xml:space="preserve">  labs(title = "Bombing Deliveries Across Years (1965-1975)", x = "Year", y = "Deliveries")</w:t>
      </w:r>
    </w:p>
    <w:p>
      <w:r>
        <w:t>Explanation &amp; Takeaway: The peak in 1968 and 1970 reflects the intensive phases of ground support and interdiction campaigns. Post-1972 deliveries decreased precipitously as direct air support operations were transferred to local forces.</w:t>
      </w:r>
    </w:p>
    <w:p>
      <w:pPr>
        <w:pStyle w:val="Heading2"/>
        <w:spacing w:before="240"/>
      </w:pPr>
      <w:r>
        <w:t>Problem statement 2: What was the geographic distribution of bombing operations across target countries?</w:t>
      </w:r>
    </w:p>
    <w:p>
      <w:r>
        <w:t>To evaluate geographic concentration of tactical sorties, records are grouped by target country. The deliveries and relative proportions are detailed below:</w:t>
      </w:r>
    </w:p>
    <w:tbl>
      <w:tblPr>
        <w:tblW w:type="auto" w:w="0"/>
        <w:jc w:val="center"/>
        <w:tblLook w:firstColumn="1" w:firstRow="1" w:lastColumn="0" w:lastRow="0" w:noHBand="0" w:noVBand="1" w:val="04A0"/>
      </w:tblPr>
      <w:tblGrid>
        <w:gridCol w:w="3312"/>
        <w:gridCol w:w="3312"/>
        <w:gridCol w:w="3312"/>
      </w:tblGrid>
      <w:tr>
        <w:tc>
          <w:tcPr>
            <w:tcW w:type="dxa" w:w="3312"/>
            <w:shd w:fill="EAECEE"/>
          </w:tcPr>
          <w:p>
            <w:r>
              <w:rPr>
                <w:b/>
              </w:rPr>
              <w:t>Target Country</w:t>
            </w:r>
          </w:p>
        </w:tc>
        <w:tc>
          <w:tcPr>
            <w:tcW w:type="dxa" w:w="3312"/>
            <w:shd w:fill="EAECEE"/>
          </w:tcPr>
          <w:p>
            <w:r>
              <w:rPr>
                <w:b/>
              </w:rPr>
              <w:t>Total Deliveries</w:t>
            </w:r>
          </w:p>
        </w:tc>
        <w:tc>
          <w:tcPr>
            <w:tcW w:type="dxa" w:w="3312"/>
            <w:shd w:fill="EAECEE"/>
          </w:tcPr>
          <w:p>
            <w:r>
              <w:rPr>
                <w:b/>
              </w:rPr>
              <w:t>Percentage Share (%)</w:t>
            </w:r>
          </w:p>
        </w:tc>
      </w:tr>
      <w:tr>
        <w:tc>
          <w:tcPr>
            <w:tcW w:type="dxa" w:w="3312"/>
          </w:tcPr>
          <w:p>
            <w:r>
              <w:t>South Vietnam</w:t>
            </w:r>
          </w:p>
        </w:tc>
        <w:tc>
          <w:tcPr>
            <w:tcW w:type="dxa" w:w="3312"/>
          </w:tcPr>
          <w:p>
            <w:r>
              <w:t>10,510</w:t>
            </w:r>
          </w:p>
        </w:tc>
        <w:tc>
          <w:tcPr>
            <w:tcW w:type="dxa" w:w="3312"/>
          </w:tcPr>
          <w:p>
            <w:r>
              <w:t>53.48%</w:t>
            </w:r>
          </w:p>
        </w:tc>
      </w:tr>
      <w:tr>
        <w:tc>
          <w:tcPr>
            <w:tcW w:type="dxa" w:w="3312"/>
          </w:tcPr>
          <w:p>
            <w:r>
              <w:t>Laos</w:t>
            </w:r>
          </w:p>
        </w:tc>
        <w:tc>
          <w:tcPr>
            <w:tcW w:type="dxa" w:w="3312"/>
          </w:tcPr>
          <w:p>
            <w:r>
              <w:t>5,736</w:t>
            </w:r>
          </w:p>
        </w:tc>
        <w:tc>
          <w:tcPr>
            <w:tcW w:type="dxa" w:w="3312"/>
          </w:tcPr>
          <w:p>
            <w:r>
              <w:t>29.19%</w:t>
            </w:r>
          </w:p>
        </w:tc>
      </w:tr>
      <w:tr>
        <w:tc>
          <w:tcPr>
            <w:tcW w:type="dxa" w:w="3312"/>
          </w:tcPr>
          <w:p>
            <w:r>
              <w:t>North Vietnam</w:t>
            </w:r>
          </w:p>
        </w:tc>
        <w:tc>
          <w:tcPr>
            <w:tcW w:type="dxa" w:w="3312"/>
          </w:tcPr>
          <w:p>
            <w:r>
              <w:t>2,363</w:t>
            </w:r>
          </w:p>
        </w:tc>
        <w:tc>
          <w:tcPr>
            <w:tcW w:type="dxa" w:w="3312"/>
          </w:tcPr>
          <w:p>
            <w:r>
              <w:t>12.02%</w:t>
            </w:r>
          </w:p>
        </w:tc>
      </w:tr>
      <w:tr>
        <w:tc>
          <w:tcPr>
            <w:tcW w:type="dxa" w:w="3312"/>
          </w:tcPr>
          <w:p>
            <w:r>
              <w:t>Cambodia</w:t>
            </w:r>
          </w:p>
        </w:tc>
        <w:tc>
          <w:tcPr>
            <w:tcW w:type="dxa" w:w="3312"/>
          </w:tcPr>
          <w:p>
            <w:r>
              <w:t>960</w:t>
            </w:r>
          </w:p>
        </w:tc>
        <w:tc>
          <w:tcPr>
            <w:tcW w:type="dxa" w:w="3312"/>
          </w:tcPr>
          <w:p>
            <w:r>
              <w:t>4.89%</w:t>
            </w:r>
          </w:p>
        </w:tc>
      </w:tr>
      <w:tr>
        <w:tc>
          <w:tcPr>
            <w:tcW w:type="dxa" w:w="3312"/>
          </w:tcPr>
          <w:p>
            <w:r>
              <w:t>Thailand</w:t>
            </w:r>
          </w:p>
        </w:tc>
        <w:tc>
          <w:tcPr>
            <w:tcW w:type="dxa" w:w="3312"/>
          </w:tcPr>
          <w:p>
            <w:r>
              <w:t>82</w:t>
            </w:r>
          </w:p>
        </w:tc>
        <w:tc>
          <w:tcPr>
            <w:tcW w:type="dxa" w:w="3312"/>
          </w:tcPr>
          <w:p>
            <w:r>
              <w:t>0.42%</w:t>
            </w:r>
          </w:p>
        </w:tc>
      </w:tr>
    </w:tbl>
    <w:p>
      <w:r>
        <w:t>It shows that South Vietnam accounted for the clear majority of all weapon delivery records (53.48%), followed by Laos (29.19%). The geographic distribution is visualized by the horizontal bar chart below:</w:t>
      </w:r>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graph2_target_country.png"/>
                    <pic:cNvPicPr/>
                  </pic:nvPicPr>
                  <pic:blipFill>
                    <a:blip r:embed="rId11"/>
                    <a:stretch>
                      <a:fillRect/>
                    </a:stretch>
                  </pic:blipFill>
                  <pic:spPr>
                    <a:xfrm>
                      <a:off x="0" y="0"/>
                      <a:ext cx="5029200" cy="3143250"/>
                    </a:xfrm>
                    <a:prstGeom prst="rect"/>
                  </pic:spPr>
                </pic:pic>
              </a:graphicData>
            </a:graphic>
          </wp:inline>
        </w:drawing>
      </w:r>
    </w:p>
    <w:p>
      <w:r>
        <w:rPr>
          <w:b/>
        </w:rPr>
        <w:t>R Code Snippet:</w:t>
        <w:br/>
      </w:r>
      <w:r>
        <w:rPr>
          <w:sz w:val="19"/>
        </w:rPr>
        <w:t>country_counts &lt;- as.data.frame(table(Country = data$COUNTRY))</w:t>
        <w:br/>
        <w:t>ggplot(country_counts, aes(x = Country, y = Freq)) +</w:t>
        <w:br/>
        <w:t xml:space="preserve">  geom_bar(stat = "identity", fill = "#348e71", width = 0.65) +</w:t>
        <w:br/>
        <w:t xml:space="preserve">  coord_flip() +</w:t>
        <w:br/>
        <w:t xml:space="preserve">  labs(title = "Bombing Deliveries by Target Country", x = "Target Country", y = "Deliveries")</w:t>
      </w:r>
    </w:p>
    <w:p>
      <w:r>
        <w:t>Explanation &amp; Takeaway: The primary combat theater was internal close air support in South Vietnam. The high frequency in Laos highlights the extensive air interdiction campaign targeting logistics and troop movements along the Ho Chi Minh trail network.</w:t>
      </w:r>
    </w:p>
    <w:p>
      <w:pPr>
        <w:pStyle w:val="Heading2"/>
        <w:spacing w:before="240"/>
      </w:pPr>
      <w:r>
        <w:t>Problem statement 3: Which combat aircraft models were most frequently deployed for weapon deliveries?</w:t>
      </w:r>
    </w:p>
    <w:p>
      <w:r>
        <w:t>Aircraft types were classified into standard operational airframe groups to identify the primary combat platforms used. The frequency and proportion across identified aircraft are as follows:</w:t>
      </w:r>
    </w:p>
    <w:tbl>
      <w:tblPr>
        <w:tblW w:type="auto" w:w="0"/>
        <w:jc w:val="center"/>
        <w:tblLook w:firstColumn="1" w:firstRow="1" w:lastColumn="0" w:lastRow="0" w:noHBand="0" w:noVBand="1" w:val="04A0"/>
      </w:tblPr>
      <w:tblGrid>
        <w:gridCol w:w="3312"/>
        <w:gridCol w:w="3312"/>
        <w:gridCol w:w="3312"/>
      </w:tblGrid>
      <w:tr>
        <w:tc>
          <w:tcPr>
            <w:tcW w:type="dxa" w:w="3312"/>
            <w:shd w:fill="EAECEE"/>
          </w:tcPr>
          <w:p>
            <w:r>
              <w:rPr>
                <w:b/>
              </w:rPr>
              <w:t>Aircraft Group</w:t>
            </w:r>
          </w:p>
        </w:tc>
        <w:tc>
          <w:tcPr>
            <w:tcW w:type="dxa" w:w="3312"/>
            <w:shd w:fill="EAECEE"/>
          </w:tcPr>
          <w:p>
            <w:r>
              <w:rPr>
                <w:b/>
              </w:rPr>
              <w:t>Total Deliveries</w:t>
            </w:r>
          </w:p>
        </w:tc>
        <w:tc>
          <w:tcPr>
            <w:tcW w:type="dxa" w:w="3312"/>
            <w:shd w:fill="EAECEE"/>
          </w:tcPr>
          <w:p>
            <w:r>
              <w:rPr>
                <w:b/>
              </w:rPr>
              <w:t>Percentage Share (%)</w:t>
            </w:r>
          </w:p>
        </w:tc>
      </w:tr>
      <w:tr>
        <w:tc>
          <w:tcPr>
            <w:tcW w:type="dxa" w:w="3312"/>
          </w:tcPr>
          <w:p>
            <w:r>
              <w:t>F-4 Phantom</w:t>
            </w:r>
          </w:p>
        </w:tc>
        <w:tc>
          <w:tcPr>
            <w:tcW w:type="dxa" w:w="3312"/>
          </w:tcPr>
          <w:p>
            <w:r>
              <w:t>4,827</w:t>
            </w:r>
          </w:p>
        </w:tc>
        <w:tc>
          <w:tcPr>
            <w:tcW w:type="dxa" w:w="3312"/>
          </w:tcPr>
          <w:p>
            <w:r>
              <w:t>24.14%</w:t>
            </w:r>
          </w:p>
        </w:tc>
      </w:tr>
      <w:tr>
        <w:tc>
          <w:tcPr>
            <w:tcW w:type="dxa" w:w="3312"/>
          </w:tcPr>
          <w:p>
            <w:r>
              <w:t>F-100 Super Sabre</w:t>
            </w:r>
          </w:p>
        </w:tc>
        <w:tc>
          <w:tcPr>
            <w:tcW w:type="dxa" w:w="3312"/>
          </w:tcPr>
          <w:p>
            <w:r>
              <w:t>2,877</w:t>
            </w:r>
          </w:p>
        </w:tc>
        <w:tc>
          <w:tcPr>
            <w:tcW w:type="dxa" w:w="3312"/>
          </w:tcPr>
          <w:p>
            <w:r>
              <w:t>14.39%</w:t>
            </w:r>
          </w:p>
        </w:tc>
      </w:tr>
      <w:tr>
        <w:tc>
          <w:tcPr>
            <w:tcW w:type="dxa" w:w="3312"/>
          </w:tcPr>
          <w:p>
            <w:r>
              <w:t>A-1 Skyraider</w:t>
            </w:r>
          </w:p>
        </w:tc>
        <w:tc>
          <w:tcPr>
            <w:tcW w:type="dxa" w:w="3312"/>
          </w:tcPr>
          <w:p>
            <w:r>
              <w:t>2,067</w:t>
            </w:r>
          </w:p>
        </w:tc>
        <w:tc>
          <w:tcPr>
            <w:tcW w:type="dxa" w:w="3312"/>
          </w:tcPr>
          <w:p>
            <w:r>
              <w:t>10.34%</w:t>
            </w:r>
          </w:p>
        </w:tc>
      </w:tr>
      <w:tr>
        <w:tc>
          <w:tcPr>
            <w:tcW w:type="dxa" w:w="3312"/>
          </w:tcPr>
          <w:p>
            <w:r>
              <w:t>A-4 Skyhawk</w:t>
            </w:r>
          </w:p>
        </w:tc>
        <w:tc>
          <w:tcPr>
            <w:tcW w:type="dxa" w:w="3312"/>
          </w:tcPr>
          <w:p>
            <w:r>
              <w:t>1,841</w:t>
            </w:r>
          </w:p>
        </w:tc>
        <w:tc>
          <w:tcPr>
            <w:tcW w:type="dxa" w:w="3312"/>
          </w:tcPr>
          <w:p>
            <w:r>
              <w:t>9.21%</w:t>
            </w:r>
          </w:p>
        </w:tc>
      </w:tr>
      <w:tr>
        <w:tc>
          <w:tcPr>
            <w:tcW w:type="dxa" w:w="3312"/>
          </w:tcPr>
          <w:p>
            <w:r>
              <w:t>A-37 Dragonfly</w:t>
            </w:r>
          </w:p>
        </w:tc>
        <w:tc>
          <w:tcPr>
            <w:tcW w:type="dxa" w:w="3312"/>
          </w:tcPr>
          <w:p>
            <w:r>
              <w:t>1,515</w:t>
            </w:r>
          </w:p>
        </w:tc>
        <w:tc>
          <w:tcPr>
            <w:tcW w:type="dxa" w:w="3312"/>
          </w:tcPr>
          <w:p>
            <w:r>
              <w:t>7.58%</w:t>
            </w:r>
          </w:p>
        </w:tc>
      </w:tr>
      <w:tr>
        <w:tc>
          <w:tcPr>
            <w:tcW w:type="dxa" w:w="3312"/>
          </w:tcPr>
          <w:p>
            <w:r>
              <w:t>B-52 Stratofortress</w:t>
            </w:r>
          </w:p>
        </w:tc>
        <w:tc>
          <w:tcPr>
            <w:tcW w:type="dxa" w:w="3312"/>
          </w:tcPr>
          <w:p>
            <w:r>
              <w:t>836</w:t>
            </w:r>
          </w:p>
        </w:tc>
        <w:tc>
          <w:tcPr>
            <w:tcW w:type="dxa" w:w="3312"/>
          </w:tcPr>
          <w:p>
            <w:r>
              <w:t>4.18%</w:t>
            </w:r>
          </w:p>
        </w:tc>
      </w:tr>
      <w:tr>
        <w:tc>
          <w:tcPr>
            <w:tcW w:type="dxa" w:w="3312"/>
          </w:tcPr>
          <w:p>
            <w:r>
              <w:t>Other / Unspecified</w:t>
            </w:r>
          </w:p>
        </w:tc>
        <w:tc>
          <w:tcPr>
            <w:tcW w:type="dxa" w:w="3312"/>
          </w:tcPr>
          <w:p>
            <w:r>
              <w:t>6,036</w:t>
            </w:r>
          </w:p>
        </w:tc>
        <w:tc>
          <w:tcPr>
            <w:tcW w:type="dxa" w:w="3312"/>
          </w:tcPr>
          <w:p>
            <w:r>
              <w:t>30.18%</w:t>
            </w:r>
          </w:p>
        </w:tc>
      </w:tr>
    </w:tbl>
    <w:p>
      <w:r>
        <w:t>It clearly shows that the multi-role F-4 Phantom was the single most deployed combat platform (24.14%), delivering significantly more ordnance events than specialized attack aircraft or heavy bombers. This can be visualized by the bar chart below:</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graph3_aircraft_group.png"/>
                    <pic:cNvPicPr/>
                  </pic:nvPicPr>
                  <pic:blipFill>
                    <a:blip r:embed="rId12"/>
                    <a:stretch>
                      <a:fillRect/>
                    </a:stretch>
                  </pic:blipFill>
                  <pic:spPr>
                    <a:xfrm>
                      <a:off x="0" y="0"/>
                      <a:ext cx="5029200" cy="3143250"/>
                    </a:xfrm>
                    <a:prstGeom prst="rect"/>
                  </pic:spPr>
                </pic:pic>
              </a:graphicData>
            </a:graphic>
          </wp:inline>
        </w:drawing>
      </w:r>
    </w:p>
    <w:p>
      <w:r>
        <w:rPr>
          <w:b/>
        </w:rPr>
        <w:t>R Code Snippet:</w:t>
        <w:br/>
      </w:r>
      <w:r>
        <w:rPr>
          <w:sz w:val="19"/>
        </w:rPr>
        <w:t>aircraft_counts &lt;- as.data.frame(table(Aircraft = data$AIRCRAFT_GROUP))</w:t>
        <w:br/>
        <w:t>ggplot(aircraft_counts, aes(x = Aircraft, y = Freq)) +</w:t>
        <w:br/>
        <w:t xml:space="preserve">  geom_bar(stat = "identity", fill = "#d96b27", width = 0.65) +</w:t>
        <w:br/>
        <w:t xml:space="preserve">  coord_flip() +</w:t>
        <w:br/>
        <w:t xml:space="preserve">  labs(title = "Deliveries by Aircraft Group", x = "Aircraft Model", y = "Deliveries")</w:t>
      </w:r>
    </w:p>
    <w:p>
      <w:r>
        <w:t>Explanation &amp; Takeaway: The McDonnell Douglas F-4 Phantom II served as the primary workhorse due to its high speed, heavy payload capability, and adaptability for both USAF and US Navy joint strike missions.</w:t>
      </w:r>
    </w:p>
    <w:p>
      <w:pPr>
        <w:pStyle w:val="Heading2"/>
        <w:spacing w:before="240"/>
      </w:pPr>
      <w:r>
        <w:t>Problem statement 4: How did mission frequency and delivered weapon loads compare between Day and Night operations?</w:t>
      </w:r>
    </w:p>
    <w:p>
      <w:r>
        <w:t>The data is partitioned by operational period (Day vs. Night). Mission count, percentage, average weapon load, and standard deviation of load delivered were computed as follows: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EAECEE"/>
          </w:tcPr>
          <w:p>
            <w:r>
              <w:rPr>
                <w:b/>
              </w:rPr>
              <w:t>Period</w:t>
            </w:r>
          </w:p>
        </w:tc>
        <w:tc>
          <w:tcPr>
            <w:tcW w:type="dxa" w:w="1987"/>
            <w:shd w:fill="EAECEE"/>
          </w:tcPr>
          <w:p>
            <w:r>
              <w:rPr>
                <w:b/>
              </w:rPr>
              <w:t>Total Deliveries</w:t>
            </w:r>
          </w:p>
        </w:tc>
        <w:tc>
          <w:tcPr>
            <w:tcW w:type="dxa" w:w="1987"/>
            <w:shd w:fill="EAECEE"/>
          </w:tcPr>
          <w:p>
            <w:r>
              <w:rPr>
                <w:b/>
              </w:rPr>
              <w:t>Share (%)</w:t>
            </w:r>
          </w:p>
        </w:tc>
        <w:tc>
          <w:tcPr>
            <w:tcW w:type="dxa" w:w="1987"/>
            <w:shd w:fill="EAECEE"/>
          </w:tcPr>
          <w:p>
            <w:r>
              <w:rPr>
                <w:b/>
              </w:rPr>
              <w:t>Average Load (lb)</w:t>
            </w:r>
          </w:p>
        </w:tc>
        <w:tc>
          <w:tcPr>
            <w:tcW w:type="dxa" w:w="1987"/>
            <w:shd w:fill="EAECEE"/>
          </w:tcPr>
          <w:p>
            <w:r>
              <w:rPr>
                <w:b/>
              </w:rPr>
              <w:t>Std. Deviation (lb)</w:t>
            </w:r>
          </w:p>
        </w:tc>
      </w:tr>
      <w:tr>
        <w:tc>
          <w:tcPr>
            <w:tcW w:type="dxa" w:w="1987"/>
          </w:tcPr>
          <w:p>
            <w:r>
              <w:t>Day</w:t>
            </w:r>
          </w:p>
        </w:tc>
        <w:tc>
          <w:tcPr>
            <w:tcW w:type="dxa" w:w="1987"/>
          </w:tcPr>
          <w:p>
            <w:r>
              <w:t>13,778</w:t>
            </w:r>
          </w:p>
        </w:tc>
        <w:tc>
          <w:tcPr>
            <w:tcW w:type="dxa" w:w="1987"/>
          </w:tcPr>
          <w:p>
            <w:r>
              <w:t>68.9%</w:t>
            </w:r>
          </w:p>
        </w:tc>
        <w:tc>
          <w:tcPr>
            <w:tcW w:type="dxa" w:w="1987"/>
          </w:tcPr>
          <w:p>
            <w:r>
              <w:t>57,614.7 lb</w:t>
            </w:r>
          </w:p>
        </w:tc>
        <w:tc>
          <w:tcPr>
            <w:tcW w:type="dxa" w:w="1987"/>
          </w:tcPr>
          <w:p>
            <w:r>
              <w:t>80,064.1 lb</w:t>
            </w:r>
          </w:p>
        </w:tc>
      </w:tr>
      <w:tr>
        <w:tc>
          <w:tcPr>
            <w:tcW w:type="dxa" w:w="1987"/>
          </w:tcPr>
          <w:p>
            <w:r>
              <w:t>Night</w:t>
            </w:r>
          </w:p>
        </w:tc>
        <w:tc>
          <w:tcPr>
            <w:tcW w:type="dxa" w:w="1987"/>
          </w:tcPr>
          <w:p>
            <w:r>
              <w:t>6,222</w:t>
            </w:r>
          </w:p>
        </w:tc>
        <w:tc>
          <w:tcPr>
            <w:tcW w:type="dxa" w:w="1987"/>
          </w:tcPr>
          <w:p>
            <w:r>
              <w:t>31.1%</w:t>
            </w:r>
          </w:p>
        </w:tc>
        <w:tc>
          <w:tcPr>
            <w:tcW w:type="dxa" w:w="1987"/>
          </w:tcPr>
          <w:p>
            <w:r>
              <w:t>65,258.9 lb</w:t>
            </w:r>
          </w:p>
        </w:tc>
        <w:tc>
          <w:tcPr>
            <w:tcW w:type="dxa" w:w="1987"/>
          </w:tcPr>
          <w:p>
            <w:r>
              <w:t>123,637.8 lb</w:t>
            </w:r>
          </w:p>
        </w:tc>
      </w:tr>
    </w:tbl>
    <w:p>
      <w:r>
        <w:t>It shows that over two-thirds (68.9%) of all deliveries were conducted during daylight hours. Night operations, while less frequent, exhibited a higher mean load (65,258 lb) driven by B-52 radar-guided arc light strikes. The day vs. night delivery ratio is visualized below:</w:t>
      </w:r>
    </w:p>
    <w:p>
      <w:pPr>
        <w:jc w:val="center"/>
      </w:pPr>
      <w:r>
        <w:drawing>
          <wp:inline xmlns:a="http://schemas.openxmlformats.org/drawingml/2006/main" xmlns:pic="http://schemas.openxmlformats.org/drawingml/2006/picture">
            <wp:extent cx="4572000" cy="3265714"/>
            <wp:docPr id="5" name="Picture 5"/>
            <wp:cNvGraphicFramePr>
              <a:graphicFrameLocks noChangeAspect="1"/>
            </wp:cNvGraphicFramePr>
            <a:graphic>
              <a:graphicData uri="http://schemas.openxmlformats.org/drawingml/2006/picture">
                <pic:pic>
                  <pic:nvPicPr>
                    <pic:cNvPr id="0" name="graph4_day_vs_night.png"/>
                    <pic:cNvPicPr/>
                  </pic:nvPicPr>
                  <pic:blipFill>
                    <a:blip r:embed="rId13"/>
                    <a:stretch>
                      <a:fillRect/>
                    </a:stretch>
                  </pic:blipFill>
                  <pic:spPr>
                    <a:xfrm>
                      <a:off x="0" y="0"/>
                      <a:ext cx="4572000" cy="3265714"/>
                    </a:xfrm>
                    <a:prstGeom prst="rect"/>
                  </pic:spPr>
                </pic:pic>
              </a:graphicData>
            </a:graphic>
          </wp:inline>
        </w:drawing>
      </w:r>
    </w:p>
    <w:p>
      <w:r>
        <w:rPr>
          <w:b/>
        </w:rPr>
        <w:t>R Code Snippet:</w:t>
        <w:br/>
      </w:r>
      <w:r>
        <w:rPr>
          <w:sz w:val="19"/>
        </w:rPr>
        <w:t>period_counts &lt;- as.data.frame(table(Period = data$PERIOD))</w:t>
        <w:br/>
        <w:t>period_counts$Percentage &lt;- round(100 * period_counts$Freq / sum(period_counts$Freq), 1)</w:t>
        <w:br/>
        <w:t>ggplot(period_counts, aes(x = Period, y = Freq, fill = Period)) +</w:t>
        <w:br/>
        <w:t xml:space="preserve">  geom_bar(stat = "identity", width = 0.55) +</w:t>
        <w:br/>
        <w:t xml:space="preserve">  labs(title = "Day vs. Night Operational Split", x = "Period", y = "Deliveries")</w:t>
      </w:r>
    </w:p>
    <w:p>
      <w:r>
        <w:t>Explanation &amp; Takeaway: Visual ground-target identification was imperative for tactical fighter-bombers in jungle canopy terrain. Night operations relied on specialized radar beacons or illumination flares, concentrating heavier payloads per mission.</w:t>
      </w:r>
    </w:p>
    <w:p>
      <w:pPr>
        <w:pStyle w:val="Heading2"/>
        <w:spacing w:before="240"/>
      </w:pPr>
      <w:r>
        <w:t>Problem statement 5: What was the distribution and central tendency of weapon payload (in pounds) delivered per mission?</w:t>
      </w:r>
    </w:p>
    <w:p>
      <w:r>
        <w:t>To understand typical tactical ordnance carried by strike aircraft, deliveries with recorded positive weapon loads (up to 15,000 lb, representing tactical fighter-bombers) were analyzed. Key summary statistics are tabulated below:</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EAECEE"/>
          </w:tcPr>
          <w:p>
            <w:r>
              <w:rPr>
                <w:b/>
              </w:rPr>
              <w:t>Metric</w:t>
            </w:r>
          </w:p>
        </w:tc>
        <w:tc>
          <w:tcPr>
            <w:tcW w:type="dxa" w:w="1656"/>
            <w:shd w:fill="EAECEE"/>
          </w:tcPr>
          <w:p>
            <w:r>
              <w:rPr>
                <w:b/>
              </w:rPr>
              <w:t>Sample Size (N)</w:t>
            </w:r>
          </w:p>
        </w:tc>
        <w:tc>
          <w:tcPr>
            <w:tcW w:type="dxa" w:w="1656"/>
            <w:shd w:fill="EAECEE"/>
          </w:tcPr>
          <w:p>
            <w:r>
              <w:rPr>
                <w:b/>
              </w:rPr>
              <w:t>Median Load</w:t>
            </w:r>
          </w:p>
        </w:tc>
        <w:tc>
          <w:tcPr>
            <w:tcW w:type="dxa" w:w="1656"/>
            <w:shd w:fill="EAECEE"/>
          </w:tcPr>
          <w:p>
            <w:r>
              <w:rPr>
                <w:b/>
              </w:rPr>
              <w:t>Mean Load</w:t>
            </w:r>
          </w:p>
        </w:tc>
        <w:tc>
          <w:tcPr>
            <w:tcW w:type="dxa" w:w="1656"/>
            <w:shd w:fill="EAECEE"/>
          </w:tcPr>
          <w:p>
            <w:r>
              <w:rPr>
                <w:b/>
              </w:rPr>
              <w:t>Std. Deviation</w:t>
            </w:r>
          </w:p>
        </w:tc>
        <w:tc>
          <w:tcPr>
            <w:tcW w:type="dxa" w:w="1656"/>
            <w:shd w:fill="EAECEE"/>
          </w:tcPr>
          <w:p>
            <w:r>
              <w:rPr>
                <w:b/>
              </w:rPr>
              <w:t>IQR</w:t>
            </w:r>
          </w:p>
        </w:tc>
      </w:tr>
      <w:tr>
        <w:tc>
          <w:tcPr>
            <w:tcW w:type="dxa" w:w="1656"/>
          </w:tcPr>
          <w:p>
            <w:r>
              <w:t>Weapon Load (lb)</w:t>
            </w:r>
          </w:p>
        </w:tc>
        <w:tc>
          <w:tcPr>
            <w:tcW w:type="dxa" w:w="1656"/>
          </w:tcPr>
          <w:p>
            <w:r>
              <w:t>1,393</w:t>
            </w:r>
          </w:p>
        </w:tc>
        <w:tc>
          <w:tcPr>
            <w:tcW w:type="dxa" w:w="1656"/>
          </w:tcPr>
          <w:p>
            <w:r>
              <w:t>6,440.0 lb</w:t>
            </w:r>
          </w:p>
        </w:tc>
        <w:tc>
          <w:tcPr>
            <w:tcW w:type="dxa" w:w="1656"/>
          </w:tcPr>
          <w:p>
            <w:r>
              <w:t>6,540.2 lb</w:t>
            </w:r>
          </w:p>
        </w:tc>
        <w:tc>
          <w:tcPr>
            <w:tcW w:type="dxa" w:w="1656"/>
          </w:tcPr>
          <w:p>
            <w:r>
              <w:t>3,720.2 lb</w:t>
            </w:r>
          </w:p>
        </w:tc>
        <w:tc>
          <w:tcPr>
            <w:tcW w:type="dxa" w:w="1656"/>
          </w:tcPr>
          <w:p>
            <w:r>
              <w:t>5,000.0 lb</w:t>
            </w:r>
          </w:p>
        </w:tc>
      </w:tr>
    </w:tbl>
    <w:p>
      <w:r>
        <w:t>It shows that the median weapon load is 6,440 lb with an average load of 6,540 lb. The distribution can be visualized with the following histogram showing the median and mean markers:</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graph5_weapon_load_distribution.png"/>
                    <pic:cNvPicPr/>
                  </pic:nvPicPr>
                  <pic:blipFill>
                    <a:blip r:embed="rId14"/>
                    <a:stretch>
                      <a:fillRect/>
                    </a:stretch>
                  </pic:blipFill>
                  <pic:spPr>
                    <a:xfrm>
                      <a:off x="0" y="0"/>
                      <a:ext cx="5029200" cy="3143250"/>
                    </a:xfrm>
                    <a:prstGeom prst="rect"/>
                  </pic:spPr>
                </pic:pic>
              </a:graphicData>
            </a:graphic>
          </wp:inline>
        </w:drawing>
      </w:r>
    </w:p>
    <w:p>
      <w:r>
        <w:rPr>
          <w:b/>
        </w:rPr>
        <w:t>R Code Snippet:</w:t>
        <w:br/>
      </w:r>
      <w:r>
        <w:rPr>
          <w:sz w:val="19"/>
        </w:rPr>
        <w:t>load_data &lt;- data[!is.na(data$LOAD_LB) &amp; data$LOAD_LB &gt; 0 &amp; data$LOAD_LB &lt;= 15000, ]</w:t>
        <w:br/>
        <w:t>med_load &lt;- median(load_data$LOAD_LB)</w:t>
        <w:br/>
        <w:t>mean_load &lt;- mean(load_data$LOAD_LB)</w:t>
        <w:br/>
        <w:t>ggplot(load_data, aes(x = LOAD_LB)) +</w:t>
        <w:br/>
        <w:t xml:space="preserve">  geom_histogram(binwidth = 500, fill = "#8e44ad", color = "white") +</w:t>
        <w:br/>
        <w:t xml:space="preserve">  geom_vline(aes(xintercept = med_load), color = "red", linetype = "dashed") +</w:t>
        <w:br/>
        <w:t xml:space="preserve">  geom_vline(aes(xintercept = mean_load), color = "green", linetype = "dotdash")</w:t>
      </w:r>
    </w:p>
    <w:p>
      <w:r>
        <w:t>Explanation &amp; Takeaway: The distribution clusters notably around standard bomb configurations—most notably clusters of 500-lb Mk 82 general-purpose bombs, 750-lb M117 bombs, and 2.75-inch rocket pods, demonstrating standard tactical military loadouts.</w:t>
      </w:r>
    </w:p>
    <w:p>
      <w:pPr>
        <w:pStyle w:val="Heading2"/>
        <w:spacing w:before="280"/>
      </w:pPr>
      <w:r>
        <w:t>Overall Conclusion:</w:t>
      </w:r>
    </w:p>
    <w:p>
      <w:pPr>
        <w:spacing w:after="80"/>
        <w:ind w:left="288"/>
      </w:pPr>
      <w:r>
        <w:rPr>
          <w:b/>
        </w:rPr>
        <w:t>1. Temporal Escalation and Peak:</w:t>
      </w:r>
      <w:r>
        <w:t xml:space="preserve"> Aerial bombing intensity escalated steadily during the late 1960s, reaching maximum combat frequency in 1968 and 1970 before declining sharply after 1972.</w:t>
      </w:r>
    </w:p>
    <w:p>
      <w:pPr>
        <w:spacing w:after="80"/>
        <w:ind w:left="288"/>
      </w:pPr>
      <w:r>
        <w:rPr>
          <w:b/>
        </w:rPr>
        <w:t>2. Focus on Close Air Support &amp; Interdiction:</w:t>
      </w:r>
      <w:r>
        <w:t xml:space="preserve"> South Vietnam received over half (53.5%) of all deliveries, while operations in Laos (29.2%) formed a critical sustained campaign targeting supply movement along the Ho Chi Minh trail.</w:t>
      </w:r>
    </w:p>
    <w:p>
      <w:pPr>
        <w:spacing w:after="80"/>
        <w:ind w:left="288"/>
      </w:pPr>
      <w:r>
        <w:rPr>
          <w:b/>
        </w:rPr>
        <w:t>3. Tactical Aircraft Dominance:</w:t>
      </w:r>
      <w:r>
        <w:t xml:space="preserve"> The versatile McDonnell Douglas F-4 Phantom II was the most utilized combat platform, flying nearly a quarter (24.1%) of all recorded missions.</w:t>
      </w:r>
    </w:p>
    <w:p>
      <w:pPr>
        <w:spacing w:after="80"/>
        <w:ind w:left="288"/>
      </w:pPr>
      <w:r>
        <w:rPr>
          <w:b/>
        </w:rPr>
        <w:t>4. Daytime Visual Primacy:</w:t>
      </w:r>
      <w:r>
        <w:t xml:space="preserve"> Approximately 68.9% of missions occurred in daylight hours due to visual target identification requirements in jungle terrain.</w:t>
      </w:r>
    </w:p>
    <w:p>
      <w:pPr>
        <w:spacing w:after="80"/>
        <w:ind w:left="288"/>
      </w:pPr>
      <w:r>
        <w:rPr>
          <w:b/>
        </w:rPr>
        <w:t>5. Standardized Tactical Ordnance:</w:t>
      </w:r>
      <w:r>
        <w:t xml:space="preserve"> Weapon loads clustered tightly around standard munitions packages, featuring a median payload of 6,440 pounds per tactical fighter delivery.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