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Skyline — Draft Diligence Memo (The Boeing Company)</w:t>
      </w:r>
    </w:p>
    <w:p>
      <w:r>
        <w:t>This draft memo summarizes preliminary findings on The Boeing Company. Figures are drawn from company filings and analyst workpapers and have not yet been independently verified.</w:t>
      </w:r>
    </w:p>
    <w:p>
      <w:pPr>
        <w:pStyle w:val="Heading1"/>
      </w:pPr>
      <w:r>
        <w:t>Revenue Mix</w:t>
      </w:r>
    </w:p>
    <w:p>
      <w:r>
        <w:t>Three categories each represented more than 20% of Boeing's FY2022 revenue: Commercial Airplanes at 39%, Defense at 35%, and Services at 26% of total revenue. Boeing's primary customers are a limited number of commercial airlines and the US government, with the US government accounting for 40% of total revenues in FY2022.</w:t>
      </w:r>
    </w:p>
    <w:p>
      <w:pPr>
        <w:pStyle w:val="Heading1"/>
      </w:pPr>
      <w:r>
        <w:t>Margins and Tax</w:t>
      </w:r>
    </w:p>
    <w:p>
      <w:r>
        <w:t>Boeing's gross margin profile deteriorated in FY2022, with gross margin falling from 5.3% in FY2021 to 4.8% in FY2022. The effective tax rate was 0.62% in FY2022, compared with -14.76% in FY2021.</w:t>
      </w:r>
    </w:p>
    <w:p>
      <w:pPr>
        <w:pStyle w:val="Heading1"/>
      </w:pPr>
      <w:r>
        <w:t>Balance Sheet</w:t>
      </w:r>
    </w:p>
    <w:p>
      <w:r>
        <w:t>Year-end FY2018 net property, plant, and equipment stood at $13,645 million.</w:t>
      </w:r>
    </w:p>
    <w:p>
      <w:pPr>
        <w:pStyle w:val="Heading1"/>
      </w:pPr>
      <w:r>
        <w:t>Outlook and Risk</w:t>
      </w:r>
    </w:p>
    <w:p>
      <w:r>
        <w:t>Boeing's business remains subject to cyclicality driven by its exposure to the cyclical airline industry. For 2023, Boeing is forecasting production rate cuts for the 737 and 787 programs. Boeing's win rate on competitive defense bids was approximately 71% in FY2022.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