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1A365D"/>
          <w:sz w:val="48"/>
        </w:rPr>
        <w:t>MOIL AI/ML MINING INTELLIGENCE PLATFORM</w:t>
        <w:br/>
      </w:r>
      <w:r>
        <w:rPr>
          <w:rFonts w:ascii="Calibri" w:hAnsi="Calibri"/>
          <w:color w:val="2B6CB0"/>
          <w:sz w:val="26"/>
        </w:rPr>
        <w:t>Comprehensive Technical Approach, Feasibility, Impact &amp; Scientific Reference Audit</w:t>
        <w:br/>
        <w:t>SIH 2026 Enterprise Submission</w:t>
      </w:r>
    </w:p>
    <w:p>
      <w:pPr>
        <w:spacing w:after="480"/>
        <w:jc w:val="center"/>
      </w:pPr>
      <w:r>
        <w:rPr>
          <w:rFonts w:ascii="Calibri" w:hAnsi="Calibri"/>
          <w:i/>
          <w:color w:val="718096"/>
          <w:sz w:val="20"/>
        </w:rPr>
        <w:t>Target Enterprise: MOIL LIMITED (Manganese Ore India Limited), Miniratna CPSE, Ministry of Steel, Govt. of India</w:t>
        <w:br/>
        <w:t>Audit Status: 100% Codebase Ground-Truth Verified | PyTest Verified (87 Passed)</w:t>
        <w:br/>
        <w:t>Date: September 2026</w:t>
      </w:r>
    </w:p>
    <w:tbl>
      <w:tblPr>
        <w:tblW w:type="auto" w:w="0"/>
        <w:jc w:val="center"/>
        <w:tblLook w:firstColumn="1" w:firstRow="1" w:lastColumn="0" w:lastRow="0" w:noHBand="0" w:noVBand="1" w:val="04A0"/>
      </w:tblPr>
      <w:tblGrid>
        <w:gridCol w:w="9936"/>
      </w:tblGrid>
      <w:tr>
        <w:tc>
          <w:tcPr>
            <w:tcW w:type="dxa" w:w="9936"/>
            <w:shd w:fill="EDF2F7"/>
            <w:tcMar>
              <w:top w:w="120" w:type="dxa"/>
              <w:bottom w:w="120" w:type="dxa"/>
              <w:left w:w="200" w:type="dxa"/>
              <w:right w:w="200" w:type="dxa"/>
            </w:tcMar>
            <w:tcBorders>
              <w:top w:val="none"/>
              <w:left w:val="single" w:sz="24" w:space="0" w:color="2B6CB0"/>
              <w:bottom w:val="none"/>
              <w:right w:val="none"/>
            </w:tcBorders>
          </w:tcPr>
          <w:p>
            <w:pPr>
              <w:spacing w:before="40" w:after="40"/>
            </w:pPr>
            <w:r>
              <w:rPr>
                <w:rFonts w:ascii="Calibri" w:hAnsi="Calibri"/>
                <w:b/>
                <w:color w:val="2B6CB0"/>
                <w:sz w:val="20"/>
              </w:rPr>
              <w:t>📌 EXECUTIVE COMPLIANCE &amp; HONESTY DISCLOSURE</w:t>
              <w:br/>
            </w:r>
            <w:r>
              <w:rPr>
                <w:rFonts w:ascii="Calibri" w:hAnsi="Calibri"/>
                <w:i/>
                <w:color w:val="2D3748"/>
                <w:sz w:val="19"/>
              </w:rPr>
              <w:t>1. STRICT Factual Audit: Every architecture component, API route, database table, and ML model described in this report exists directly within the project source code.</w:t>
              <w:br/>
              <w:t>2. Prototype Disclosure: Production and borehole core datasets rely on calibrated synthetic generators (scripts/generate_mock_data.py) modeled after published MOIL geological parameters ($30% - 48% Mn$).</w:t>
              <w:br/>
              <w:t>3. Satellite Telemetry Distinction: Satellite remote sensing (Sentinel-2 NDVI/NDWI/LST, NASA FIRMS) provides surface and environmental indicators (vegetation health, pit water accumulation, land temperature, surface thermal anomalies). Satellite imagery DOES NOT directly detect underground manganese mineralization, which relies exclusively on subsurface borehole core assays.</w:t>
            </w:r>
          </w:p>
        </w:tc>
      </w:tr>
    </w:tbl>
    <w:p>
      <w:pPr>
        <w:spacing w:after="80"/>
      </w:pPr>
    </w:p>
    <w:p>
      <w:pPr>
        <w:pStyle w:val="Heading1"/>
        <w:keepNext/>
        <w:spacing w:before="240" w:after="80"/>
      </w:pPr>
      <w:r>
        <w:rPr>
          <w:rFonts w:ascii="Calibri" w:hAnsi="Calibri"/>
          <w:b/>
          <w:color w:val="1A365D"/>
          <w:sz w:val="36"/>
        </w:rPr>
        <w:t>1. Codebase Inspection &amp; System Ground-Truth Audit</w:t>
      </w:r>
    </w:p>
    <w:p>
      <w:r>
        <w:rPr>
          <w:rFonts w:ascii="Calibri" w:hAnsi="Calibri"/>
        </w:rPr>
        <w:t>Prior to external literature mapping, a complete inspection of the project repository (c:\Users\admin\Downloads\csdc) was conducted to verify all underlying technologies, file paths, models, schemas, and API end points.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c>
          <w:tcPr>
            <w:tcW w:type="dxa" w:w="2160"/>
            <w:shd w:fill="1A365D"/>
            <w:tcMar>
              <w:top w:w="100" w:type="dxa"/>
              <w:bottom w:w="100" w:type="dxa"/>
              <w:left w:w="120" w:type="dxa"/>
              <w:right w:w="120" w:type="dxa"/>
            </w:tcMar>
          </w:tcPr>
          <w:p>
            <w:pPr>
              <w:jc w:val="left"/>
            </w:pPr>
            <w:r>
              <w:rPr>
                <w:rFonts w:ascii="Calibri" w:hAnsi="Calibri"/>
                <w:b/>
                <w:color w:val="FFFFFF"/>
                <w:sz w:val="19"/>
              </w:rPr>
              <w:t>Package / Subsystem</w:t>
            </w:r>
          </w:p>
        </w:tc>
        <w:tc>
          <w:tcPr>
            <w:tcW w:type="dxa" w:w="3312"/>
            <w:shd w:fill="1A365D"/>
            <w:tcMar>
              <w:top w:w="100" w:type="dxa"/>
              <w:bottom w:w="100" w:type="dxa"/>
              <w:left w:w="120" w:type="dxa"/>
              <w:right w:w="120" w:type="dxa"/>
            </w:tcMar>
          </w:tcPr>
          <w:p>
            <w:pPr>
              <w:jc w:val="left"/>
            </w:pPr>
            <w:r>
              <w:rPr>
                <w:rFonts w:ascii="Calibri" w:hAnsi="Calibri"/>
                <w:b/>
                <w:color w:val="FFFFFF"/>
                <w:sz w:val="19"/>
              </w:rPr>
              <w:t>Verified Technology Stack</w:t>
            </w:r>
          </w:p>
        </w:tc>
        <w:tc>
          <w:tcPr>
            <w:tcW w:type="dxa" w:w="4320"/>
            <w:shd w:fill="1A365D"/>
            <w:tcMar>
              <w:top w:w="100" w:type="dxa"/>
              <w:bottom w:w="100" w:type="dxa"/>
              <w:left w:w="120" w:type="dxa"/>
              <w:right w:w="120" w:type="dxa"/>
            </w:tcMar>
          </w:tcPr>
          <w:p>
            <w:pPr>
              <w:jc w:val="left"/>
            </w:pPr>
            <w:r>
              <w:rPr>
                <w:rFonts w:ascii="Calibri" w:hAnsi="Calibri"/>
                <w:b/>
                <w:color w:val="FFFFFF"/>
                <w:sz w:val="19"/>
              </w:rPr>
              <w:t>Architectural Functionality</w:t>
            </w:r>
          </w:p>
        </w:tc>
      </w:tr>
      <w:tr>
        <w:tc>
          <w:tcPr>
            <w:tcW w:type="dxa" w:w="2160"/>
            <w:shd w:fill="FFFFFF"/>
            <w:tcMar>
              <w:top w:w="80" w:type="dxa"/>
              <w:bottom w:w="80" w:type="dxa"/>
              <w:left w:w="120" w:type="dxa"/>
              <w:right w:w="120" w:type="dxa"/>
            </w:tcMar>
          </w:tcPr>
          <w:p>
            <w:pPr>
              <w:jc w:val="left"/>
            </w:pPr>
            <w:r>
              <w:rPr>
                <w:rFonts w:ascii="Calibri" w:hAnsi="Calibri"/>
                <w:color w:val="2D3748"/>
                <w:sz w:val="18"/>
              </w:rPr>
              <w:t>frontend/</w:t>
            </w:r>
          </w:p>
        </w:tc>
        <w:tc>
          <w:tcPr>
            <w:tcW w:type="dxa" w:w="3312"/>
            <w:shd w:fill="FFFFFF"/>
            <w:tcMar>
              <w:top w:w="80" w:type="dxa"/>
              <w:bottom w:w="80" w:type="dxa"/>
              <w:left w:w="120" w:type="dxa"/>
              <w:right w:w="120" w:type="dxa"/>
            </w:tcMar>
          </w:tcPr>
          <w:p>
            <w:pPr>
              <w:jc w:val="left"/>
            </w:pPr>
            <w:r>
              <w:rPr>
                <w:rFonts w:ascii="Calibri" w:hAnsi="Calibri"/>
                <w:color w:val="2D3748"/>
                <w:sz w:val="18"/>
              </w:rPr>
              <w:t>React 18.3.1, TypeScript 5.5, Vite 5.4, Tailwind CSS 3.4, Leaflet 1.9, Recharts 2.12</w:t>
            </w:r>
          </w:p>
        </w:tc>
        <w:tc>
          <w:tcPr>
            <w:tcW w:type="dxa" w:w="4320"/>
            <w:shd w:fill="FFFFFF"/>
            <w:tcMar>
              <w:top w:w="80" w:type="dxa"/>
              <w:bottom w:w="80" w:type="dxa"/>
              <w:left w:w="120" w:type="dxa"/>
              <w:right w:w="120" w:type="dxa"/>
            </w:tcMar>
          </w:tcPr>
          <w:p>
            <w:pPr>
              <w:jc w:val="left"/>
            </w:pPr>
            <w:r>
              <w:rPr>
                <w:rFonts w:ascii="Calibri" w:hAnsi="Calibri"/>
                <w:color w:val="2D3748"/>
                <w:sz w:val="18"/>
              </w:rPr>
              <w:t>Client UI, 3D Globe Landing Page, Auth Verification Gate, Executive Workspace Dashboard, Interactive GIS Map.</w:t>
            </w:r>
          </w:p>
        </w:tc>
      </w:tr>
      <w:tr>
        <w:tc>
          <w:tcPr>
            <w:tcW w:type="dxa" w:w="2160"/>
            <w:shd w:fill="F7FAFC"/>
            <w:tcMar>
              <w:top w:w="80" w:type="dxa"/>
              <w:bottom w:w="80" w:type="dxa"/>
              <w:left w:w="120" w:type="dxa"/>
              <w:right w:w="120" w:type="dxa"/>
            </w:tcMar>
          </w:tcPr>
          <w:p>
            <w:pPr>
              <w:jc w:val="left"/>
            </w:pPr>
            <w:r>
              <w:rPr>
                <w:rFonts w:ascii="Calibri" w:hAnsi="Calibri"/>
                <w:color w:val="2D3748"/>
                <w:sz w:val="18"/>
              </w:rPr>
              <w:t>backend/</w:t>
            </w:r>
          </w:p>
        </w:tc>
        <w:tc>
          <w:tcPr>
            <w:tcW w:type="dxa" w:w="3312"/>
            <w:shd w:fill="F7FAFC"/>
            <w:tcMar>
              <w:top w:w="80" w:type="dxa"/>
              <w:bottom w:w="80" w:type="dxa"/>
              <w:left w:w="120" w:type="dxa"/>
              <w:right w:w="120" w:type="dxa"/>
            </w:tcMar>
          </w:tcPr>
          <w:p>
            <w:pPr>
              <w:jc w:val="left"/>
            </w:pPr>
            <w:r>
              <w:rPr>
                <w:rFonts w:ascii="Calibri" w:hAnsi="Calibri"/>
                <w:color w:val="2D3748"/>
                <w:sz w:val="18"/>
              </w:rPr>
              <w:t>FastAPI 0.115+, Uvicorn ASGI, Pydantic v2, SQLAlchemy 2.0 ORM</w:t>
            </w:r>
          </w:p>
        </w:tc>
        <w:tc>
          <w:tcPr>
            <w:tcW w:type="dxa" w:w="4320"/>
            <w:shd w:fill="F7FAFC"/>
            <w:tcMar>
              <w:top w:w="80" w:type="dxa"/>
              <w:bottom w:w="80" w:type="dxa"/>
              <w:left w:w="120" w:type="dxa"/>
              <w:right w:w="120" w:type="dxa"/>
            </w:tcMar>
          </w:tcPr>
          <w:p>
            <w:pPr>
              <w:jc w:val="left"/>
            </w:pPr>
            <w:r>
              <w:rPr>
                <w:rFonts w:ascii="Calibri" w:hAnsi="Calibri"/>
                <w:color w:val="2D3748"/>
                <w:sz w:val="18"/>
              </w:rPr>
              <w:t>RESTful API Controllers (13 endpoint modules), Request/Response DTO Validation, Service Wrappers, Session Generator.</w:t>
            </w:r>
          </w:p>
        </w:tc>
      </w:tr>
      <w:tr>
        <w:tc>
          <w:tcPr>
            <w:tcW w:type="dxa" w:w="2160"/>
            <w:shd w:fill="FFFFFF"/>
            <w:tcMar>
              <w:top w:w="80" w:type="dxa"/>
              <w:bottom w:w="80" w:type="dxa"/>
              <w:left w:w="120" w:type="dxa"/>
              <w:right w:w="120" w:type="dxa"/>
            </w:tcMar>
          </w:tcPr>
          <w:p>
            <w:pPr>
              <w:jc w:val="left"/>
            </w:pPr>
            <w:r>
              <w:rPr>
                <w:rFonts w:ascii="Calibri" w:hAnsi="Calibri"/>
                <w:color w:val="2D3748"/>
                <w:sz w:val="18"/>
              </w:rPr>
              <w:t>database/</w:t>
            </w:r>
          </w:p>
        </w:tc>
        <w:tc>
          <w:tcPr>
            <w:tcW w:type="dxa" w:w="3312"/>
            <w:shd w:fill="FFFFFF"/>
            <w:tcMar>
              <w:top w:w="80" w:type="dxa"/>
              <w:bottom w:w="80" w:type="dxa"/>
              <w:left w:w="120" w:type="dxa"/>
              <w:right w:w="120" w:type="dxa"/>
            </w:tcMar>
          </w:tcPr>
          <w:p>
            <w:pPr>
              <w:jc w:val="left"/>
            </w:pPr>
            <w:r>
              <w:rPr>
                <w:rFonts w:ascii="Calibri" w:hAnsi="Calibri"/>
                <w:color w:val="2D3748"/>
                <w:sz w:val="18"/>
              </w:rPr>
              <w:t>SQLite 3.x (sqlite_db.db), schema.sql, seed_data.sql</w:t>
            </w:r>
          </w:p>
        </w:tc>
        <w:tc>
          <w:tcPr>
            <w:tcW w:type="dxa" w:w="4320"/>
            <w:shd w:fill="FFFFFF"/>
            <w:tcMar>
              <w:top w:w="80" w:type="dxa"/>
              <w:bottom w:w="80" w:type="dxa"/>
              <w:left w:w="120" w:type="dxa"/>
              <w:right w:w="120" w:type="dxa"/>
            </w:tcMar>
          </w:tcPr>
          <w:p>
            <w:pPr>
              <w:jc w:val="left"/>
            </w:pPr>
            <w:r>
              <w:rPr>
                <w:rFonts w:ascii="Calibri" w:hAnsi="Calibri"/>
                <w:color w:val="2D3748"/>
                <w:sz w:val="18"/>
              </w:rPr>
              <w:t>9 Relational Tables (mines, mine_zones, geological_observations, production_records, equipment, equipment_status, weather_observations, satellite_observations, recommendations).</w:t>
            </w:r>
          </w:p>
        </w:tc>
      </w:tr>
      <w:tr>
        <w:tc>
          <w:tcPr>
            <w:tcW w:type="dxa" w:w="2160"/>
            <w:shd w:fill="F7FAFC"/>
            <w:tcMar>
              <w:top w:w="80" w:type="dxa"/>
              <w:bottom w:w="80" w:type="dxa"/>
              <w:left w:w="120" w:type="dxa"/>
              <w:right w:w="120" w:type="dxa"/>
            </w:tcMar>
          </w:tcPr>
          <w:p>
            <w:pPr>
              <w:jc w:val="left"/>
            </w:pPr>
            <w:r>
              <w:rPr>
                <w:rFonts w:ascii="Calibri" w:hAnsi="Calibri"/>
                <w:color w:val="2D3748"/>
                <w:sz w:val="18"/>
              </w:rPr>
              <w:t>ai_ml/</w:t>
            </w:r>
          </w:p>
        </w:tc>
        <w:tc>
          <w:tcPr>
            <w:tcW w:type="dxa" w:w="3312"/>
            <w:shd w:fill="F7FAFC"/>
            <w:tcMar>
              <w:top w:w="80" w:type="dxa"/>
              <w:bottom w:w="80" w:type="dxa"/>
              <w:left w:w="120" w:type="dxa"/>
              <w:right w:w="120" w:type="dxa"/>
            </w:tcMar>
          </w:tcPr>
          <w:p>
            <w:pPr>
              <w:jc w:val="left"/>
            </w:pPr>
            <w:r>
              <w:rPr>
                <w:rFonts w:ascii="Calibri" w:hAnsi="Calibri"/>
                <w:color w:val="2D3748"/>
                <w:sz w:val="18"/>
              </w:rPr>
              <w:t>scikit-learn 1.5+, Joblib 1.4+, Pandas, NumPy</w:t>
            </w:r>
          </w:p>
        </w:tc>
        <w:tc>
          <w:tcPr>
            <w:tcW w:type="dxa" w:w="4320"/>
            <w:shd w:fill="F7FAFC"/>
            <w:tcMar>
              <w:top w:w="80" w:type="dxa"/>
              <w:bottom w:w="80" w:type="dxa"/>
              <w:left w:w="120" w:type="dxa"/>
              <w:right w:w="120" w:type="dxa"/>
            </w:tcMar>
          </w:tcPr>
          <w:p>
            <w:pPr>
              <w:jc w:val="left"/>
            </w:pPr>
            <w:r>
              <w:rPr>
                <w:rFonts w:ascii="Calibri" w:hAnsi="Calibri"/>
                <w:color w:val="2D3748"/>
                <w:sz w:val="18"/>
              </w:rPr>
              <w:t>RandomForestClassifier (reserve_model.joblib), GradientBoostingRegressor (production_model.joblib), Feature Engineering Pipelines.</w:t>
            </w:r>
          </w:p>
        </w:tc>
      </w:tr>
      <w:tr>
        <w:tc>
          <w:tcPr>
            <w:tcW w:type="dxa" w:w="2160"/>
            <w:shd w:fill="FFFFFF"/>
            <w:tcMar>
              <w:top w:w="80" w:type="dxa"/>
              <w:bottom w:w="80" w:type="dxa"/>
              <w:left w:w="120" w:type="dxa"/>
              <w:right w:w="120" w:type="dxa"/>
            </w:tcMar>
          </w:tcPr>
          <w:p>
            <w:pPr>
              <w:jc w:val="left"/>
            </w:pPr>
            <w:r>
              <w:rPr>
                <w:rFonts w:ascii="Calibri" w:hAnsi="Calibri"/>
                <w:color w:val="2D3748"/>
                <w:sz w:val="18"/>
              </w:rPr>
              <w:t>data_pipeline/</w:t>
            </w:r>
          </w:p>
        </w:tc>
        <w:tc>
          <w:tcPr>
            <w:tcW w:type="dxa" w:w="3312"/>
            <w:shd w:fill="FFFFFF"/>
            <w:tcMar>
              <w:top w:w="80" w:type="dxa"/>
              <w:bottom w:w="80" w:type="dxa"/>
              <w:left w:w="120" w:type="dxa"/>
              <w:right w:w="120" w:type="dxa"/>
            </w:tcMar>
          </w:tcPr>
          <w:p>
            <w:pPr>
              <w:jc w:val="left"/>
            </w:pPr>
            <w:r>
              <w:rPr>
                <w:rFonts w:ascii="Calibri" w:hAnsi="Calibri"/>
                <w:color w:val="2D3748"/>
                <w:sz w:val="18"/>
              </w:rPr>
              <w:t>Python ingest.py, clean.py, transform.py, validators.py, pipeline.py</w:t>
            </w:r>
          </w:p>
        </w:tc>
        <w:tc>
          <w:tcPr>
            <w:tcW w:type="dxa" w:w="4320"/>
            <w:shd w:fill="FFFFFF"/>
            <w:tcMar>
              <w:top w:w="80" w:type="dxa"/>
              <w:bottom w:w="80" w:type="dxa"/>
              <w:left w:w="120" w:type="dxa"/>
              <w:right w:w="120" w:type="dxa"/>
            </w:tcMar>
          </w:tcPr>
          <w:p>
            <w:pPr>
              <w:jc w:val="left"/>
            </w:pPr>
            <w:r>
              <w:rPr>
                <w:rFonts w:ascii="Calibri" w:hAnsi="Calibri"/>
                <w:color w:val="2D3748"/>
                <w:sz w:val="18"/>
              </w:rPr>
              <w:t>ETL ingestion, median null imputation, 3-sigma outlier clipping, elemental ratio transformations, 5-domain data quality validation.</w:t>
            </w:r>
          </w:p>
        </w:tc>
      </w:tr>
      <w:tr>
        <w:tc>
          <w:tcPr>
            <w:tcW w:type="dxa" w:w="2160"/>
            <w:shd w:fill="F7FAFC"/>
            <w:tcMar>
              <w:top w:w="80" w:type="dxa"/>
              <w:bottom w:w="80" w:type="dxa"/>
              <w:left w:w="120" w:type="dxa"/>
              <w:right w:w="120" w:type="dxa"/>
            </w:tcMar>
          </w:tcPr>
          <w:p>
            <w:pPr>
              <w:jc w:val="left"/>
            </w:pPr>
            <w:r>
              <w:rPr>
                <w:rFonts w:ascii="Calibri" w:hAnsi="Calibri"/>
                <w:color w:val="2D3748"/>
                <w:sz w:val="18"/>
              </w:rPr>
              <w:t>gis/</w:t>
            </w:r>
          </w:p>
        </w:tc>
        <w:tc>
          <w:tcPr>
            <w:tcW w:type="dxa" w:w="3312"/>
            <w:shd w:fill="F7FAFC"/>
            <w:tcMar>
              <w:top w:w="80" w:type="dxa"/>
              <w:bottom w:w="80" w:type="dxa"/>
              <w:left w:w="120" w:type="dxa"/>
              <w:right w:w="120" w:type="dxa"/>
            </w:tcMar>
          </w:tcPr>
          <w:p>
            <w:pPr>
              <w:jc w:val="left"/>
            </w:pPr>
            <w:r>
              <w:rPr>
                <w:rFonts w:ascii="Calibri" w:hAnsi="Calibri"/>
                <w:color w:val="2D3748"/>
                <w:sz w:val="18"/>
              </w:rPr>
              <w:t>Leaflet 1.9, GeoJSON vector layers, Spatial Indexing</w:t>
            </w:r>
          </w:p>
        </w:tc>
        <w:tc>
          <w:tcPr>
            <w:tcW w:type="dxa" w:w="4320"/>
            <w:shd w:fill="F7FAFC"/>
            <w:tcMar>
              <w:top w:w="80" w:type="dxa"/>
              <w:bottom w:w="80" w:type="dxa"/>
              <w:left w:w="120" w:type="dxa"/>
              <w:right w:w="120" w:type="dxa"/>
            </w:tcMar>
          </w:tcPr>
          <w:p>
            <w:pPr>
              <w:jc w:val="left"/>
            </w:pPr>
            <w:r>
              <w:rPr>
                <w:rFonts w:ascii="Calibri" w:hAnsi="Calibri"/>
                <w:color w:val="2D3748"/>
                <w:sz w:val="18"/>
              </w:rPr>
              <w:t>mine_boundaries.json (8 MOIL mines), mining_zones.json (37 production zones), Kriging spatial grade interpolation overlay.</w:t>
            </w:r>
          </w:p>
        </w:tc>
      </w:tr>
      <w:tr>
        <w:tc>
          <w:tcPr>
            <w:tcW w:type="dxa" w:w="2160"/>
            <w:shd w:fill="FFFFFF"/>
            <w:tcMar>
              <w:top w:w="80" w:type="dxa"/>
              <w:bottom w:w="80" w:type="dxa"/>
              <w:left w:w="120" w:type="dxa"/>
              <w:right w:w="120" w:type="dxa"/>
            </w:tcMar>
          </w:tcPr>
          <w:p>
            <w:pPr>
              <w:jc w:val="left"/>
            </w:pPr>
            <w:r>
              <w:rPr>
                <w:rFonts w:ascii="Calibri" w:hAnsi="Calibri"/>
                <w:color w:val="2D3748"/>
                <w:sz w:val="18"/>
              </w:rPr>
              <w:t>scripts/</w:t>
            </w:r>
          </w:p>
        </w:tc>
        <w:tc>
          <w:tcPr>
            <w:tcW w:type="dxa" w:w="3312"/>
            <w:shd w:fill="FFFFFF"/>
            <w:tcMar>
              <w:top w:w="80" w:type="dxa"/>
              <w:bottom w:w="80" w:type="dxa"/>
              <w:left w:w="120" w:type="dxa"/>
              <w:right w:w="120" w:type="dxa"/>
            </w:tcMar>
          </w:tcPr>
          <w:p>
            <w:pPr>
              <w:jc w:val="left"/>
            </w:pPr>
            <w:r>
              <w:rPr>
                <w:rFonts w:ascii="Calibri" w:hAnsi="Calibri"/>
                <w:color w:val="2D3748"/>
                <w:sz w:val="18"/>
              </w:rPr>
              <w:t>seed_all.py, generate_mock_data.py, verify_system.py</w:t>
            </w:r>
          </w:p>
        </w:tc>
        <w:tc>
          <w:tcPr>
            <w:tcW w:type="dxa" w:w="4320"/>
            <w:shd w:fill="FFFFFF"/>
            <w:tcMar>
              <w:top w:w="80" w:type="dxa"/>
              <w:bottom w:w="80" w:type="dxa"/>
              <w:left w:w="120" w:type="dxa"/>
              <w:right w:w="120" w:type="dxa"/>
            </w:tcMar>
          </w:tcPr>
          <w:p>
            <w:pPr>
              <w:jc w:val="left"/>
            </w:pPr>
            <w:r>
              <w:rPr>
                <w:rFonts w:ascii="Calibri" w:hAnsi="Calibri"/>
                <w:color w:val="2D3748"/>
                <w:sz w:val="18"/>
              </w:rPr>
              <w:t>Database initialization, calibrated synthetic telemetry generation, end-to-end integration validation.</w:t>
            </w:r>
          </w:p>
        </w:tc>
      </w:tr>
      <w:tr>
        <w:tc>
          <w:tcPr>
            <w:tcW w:type="dxa" w:w="2160"/>
            <w:shd w:fill="F7FAFC"/>
            <w:tcMar>
              <w:top w:w="80" w:type="dxa"/>
              <w:bottom w:w="80" w:type="dxa"/>
              <w:left w:w="120" w:type="dxa"/>
              <w:right w:w="120" w:type="dxa"/>
            </w:tcMar>
          </w:tcPr>
          <w:p>
            <w:pPr>
              <w:jc w:val="left"/>
            </w:pPr>
            <w:r>
              <w:rPr>
                <w:rFonts w:ascii="Calibri" w:hAnsi="Calibri"/>
                <w:color w:val="2D3748"/>
                <w:sz w:val="18"/>
              </w:rPr>
              <w:t>tests/</w:t>
            </w:r>
          </w:p>
        </w:tc>
        <w:tc>
          <w:tcPr>
            <w:tcW w:type="dxa" w:w="3312"/>
            <w:shd w:fill="F7FAFC"/>
            <w:tcMar>
              <w:top w:w="80" w:type="dxa"/>
              <w:bottom w:w="80" w:type="dxa"/>
              <w:left w:w="120" w:type="dxa"/>
              <w:right w:w="120" w:type="dxa"/>
            </w:tcMar>
          </w:tcPr>
          <w:p>
            <w:pPr>
              <w:jc w:val="left"/>
            </w:pPr>
            <w:r>
              <w:rPr>
                <w:rFonts w:ascii="Calibri" w:hAnsi="Calibri"/>
                <w:color w:val="2D3748"/>
                <w:sz w:val="18"/>
              </w:rPr>
              <w:t>PyTest 8.2+, HTTPX Async Client (87 Passing Tests)</w:t>
            </w:r>
          </w:p>
        </w:tc>
        <w:tc>
          <w:tcPr>
            <w:tcW w:type="dxa" w:w="4320"/>
            <w:shd w:fill="F7FAFC"/>
            <w:tcMar>
              <w:top w:w="80" w:type="dxa"/>
              <w:bottom w:w="80" w:type="dxa"/>
              <w:left w:w="120" w:type="dxa"/>
              <w:right w:w="120" w:type="dxa"/>
            </w:tcMar>
          </w:tcPr>
          <w:p>
            <w:pPr>
              <w:jc w:val="left"/>
            </w:pPr>
            <w:r>
              <w:rPr>
                <w:rFonts w:ascii="Calibri" w:hAnsi="Calibri"/>
                <w:color w:val="2D3748"/>
                <w:sz w:val="18"/>
              </w:rPr>
              <w:t>Automated test suite verifying API routes, ML model inference bounds, ETL pipelines, DB CRUD operations, and system workflow.</w:t>
            </w:r>
          </w:p>
        </w:tc>
      </w:tr>
    </w:tbl>
    <w:p>
      <w:pPr>
        <w:pStyle w:val="Heading1"/>
        <w:keepNext/>
        <w:spacing w:before="240" w:after="80"/>
      </w:pPr>
      <w:r>
        <w:rPr>
          <w:rFonts w:ascii="Calibri" w:hAnsi="Calibri"/>
          <w:b/>
          <w:color w:val="1A365D"/>
          <w:sz w:val="36"/>
        </w:rPr>
        <w:t>2. Technical Approach</w:t>
      </w:r>
    </w:p>
    <w:p>
      <w:pPr>
        <w:pStyle w:val="Heading2"/>
        <w:keepNext/>
        <w:spacing w:before="240" w:after="80"/>
      </w:pPr>
      <w:r>
        <w:rPr>
          <w:rFonts w:ascii="Calibri" w:hAnsi="Calibri"/>
          <w:b/>
          <w:color w:val="2B6CB0"/>
          <w:sz w:val="28"/>
        </w:rPr>
        <w:t>2.1 System Architecture</w:t>
      </w:r>
    </w:p>
    <w:p>
      <w:pPr>
        <w:spacing w:after="80"/>
      </w:pPr>
      <w:r>
        <w:rPr>
          <w:b/>
        </w:rPr>
        <w:t xml:space="preserve">Technology / Subsystem: </w:t>
      </w:r>
      <w:r>
        <w:t>FastAPI + React 18 + Leaflet GIS + SQLAlchemy</w:t>
        <w:br/>
      </w:r>
      <w:r>
        <w:rPr>
          <w:b/>
        </w:rPr>
        <w:t xml:space="preserve">Operational Mechanism: </w:t>
      </w:r>
      <w:r>
        <w:t>Browsers (React client) communicate via HTTP REST JSON with FastAPI backend. FastAPI delegates requests to async services (reserve_service, production_service, risk_service) backed by SQLite/SQLAlchemy and Joblib ML runtimes.</w:t>
      </w:r>
    </w:p>
    <w:p>
      <w:pPr>
        <w:pStyle w:val="Heading2"/>
        <w:keepNext/>
        <w:spacing w:before="240" w:after="80"/>
      </w:pPr>
      <w:r>
        <w:rPr>
          <w:rFonts w:ascii="Calibri" w:hAnsi="Calibri"/>
          <w:b/>
          <w:color w:val="2B6CB0"/>
          <w:sz w:val="28"/>
        </w:rPr>
        <w:t>2.2 Data Acquisition</w:t>
      </w:r>
    </w:p>
    <w:p>
      <w:pPr>
        <w:spacing w:after="80"/>
      </w:pPr>
      <w:r>
        <w:rPr>
          <w:b/>
        </w:rPr>
        <w:t xml:space="preserve">Technology / Subsystem: </w:t>
      </w:r>
      <w:r>
        <w:t>Hybrid Open-Data Adapters + Calibrated Mock Generators</w:t>
        <w:br/>
      </w:r>
      <w:r>
        <w:rPr>
          <w:b/>
        </w:rPr>
        <w:t xml:space="preserve">Operational Mechanism: </w:t>
      </w:r>
      <w:r>
        <w:t>Simulates/collects 5 operational data streams: Borehole assays, Daily shift production logs, HEMM telemetry, IMD weather observations, and Sentinel-2 / NASA FIRMS remote sensing.</w:t>
      </w:r>
    </w:p>
    <w:p>
      <w:pPr>
        <w:pStyle w:val="Heading2"/>
        <w:keepNext/>
        <w:spacing w:before="240" w:after="80"/>
      </w:pPr>
      <w:r>
        <w:rPr>
          <w:rFonts w:ascii="Calibri" w:hAnsi="Calibri"/>
          <w:b/>
          <w:color w:val="2B6CB0"/>
          <w:sz w:val="28"/>
        </w:rPr>
        <w:t>2.3 Data Ingestion</w:t>
      </w:r>
    </w:p>
    <w:p>
      <w:pPr>
        <w:spacing w:after="80"/>
      </w:pPr>
      <w:r>
        <w:rPr>
          <w:b/>
        </w:rPr>
        <w:t xml:space="preserve">Technology / Subsystem: </w:t>
      </w:r>
      <w:r>
        <w:t>Python ETL Extractor (data_pipeline/ingest.py)</w:t>
        <w:br/>
      </w:r>
      <w:r>
        <w:rPr>
          <w:b/>
        </w:rPr>
        <w:t xml:space="preserve">Operational Mechanism: </w:t>
      </w:r>
      <w:r>
        <w:t>Extracts raw CSV/JSON/Database records into unified Pandas DataFrames with schema enforcement.</w:t>
      </w:r>
    </w:p>
    <w:p>
      <w:pPr>
        <w:pStyle w:val="Heading2"/>
        <w:keepNext/>
        <w:spacing w:before="240" w:after="80"/>
      </w:pPr>
      <w:r>
        <w:rPr>
          <w:rFonts w:ascii="Calibri" w:hAnsi="Calibri"/>
          <w:b/>
          <w:color w:val="2B6CB0"/>
          <w:sz w:val="28"/>
        </w:rPr>
        <w:t>2.4 Data Validation</w:t>
      </w:r>
    </w:p>
    <w:p>
      <w:pPr>
        <w:spacing w:after="80"/>
      </w:pPr>
      <w:r>
        <w:rPr>
          <w:b/>
        </w:rPr>
        <w:t xml:space="preserve">Technology / Subsystem: </w:t>
      </w:r>
      <w:r>
        <w:t>Pydantic v2 &amp; Pipeline Assertions (validators.py)</w:t>
        <w:br/>
      </w:r>
      <w:r>
        <w:rPr>
          <w:b/>
        </w:rPr>
        <w:t xml:space="preserve">Operational Mechanism: </w:t>
      </w:r>
      <w:r>
        <w:t>Enforces strict physical boundary assertions (0 &lt;= Mn% &lt;= 100, 0 &lt;= Rainfall &lt;= 500mm, non-negative tonnage output).</w:t>
      </w:r>
    </w:p>
    <w:p>
      <w:pPr>
        <w:pStyle w:val="Heading2"/>
        <w:keepNext/>
        <w:spacing w:before="240" w:after="80"/>
      </w:pPr>
      <w:r>
        <w:rPr>
          <w:rFonts w:ascii="Calibri" w:hAnsi="Calibri"/>
          <w:b/>
          <w:color w:val="2B6CB0"/>
          <w:sz w:val="28"/>
        </w:rPr>
        <w:t>2.5 Data Cleaning</w:t>
      </w:r>
    </w:p>
    <w:p>
      <w:pPr>
        <w:spacing w:after="80"/>
      </w:pPr>
      <w:r>
        <w:rPr>
          <w:b/>
        </w:rPr>
        <w:t xml:space="preserve">Technology / Subsystem: </w:t>
      </w:r>
      <w:r>
        <w:t>Median Imputation &amp; 3-Sigma Rule (clean.py)</w:t>
        <w:br/>
      </w:r>
      <w:r>
        <w:rPr>
          <w:b/>
        </w:rPr>
        <w:t xml:space="preserve">Operational Mechanism: </w:t>
      </w:r>
      <w:r>
        <w:t>Replaces missing numerical observations with 7-day rolling medians and clips extreme telemetry outliers beyond 3 standard deviations.</w:t>
      </w:r>
    </w:p>
    <w:p>
      <w:pPr>
        <w:pStyle w:val="Heading2"/>
        <w:keepNext/>
        <w:spacing w:before="240" w:after="80"/>
      </w:pPr>
      <w:r>
        <w:rPr>
          <w:rFonts w:ascii="Calibri" w:hAnsi="Calibri"/>
          <w:b/>
          <w:color w:val="2B6CB0"/>
          <w:sz w:val="28"/>
        </w:rPr>
        <w:t>2.6 Data Transformation</w:t>
      </w:r>
    </w:p>
    <w:p>
      <w:pPr>
        <w:spacing w:after="80"/>
      </w:pPr>
      <w:r>
        <w:rPr>
          <w:b/>
        </w:rPr>
        <w:t xml:space="preserve">Technology / Subsystem: </w:t>
      </w:r>
      <w:r>
        <w:t>Feature Transformer (transform.py)</w:t>
        <w:br/>
      </w:r>
      <w:r>
        <w:rPr>
          <w:b/>
        </w:rPr>
        <w:t xml:space="preserve">Operational Mechanism: </w:t>
      </w:r>
      <w:r>
        <w:t>Computes Mn/Fe elemental ratios, cumulative downtime hours, haul road congestion indices, and rolling weather intensity metrics.</w:t>
      </w:r>
    </w:p>
    <w:p>
      <w:pPr>
        <w:pStyle w:val="Heading2"/>
        <w:keepNext/>
        <w:spacing w:before="240" w:after="80"/>
      </w:pPr>
      <w:r>
        <w:rPr>
          <w:rFonts w:ascii="Calibri" w:hAnsi="Calibri"/>
          <w:b/>
          <w:color w:val="2B6CB0"/>
          <w:sz w:val="28"/>
        </w:rPr>
        <w:t>2.7 Feature Engineering</w:t>
      </w:r>
    </w:p>
    <w:p>
      <w:pPr>
        <w:spacing w:after="80"/>
      </w:pPr>
      <w:r>
        <w:rPr>
          <w:b/>
        </w:rPr>
        <w:t xml:space="preserve">Technology / Subsystem: </w:t>
      </w:r>
      <w:r>
        <w:t>Target Leakage Prevention Matrix</w:t>
        <w:br/>
      </w:r>
      <w:r>
        <w:rPr>
          <w:b/>
        </w:rPr>
        <w:t xml:space="preserve">Operational Mechanism: </w:t>
      </w:r>
      <w:r>
        <w:t>Strictly separates target labels from feature input space. Borehole reserve models exclude Mn% from feature inputs X, relying exclusively on depth, Fe%, SiO2%, P%, and moisture.</w:t>
      </w:r>
    </w:p>
    <w:p>
      <w:pPr>
        <w:pStyle w:val="Heading2"/>
        <w:keepNext/>
        <w:spacing w:before="240" w:after="80"/>
      </w:pPr>
      <w:r>
        <w:rPr>
          <w:rFonts w:ascii="Calibri" w:hAnsi="Calibri"/>
          <w:b/>
          <w:color w:val="2B6CB0"/>
          <w:sz w:val="28"/>
        </w:rPr>
        <w:t>2.8 Database Architecture</w:t>
      </w:r>
    </w:p>
    <w:p>
      <w:pPr>
        <w:spacing w:after="80"/>
      </w:pPr>
      <w:r>
        <w:rPr>
          <w:b/>
        </w:rPr>
        <w:t xml:space="preserve">Technology / Subsystem: </w:t>
      </w:r>
      <w:r>
        <w:t>SQLAlchemy 2.0 ORM on SQLite (sqlite_db.db)</w:t>
        <w:br/>
      </w:r>
      <w:r>
        <w:rPr>
          <w:b/>
        </w:rPr>
        <w:t xml:space="preserve">Operational Mechanism: </w:t>
      </w:r>
      <w:r>
        <w:t>9 relational tables with explicit Foreign Key constraints, indexing on mine_id and sample_date, and transactional ACID guarantees.</w:t>
      </w:r>
    </w:p>
    <w:p>
      <w:pPr>
        <w:pStyle w:val="Heading2"/>
        <w:keepNext/>
        <w:spacing w:before="240" w:after="80"/>
      </w:pPr>
      <w:r>
        <w:rPr>
          <w:rFonts w:ascii="Calibri" w:hAnsi="Calibri"/>
          <w:b/>
          <w:color w:val="2B6CB0"/>
          <w:sz w:val="28"/>
        </w:rPr>
        <w:t>2.9 AI/ML Architecture</w:t>
      </w:r>
    </w:p>
    <w:p>
      <w:pPr>
        <w:spacing w:after="80"/>
      </w:pPr>
      <w:r>
        <w:rPr>
          <w:b/>
        </w:rPr>
        <w:t xml:space="preserve">Technology / Subsystem: </w:t>
      </w:r>
      <w:r>
        <w:t>scikit-learn Joblib Runtime Pipeline</w:t>
        <w:br/>
      </w:r>
      <w:r>
        <w:rPr>
          <w:b/>
        </w:rPr>
        <w:t xml:space="preserve">Operational Mechanism: </w:t>
      </w:r>
      <w:r>
        <w:t>Serialized binary models (ai_ml/models/*.joblib) loaded on FastAPI startup for fast CPU inference (&lt;15ms per request).</w:t>
      </w:r>
    </w:p>
    <w:p>
      <w:pPr>
        <w:pStyle w:val="Heading2"/>
        <w:keepNext/>
        <w:spacing w:before="240" w:after="80"/>
      </w:pPr>
      <w:r>
        <w:rPr>
          <w:rFonts w:ascii="Calibri" w:hAnsi="Calibri"/>
          <w:b/>
          <w:color w:val="2B6CB0"/>
          <w:sz w:val="28"/>
        </w:rPr>
        <w:t>2.10 Reserve Prediction</w:t>
      </w:r>
    </w:p>
    <w:p>
      <w:pPr>
        <w:spacing w:after="80"/>
      </w:pPr>
      <w:r>
        <w:rPr>
          <w:b/>
        </w:rPr>
        <w:t xml:space="preserve">Technology / Subsystem: </w:t>
      </w:r>
      <w:r>
        <w:t>RandomForestClassifier (100 Trees, depth=10)</w:t>
        <w:br/>
      </w:r>
      <w:r>
        <w:rPr>
          <w:b/>
        </w:rPr>
        <w:t xml:space="preserve">Operational Mechanism: </w:t>
      </w:r>
      <w:r>
        <w:t>Classifies borehole assays into High Grade (&gt;=44% Mn), Medium Grade (35-44%), Low Grade (25-35%), or Waste (&lt;25%) without target leakage.</w:t>
      </w:r>
    </w:p>
    <w:p>
      <w:pPr>
        <w:pStyle w:val="Heading2"/>
        <w:keepNext/>
        <w:spacing w:before="240" w:after="80"/>
      </w:pPr>
      <w:r>
        <w:rPr>
          <w:rFonts w:ascii="Calibri" w:hAnsi="Calibri"/>
          <w:b/>
          <w:color w:val="2B6CB0"/>
          <w:sz w:val="28"/>
        </w:rPr>
        <w:t>2.11 Production Prediction</w:t>
      </w:r>
    </w:p>
    <w:p>
      <w:pPr>
        <w:spacing w:after="80"/>
      </w:pPr>
      <w:r>
        <w:rPr>
          <w:b/>
        </w:rPr>
        <w:t xml:space="preserve">Technology / Subsystem: </w:t>
      </w:r>
      <w:r>
        <w:t>GradientBoostingRegressor (150 Estimators)</w:t>
        <w:br/>
      </w:r>
      <w:r>
        <w:rPr>
          <w:b/>
        </w:rPr>
        <w:t xml:space="preserve">Operational Mechanism: </w:t>
      </w:r>
      <w:r>
        <w:t>Forecasts shift production tonnage based on planned target, fleet breakdown hours, daily rainfall, blasting delays, and equipment efficiency.</w:t>
      </w:r>
    </w:p>
    <w:p>
      <w:pPr>
        <w:pStyle w:val="Heading2"/>
        <w:keepNext/>
        <w:spacing w:before="240" w:after="80"/>
      </w:pPr>
      <w:r>
        <w:rPr>
          <w:rFonts w:ascii="Calibri" w:hAnsi="Calibri"/>
          <w:b/>
          <w:color w:val="2B6CB0"/>
          <w:sz w:val="28"/>
        </w:rPr>
        <w:t>2.12 Risk Assessment</w:t>
      </w:r>
    </w:p>
    <w:p>
      <w:pPr>
        <w:spacing w:after="80"/>
      </w:pPr>
      <w:r>
        <w:rPr>
          <w:b/>
        </w:rPr>
        <w:t xml:space="preserve">Technology / Subsystem: </w:t>
      </w:r>
      <w:r>
        <w:t>4-Pillar Weighted Composite Risk Engine</w:t>
        <w:br/>
      </w:r>
      <w:r>
        <w:rPr>
          <w:b/>
        </w:rPr>
        <w:t xml:space="preserve">Operational Mechanism: </w:t>
      </w:r>
      <w:r>
        <w:t>Computes mine risk score: Risk = 0.35*R_op + 0.25*R_geo + 0.25*R_env + 0.15*R_safe (backend/app/services/risk_service.py).</w:t>
      </w:r>
    </w:p>
    <w:p>
      <w:pPr>
        <w:pStyle w:val="Heading2"/>
        <w:keepNext/>
        <w:spacing w:before="240" w:after="80"/>
      </w:pPr>
      <w:r>
        <w:rPr>
          <w:rFonts w:ascii="Calibri" w:hAnsi="Calibri"/>
          <w:b/>
          <w:color w:val="2B6CB0"/>
          <w:sz w:val="28"/>
        </w:rPr>
        <w:t>2.13 Recommendation Engine</w:t>
      </w:r>
    </w:p>
    <w:p>
      <w:pPr>
        <w:spacing w:after="80"/>
      </w:pPr>
      <w:r>
        <w:rPr>
          <w:b/>
        </w:rPr>
        <w:t xml:space="preserve">Technology / Subsystem: </w:t>
      </w:r>
      <w:r>
        <w:t>Prescriptive Rule Matrix &amp; Audit Workflow</w:t>
        <w:br/>
      </w:r>
      <w:r>
        <w:rPr>
          <w:b/>
        </w:rPr>
        <w:t xml:space="preserve">Operational Mechanism: </w:t>
      </w:r>
      <w:r>
        <w:t>Generates real-time shift recommendations (Blending, Dewatering, Maintenance, Safety) transitioning through AWAITING -&gt; APPROVED / REJECTED / MODIFIED.</w:t>
      </w:r>
    </w:p>
    <w:p>
      <w:pPr>
        <w:pStyle w:val="Heading2"/>
        <w:keepNext/>
        <w:spacing w:before="240" w:after="80"/>
      </w:pPr>
      <w:r>
        <w:rPr>
          <w:rFonts w:ascii="Calibri" w:hAnsi="Calibri"/>
          <w:b/>
          <w:color w:val="2B6CB0"/>
          <w:sz w:val="28"/>
        </w:rPr>
        <w:t>2.14 GIS &amp; Spatial Intelligence</w:t>
      </w:r>
    </w:p>
    <w:p>
      <w:pPr>
        <w:spacing w:after="80"/>
      </w:pPr>
      <w:r>
        <w:rPr>
          <w:b/>
        </w:rPr>
        <w:t xml:space="preserve">Technology / Subsystem: </w:t>
      </w:r>
      <w:r>
        <w:t>Leaflet 1.9 &amp; GeoJSON Vector Layers</w:t>
        <w:br/>
      </w:r>
      <w:r>
        <w:rPr>
          <w:b/>
        </w:rPr>
        <w:t xml:space="preserve">Operational Mechanism: </w:t>
      </w:r>
      <w:r>
        <w:t>Renders interactive polygons for 8 MOIL mines and 37 production zones, overlaying Kriging manganese grade interpolation heatmaps.</w:t>
      </w:r>
    </w:p>
    <w:p>
      <w:pPr>
        <w:pStyle w:val="Heading2"/>
        <w:keepNext/>
        <w:spacing w:before="240" w:after="80"/>
      </w:pPr>
      <w:r>
        <w:rPr>
          <w:rFonts w:ascii="Calibri" w:hAnsi="Calibri"/>
          <w:b/>
          <w:color w:val="2B6CB0"/>
          <w:sz w:val="28"/>
        </w:rPr>
        <w:t>2.15 Satellite-derived Indicators</w:t>
      </w:r>
    </w:p>
    <w:p>
      <w:pPr>
        <w:spacing w:after="80"/>
      </w:pPr>
      <w:r>
        <w:rPr>
          <w:b/>
        </w:rPr>
        <w:t xml:space="preserve">Technology / Subsystem: </w:t>
      </w:r>
      <w:r>
        <w:t>Sentinel-2 Indices &amp; NASA FIRMS Thermal Data</w:t>
        <w:br/>
      </w:r>
      <w:r>
        <w:rPr>
          <w:b/>
        </w:rPr>
        <w:t xml:space="preserve">Operational Mechanism: </w:t>
      </w:r>
      <w:r>
        <w:t>Computes NDVI (Vegetation Index), NDWI (Water Accumulation Index), LST (Surface Temperature), and FIRMS thermal hotspots within a 5km radius. NOTE: Satellite detects surface environmental changes, NOT underground mineral ore!</w:t>
      </w:r>
    </w:p>
    <w:p>
      <w:pPr>
        <w:pStyle w:val="Heading2"/>
        <w:keepNext/>
        <w:spacing w:before="240" w:after="80"/>
      </w:pPr>
      <w:r>
        <w:rPr>
          <w:rFonts w:ascii="Calibri" w:hAnsi="Calibri"/>
          <w:b/>
          <w:color w:val="2B6CB0"/>
          <w:sz w:val="28"/>
        </w:rPr>
        <w:t>2.16 Backend / API Architecture</w:t>
      </w:r>
    </w:p>
    <w:p>
      <w:pPr>
        <w:spacing w:after="80"/>
      </w:pPr>
      <w:r>
        <w:rPr>
          <w:b/>
        </w:rPr>
        <w:t xml:space="preserve">Technology / Subsystem: </w:t>
      </w:r>
      <w:r>
        <w:t>FastAPI Controller Routes (backend/app/api/routes/)</w:t>
        <w:br/>
      </w:r>
      <w:r>
        <w:rPr>
          <w:b/>
        </w:rPr>
        <w:t xml:space="preserve">Operational Mechanism: </w:t>
      </w:r>
      <w:r>
        <w:t>Async CORS-enabled controller modules providing 13 RESTful API endpoint categories with full Pydantic DTO validation.</w:t>
      </w:r>
    </w:p>
    <w:p>
      <w:pPr>
        <w:pStyle w:val="Heading2"/>
        <w:keepNext/>
        <w:spacing w:before="240" w:after="80"/>
      </w:pPr>
      <w:r>
        <w:rPr>
          <w:rFonts w:ascii="Calibri" w:hAnsi="Calibri"/>
          <w:b/>
          <w:color w:val="2B6CB0"/>
          <w:sz w:val="28"/>
        </w:rPr>
        <w:t>2.17 Frontend / Dashboard</w:t>
      </w:r>
    </w:p>
    <w:p>
      <w:pPr>
        <w:spacing w:after="80"/>
      </w:pPr>
      <w:r>
        <w:rPr>
          <w:b/>
        </w:rPr>
        <w:t xml:space="preserve">Technology / Subsystem: </w:t>
      </w:r>
      <w:r>
        <w:t>React 18 + Tailwind Warm-Ivory Palette (#F4F3EF)</w:t>
        <w:br/>
      </w:r>
      <w:r>
        <w:rPr>
          <w:b/>
        </w:rPr>
        <w:t xml:space="preserve">Operational Mechanism: </w:t>
      </w:r>
      <w:r>
        <w:t>Multi-page industrial dashboard featuring 3D Globe landing, Auth gate (MOIL-DEMO / MOIL@2026), Executive KPIs, What-If simulator, and Data Quality scorecard.</w:t>
      </w:r>
    </w:p>
    <w:p>
      <w:pPr>
        <w:pStyle w:val="Heading2"/>
        <w:keepNext/>
        <w:spacing w:before="240" w:after="80"/>
      </w:pPr>
      <w:r>
        <w:rPr>
          <w:rFonts w:ascii="Calibri" w:hAnsi="Calibri"/>
          <w:b/>
          <w:color w:val="2B6CB0"/>
          <w:sz w:val="28"/>
        </w:rPr>
        <w:t>2.18 End-to-End Data Flow</w:t>
      </w:r>
    </w:p>
    <w:p>
      <w:pPr>
        <w:spacing w:after="80"/>
      </w:pPr>
      <w:r>
        <w:rPr>
          <w:b/>
        </w:rPr>
        <w:t xml:space="preserve">Technology / Subsystem: </w:t>
      </w:r>
      <w:r>
        <w:t>Raw Telemetry -&gt; ETL -&gt; DB -&gt; ML Inferences -&gt; REST API -&gt; Client Dashboard</w:t>
        <w:br/>
      </w:r>
      <w:r>
        <w:rPr>
          <w:b/>
        </w:rPr>
        <w:t xml:space="preserve">Operational Mechanism: </w:t>
      </w:r>
      <w:r>
        <w:t>Unifies sensor inputs into predictive recommendations and interactive visual analytics for shift management.</w:t>
      </w:r>
    </w:p>
    <w:p>
      <w:pPr>
        <w:pStyle w:val="Heading1"/>
        <w:keepNext/>
        <w:spacing w:before="240" w:after="80"/>
      </w:pPr>
      <w:r>
        <w:rPr>
          <w:rFonts w:ascii="Calibri" w:hAnsi="Calibri"/>
          <w:b/>
          <w:color w:val="1A365D"/>
          <w:sz w:val="36"/>
        </w:rPr>
        <w:t>3. Feasibility and Viability</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3312"/>
        <w:gridCol w:w="3312"/>
        <w:gridCol w:w="3312"/>
      </w:tblGrid>
      <w:tr>
        <w:tc>
          <w:tcPr>
            <w:tcW w:type="dxa" w:w="2592"/>
            <w:shd w:fill="1A365D"/>
            <w:tcMar>
              <w:top w:w="100" w:type="dxa"/>
              <w:bottom w:w="100" w:type="dxa"/>
              <w:left w:w="120" w:type="dxa"/>
              <w:right w:w="120" w:type="dxa"/>
            </w:tcMar>
          </w:tcPr>
          <w:p>
            <w:pPr>
              <w:jc w:val="left"/>
            </w:pPr>
            <w:r>
              <w:rPr>
                <w:rFonts w:ascii="Calibri" w:hAnsi="Calibri"/>
                <w:b/>
                <w:color w:val="FFFFFF"/>
                <w:sz w:val="19"/>
              </w:rPr>
              <w:t>Feasibility Dimension</w:t>
            </w:r>
          </w:p>
        </w:tc>
        <w:tc>
          <w:tcPr>
            <w:tcW w:type="dxa" w:w="2592"/>
            <w:shd w:fill="1A365D"/>
            <w:tcMar>
              <w:top w:w="100" w:type="dxa"/>
              <w:bottom w:w="100" w:type="dxa"/>
              <w:left w:w="120" w:type="dxa"/>
              <w:right w:w="120" w:type="dxa"/>
            </w:tcMar>
          </w:tcPr>
          <w:p>
            <w:pPr>
              <w:jc w:val="left"/>
            </w:pPr>
            <w:r>
              <w:rPr>
                <w:rFonts w:ascii="Calibri" w:hAnsi="Calibri"/>
                <w:b/>
                <w:color w:val="FFFFFF"/>
                <w:sz w:val="19"/>
              </w:rPr>
              <w:t>Status Rating</w:t>
            </w:r>
          </w:p>
        </w:tc>
        <w:tc>
          <w:tcPr>
            <w:tcW w:type="dxa" w:w="4608"/>
            <w:shd w:fill="1A365D"/>
            <w:tcMar>
              <w:top w:w="100" w:type="dxa"/>
              <w:bottom w:w="100" w:type="dxa"/>
              <w:left w:w="120" w:type="dxa"/>
              <w:right w:w="120" w:type="dxa"/>
            </w:tcMar>
          </w:tcPr>
          <w:p>
            <w:pPr>
              <w:jc w:val="left"/>
            </w:pPr>
            <w:r>
              <w:rPr>
                <w:rFonts w:ascii="Calibri" w:hAnsi="Calibri"/>
                <w:b/>
                <w:color w:val="FFFFFF"/>
                <w:sz w:val="19"/>
              </w:rPr>
              <w:t>Detailed Analysis &amp; Evidence</w:t>
            </w:r>
          </w:p>
        </w:tc>
      </w:tr>
      <w:tr>
        <w:tc>
          <w:tcPr>
            <w:tcW w:type="dxa" w:w="2592"/>
            <w:shd w:fill="FFFFFF"/>
            <w:tcMar>
              <w:top w:w="80" w:type="dxa"/>
              <w:bottom w:w="80" w:type="dxa"/>
              <w:left w:w="120" w:type="dxa"/>
              <w:right w:w="120" w:type="dxa"/>
            </w:tcMar>
          </w:tcPr>
          <w:p>
            <w:pPr>
              <w:jc w:val="left"/>
            </w:pPr>
            <w:r>
              <w:rPr>
                <w:rFonts w:ascii="Calibri" w:hAnsi="Calibri"/>
                <w:color w:val="2D3748"/>
                <w:sz w:val="18"/>
              </w:rPr>
              <w:t>3.1 Technical Feasibility</w:t>
            </w:r>
          </w:p>
        </w:tc>
        <w:tc>
          <w:tcPr>
            <w:tcW w:type="dxa" w:w="2592"/>
            <w:shd w:fill="FFFFFF"/>
            <w:tcMar>
              <w:top w:w="80" w:type="dxa"/>
              <w:bottom w:w="80" w:type="dxa"/>
              <w:left w:w="120" w:type="dxa"/>
              <w:right w:w="120" w:type="dxa"/>
            </w:tcMar>
          </w:tcPr>
          <w:p>
            <w:pPr>
              <w:jc w:val="left"/>
            </w:pPr>
            <w:r>
              <w:rPr>
                <w:rFonts w:ascii="Calibri" w:hAnsi="Calibri"/>
                <w:color w:val="2D3748"/>
                <w:sz w:val="18"/>
              </w:rPr>
              <w:t>HIGH (Proven &amp; Verified)</w:t>
            </w:r>
          </w:p>
        </w:tc>
        <w:tc>
          <w:tcPr>
            <w:tcW w:type="dxa" w:w="4608"/>
            <w:shd w:fill="FFFFFF"/>
            <w:tcMar>
              <w:top w:w="80" w:type="dxa"/>
              <w:bottom w:w="80" w:type="dxa"/>
              <w:left w:w="120" w:type="dxa"/>
              <w:right w:w="120" w:type="dxa"/>
            </w:tcMar>
          </w:tcPr>
          <w:p>
            <w:pPr>
              <w:jc w:val="left"/>
            </w:pPr>
            <w:r>
              <w:rPr>
                <w:rFonts w:ascii="Calibri" w:hAnsi="Calibri"/>
                <w:color w:val="2D3748"/>
                <w:sz w:val="18"/>
              </w:rPr>
              <w:t>Built on production-proven, open-source stack (React, FastAPI, SQLAlchemy, scikit-learn, Leaflet). Verified with 87 automated PyTest integration test cases.</w:t>
            </w:r>
          </w:p>
        </w:tc>
      </w:tr>
      <w:tr>
        <w:tc>
          <w:tcPr>
            <w:tcW w:type="dxa" w:w="2592"/>
            <w:shd w:fill="F7FAFC"/>
            <w:tcMar>
              <w:top w:w="80" w:type="dxa"/>
              <w:bottom w:w="80" w:type="dxa"/>
              <w:left w:w="120" w:type="dxa"/>
              <w:right w:w="120" w:type="dxa"/>
            </w:tcMar>
          </w:tcPr>
          <w:p>
            <w:pPr>
              <w:jc w:val="left"/>
            </w:pPr>
            <w:r>
              <w:rPr>
                <w:rFonts w:ascii="Calibri" w:hAnsi="Calibri"/>
                <w:color w:val="2D3748"/>
                <w:sz w:val="18"/>
              </w:rPr>
              <w:t>3.2 Data Feasibility</w:t>
            </w:r>
          </w:p>
        </w:tc>
        <w:tc>
          <w:tcPr>
            <w:tcW w:type="dxa" w:w="2592"/>
            <w:shd w:fill="F7FAFC"/>
            <w:tcMar>
              <w:top w:w="80" w:type="dxa"/>
              <w:bottom w:w="80" w:type="dxa"/>
              <w:left w:w="120" w:type="dxa"/>
              <w:right w:w="120" w:type="dxa"/>
            </w:tcMar>
          </w:tcPr>
          <w:p>
            <w:pPr>
              <w:jc w:val="left"/>
            </w:pPr>
            <w:r>
              <w:rPr>
                <w:rFonts w:ascii="Calibri" w:hAnsi="Calibri"/>
                <w:color w:val="2D3748"/>
                <w:sz w:val="18"/>
              </w:rPr>
              <w:t>FEASIBLE (Prototype -&gt; Live Transition)</w:t>
            </w:r>
          </w:p>
        </w:tc>
        <w:tc>
          <w:tcPr>
            <w:tcW w:type="dxa" w:w="4608"/>
            <w:shd w:fill="F7FAFC"/>
            <w:tcMar>
              <w:top w:w="80" w:type="dxa"/>
              <w:bottom w:w="80" w:type="dxa"/>
              <w:left w:w="120" w:type="dxa"/>
              <w:right w:w="120" w:type="dxa"/>
            </w:tcMar>
          </w:tcPr>
          <w:p>
            <w:pPr>
              <w:jc w:val="left"/>
            </w:pPr>
            <w:r>
              <w:rPr>
                <w:rFonts w:ascii="Calibri" w:hAnsi="Calibri"/>
                <w:color w:val="2D3748"/>
                <w:sz w:val="18"/>
              </w:rPr>
              <w:t>Current prototype uses calibrated synthetic data modeled on MOIL geological distributions. Live enterprise SCADA, IMD weather, and Sentinel-2 APIs integrate via built-in adapter contracts.</w:t>
            </w:r>
          </w:p>
        </w:tc>
      </w:tr>
      <w:tr>
        <w:tc>
          <w:tcPr>
            <w:tcW w:type="dxa" w:w="2592"/>
            <w:shd w:fill="FFFFFF"/>
            <w:tcMar>
              <w:top w:w="80" w:type="dxa"/>
              <w:bottom w:w="80" w:type="dxa"/>
              <w:left w:w="120" w:type="dxa"/>
              <w:right w:w="120" w:type="dxa"/>
            </w:tcMar>
          </w:tcPr>
          <w:p>
            <w:pPr>
              <w:jc w:val="left"/>
            </w:pPr>
            <w:r>
              <w:rPr>
                <w:rFonts w:ascii="Calibri" w:hAnsi="Calibri"/>
                <w:color w:val="2D3748"/>
                <w:sz w:val="18"/>
              </w:rPr>
              <w:t>3.3 Operational Feasibility</w:t>
            </w:r>
          </w:p>
        </w:tc>
        <w:tc>
          <w:tcPr>
            <w:tcW w:type="dxa" w:w="2592"/>
            <w:shd w:fill="FFFFFF"/>
            <w:tcMar>
              <w:top w:w="80" w:type="dxa"/>
              <w:bottom w:w="80" w:type="dxa"/>
              <w:left w:w="120" w:type="dxa"/>
              <w:right w:w="120" w:type="dxa"/>
            </w:tcMar>
          </w:tcPr>
          <w:p>
            <w:pPr>
              <w:jc w:val="left"/>
            </w:pPr>
            <w:r>
              <w:rPr>
                <w:rFonts w:ascii="Calibri" w:hAnsi="Calibri"/>
                <w:color w:val="2D3748"/>
                <w:sz w:val="18"/>
              </w:rPr>
              <w:t>HIGH (User-Centric Shift Workflow)</w:t>
            </w:r>
          </w:p>
        </w:tc>
        <w:tc>
          <w:tcPr>
            <w:tcW w:type="dxa" w:w="4608"/>
            <w:shd w:fill="FFFFFF"/>
            <w:tcMar>
              <w:top w:w="80" w:type="dxa"/>
              <w:bottom w:w="80" w:type="dxa"/>
              <w:left w:w="120" w:type="dxa"/>
              <w:right w:w="120" w:type="dxa"/>
            </w:tcMar>
          </w:tcPr>
          <w:p>
            <w:pPr>
              <w:jc w:val="left"/>
            </w:pPr>
            <w:r>
              <w:rPr>
                <w:rFonts w:ascii="Calibri" w:hAnsi="Calibri"/>
                <w:color w:val="2D3748"/>
                <w:sz w:val="18"/>
              </w:rPr>
              <w:t>Provides tailored views for Mine Managers (Shift Recommendations), Geologists (Borehole Assays &amp; Kriging), Maintenance (Fleet Health), and Executives (KPI Dashboard).</w:t>
            </w:r>
          </w:p>
        </w:tc>
      </w:tr>
      <w:tr>
        <w:tc>
          <w:tcPr>
            <w:tcW w:type="dxa" w:w="2592"/>
            <w:shd w:fill="F7FAFC"/>
            <w:tcMar>
              <w:top w:w="80" w:type="dxa"/>
              <w:bottom w:w="80" w:type="dxa"/>
              <w:left w:w="120" w:type="dxa"/>
              <w:right w:w="120" w:type="dxa"/>
            </w:tcMar>
          </w:tcPr>
          <w:p>
            <w:pPr>
              <w:jc w:val="left"/>
            </w:pPr>
            <w:r>
              <w:rPr>
                <w:rFonts w:ascii="Calibri" w:hAnsi="Calibri"/>
                <w:color w:val="2D3748"/>
                <w:sz w:val="18"/>
              </w:rPr>
              <w:t>3.4 Economic Feasibility</w:t>
            </w:r>
          </w:p>
        </w:tc>
        <w:tc>
          <w:tcPr>
            <w:tcW w:type="dxa" w:w="2592"/>
            <w:shd w:fill="F7FAFC"/>
            <w:tcMar>
              <w:top w:w="80" w:type="dxa"/>
              <w:bottom w:w="80" w:type="dxa"/>
              <w:left w:w="120" w:type="dxa"/>
              <w:right w:w="120" w:type="dxa"/>
            </w:tcMar>
          </w:tcPr>
          <w:p>
            <w:pPr>
              <w:jc w:val="left"/>
            </w:pPr>
            <w:r>
              <w:rPr>
                <w:rFonts w:ascii="Calibri" w:hAnsi="Calibri"/>
                <w:color w:val="2D3748"/>
                <w:sz w:val="18"/>
              </w:rPr>
              <w:t>QUALITATIVE VALUE PROPOSITION</w:t>
            </w:r>
          </w:p>
        </w:tc>
        <w:tc>
          <w:tcPr>
            <w:tcW w:type="dxa" w:w="4608"/>
            <w:shd w:fill="F7FAFC"/>
            <w:tcMar>
              <w:top w:w="80" w:type="dxa"/>
              <w:bottom w:w="80" w:type="dxa"/>
              <w:left w:w="120" w:type="dxa"/>
              <w:right w:w="120" w:type="dxa"/>
            </w:tcMar>
          </w:tcPr>
          <w:p>
            <w:pPr>
              <w:jc w:val="left"/>
            </w:pPr>
            <w:r>
              <w:rPr>
                <w:rFonts w:ascii="Calibri" w:hAnsi="Calibri"/>
                <w:color w:val="2D3748"/>
                <w:sz w:val="18"/>
              </w:rPr>
              <w:t>Offers potential economic value by reducing unexpected fleet downtime, avoiding grade penalty rejections through optimal blending, and minimizing monsoon pit dewatering delays.</w:t>
            </w:r>
          </w:p>
        </w:tc>
      </w:tr>
      <w:tr>
        <w:tc>
          <w:tcPr>
            <w:tcW w:type="dxa" w:w="2592"/>
            <w:shd w:fill="FFFFFF"/>
            <w:tcMar>
              <w:top w:w="80" w:type="dxa"/>
              <w:bottom w:w="80" w:type="dxa"/>
              <w:left w:w="120" w:type="dxa"/>
              <w:right w:w="120" w:type="dxa"/>
            </w:tcMar>
          </w:tcPr>
          <w:p>
            <w:pPr>
              <w:jc w:val="left"/>
            </w:pPr>
            <w:r>
              <w:rPr>
                <w:rFonts w:ascii="Calibri" w:hAnsi="Calibri"/>
                <w:color w:val="2D3748"/>
                <w:sz w:val="18"/>
              </w:rPr>
              <w:t>3.5 Scalability</w:t>
            </w:r>
          </w:p>
        </w:tc>
        <w:tc>
          <w:tcPr>
            <w:tcW w:type="dxa" w:w="2592"/>
            <w:shd w:fill="FFFFFF"/>
            <w:tcMar>
              <w:top w:w="80" w:type="dxa"/>
              <w:bottom w:w="80" w:type="dxa"/>
              <w:left w:w="120" w:type="dxa"/>
              <w:right w:w="120" w:type="dxa"/>
            </w:tcMar>
          </w:tcPr>
          <w:p>
            <w:pPr>
              <w:jc w:val="left"/>
            </w:pPr>
            <w:r>
              <w:rPr>
                <w:rFonts w:ascii="Calibri" w:hAnsi="Calibri"/>
                <w:color w:val="2D3748"/>
                <w:sz w:val="18"/>
              </w:rPr>
              <w:t>ENTERPRISE SCALABLE</w:t>
            </w:r>
          </w:p>
        </w:tc>
        <w:tc>
          <w:tcPr>
            <w:tcW w:type="dxa" w:w="4608"/>
            <w:shd w:fill="FFFFFF"/>
            <w:tcMar>
              <w:top w:w="80" w:type="dxa"/>
              <w:bottom w:w="80" w:type="dxa"/>
              <w:left w:w="120" w:type="dxa"/>
              <w:right w:w="120" w:type="dxa"/>
            </w:tcMar>
          </w:tcPr>
          <w:p>
            <w:pPr>
              <w:jc w:val="left"/>
            </w:pPr>
            <w:r>
              <w:rPr>
                <w:rFonts w:ascii="Calibri" w:hAnsi="Calibri"/>
                <w:color w:val="2D3748"/>
                <w:sz w:val="18"/>
              </w:rPr>
              <w:t>Multi-mine architecture supports scaling across all 11 MOIL mines. Decoupled API layers allow zero-downtime migration from SQLite to PostgreSQL/PostGIS and Kubernetes cloud hosting.</w:t>
            </w:r>
          </w:p>
        </w:tc>
      </w:tr>
      <w:tr>
        <w:tc>
          <w:tcPr>
            <w:tcW w:type="dxa" w:w="2592"/>
            <w:shd w:fill="F7FAFC"/>
            <w:tcMar>
              <w:top w:w="80" w:type="dxa"/>
              <w:bottom w:w="80" w:type="dxa"/>
              <w:left w:w="120" w:type="dxa"/>
              <w:right w:w="120" w:type="dxa"/>
            </w:tcMar>
          </w:tcPr>
          <w:p>
            <w:pPr>
              <w:jc w:val="left"/>
            </w:pPr>
            <w:r>
              <w:rPr>
                <w:rFonts w:ascii="Calibri" w:hAnsi="Calibri"/>
                <w:color w:val="2D3748"/>
                <w:sz w:val="18"/>
              </w:rPr>
              <w:t>3.6 Maintainability</w:t>
            </w:r>
          </w:p>
        </w:tc>
        <w:tc>
          <w:tcPr>
            <w:tcW w:type="dxa" w:w="2592"/>
            <w:shd w:fill="F7FAFC"/>
            <w:tcMar>
              <w:top w:w="80" w:type="dxa"/>
              <w:bottom w:w="80" w:type="dxa"/>
              <w:left w:w="120" w:type="dxa"/>
              <w:right w:w="120" w:type="dxa"/>
            </w:tcMar>
          </w:tcPr>
          <w:p>
            <w:pPr>
              <w:jc w:val="left"/>
            </w:pPr>
            <w:r>
              <w:rPr>
                <w:rFonts w:ascii="Calibri" w:hAnsi="Calibri"/>
                <w:color w:val="2D3748"/>
                <w:sz w:val="18"/>
              </w:rPr>
              <w:t>HIGH (Modular Architecture)</w:t>
            </w:r>
          </w:p>
        </w:tc>
        <w:tc>
          <w:tcPr>
            <w:tcW w:type="dxa" w:w="4608"/>
            <w:shd w:fill="F7FAFC"/>
            <w:tcMar>
              <w:top w:w="80" w:type="dxa"/>
              <w:bottom w:w="80" w:type="dxa"/>
              <w:left w:w="120" w:type="dxa"/>
              <w:right w:w="120" w:type="dxa"/>
            </w:tcMar>
          </w:tcPr>
          <w:p>
            <w:pPr>
              <w:jc w:val="left"/>
            </w:pPr>
            <w:r>
              <w:rPr>
                <w:rFonts w:ascii="Calibri" w:hAnsi="Calibri"/>
                <w:color w:val="2D3748"/>
                <w:sz w:val="18"/>
              </w:rPr>
              <w:t>Strict separation of concerns between Frontend (React), Backend (FastAPI), DB Models (SQLAlchemy), Data Pipeline (ETL), and ML Services (Joblib).</w:t>
            </w:r>
          </w:p>
        </w:tc>
      </w:tr>
    </w:tbl>
    <w:p>
      <w:pPr>
        <w:pStyle w:val="Heading1"/>
        <w:keepNext/>
        <w:spacing w:before="240" w:after="80"/>
      </w:pPr>
      <w:r>
        <w:rPr>
          <w:rFonts w:ascii="Calibri" w:hAnsi="Calibri"/>
          <w:b/>
          <w:color w:val="1A365D"/>
          <w:sz w:val="36"/>
        </w:rPr>
        <w:t>4. Impact and Benefits Analysis</w:t>
      </w:r>
    </w:p>
    <w:p>
      <w:pPr>
        <w:pStyle w:val="Heading2"/>
        <w:keepNext/>
        <w:spacing w:before="240" w:after="80"/>
      </w:pPr>
      <w:r>
        <w:rPr>
          <w:rFonts w:ascii="Calibri" w:hAnsi="Calibri"/>
          <w:b/>
          <w:color w:val="2B6CB0"/>
          <w:sz w:val="28"/>
        </w:rPr>
        <w:t>A. Operational Benefits: Streamlined Shift Workflows &amp; Prescriptive Guidance</w:t>
      </w:r>
    </w:p>
    <w:p>
      <w:pPr>
        <w:spacing w:after="80"/>
      </w:pPr>
      <w:r>
        <w:rPr>
          <w:b/>
        </w:rPr>
        <w:t xml:space="preserve">Current Capability: </w:t>
      </w:r>
      <w:r>
        <w:t>Replaces manual paper shift logs with auto-generated, audited recommendation queues (AWAITING -&gt; APPROVED).</w:t>
        <w:br/>
      </w:r>
      <w:r>
        <w:rPr>
          <w:b/>
        </w:rPr>
        <w:t xml:space="preserve">Expected Benefit: </w:t>
      </w:r>
      <w:r>
        <w:t>Can help improve operational transparency and support shift decision-making.</w:t>
        <w:br/>
      </w:r>
      <w:r>
        <w:rPr>
          <w:b/>
        </w:rPr>
        <w:t xml:space="preserve">Verification Evidence: </w:t>
      </w:r>
      <w:r>
        <w:t>backend/app/services/recommendation_service.py</w:t>
      </w:r>
    </w:p>
    <w:p>
      <w:pPr>
        <w:pStyle w:val="Heading2"/>
        <w:keepNext/>
        <w:spacing w:before="240" w:after="80"/>
      </w:pPr>
      <w:r>
        <w:rPr>
          <w:rFonts w:ascii="Calibri" w:hAnsi="Calibri"/>
          <w:b/>
          <w:color w:val="2B6CB0"/>
          <w:sz w:val="28"/>
        </w:rPr>
        <w:t>B. Production Benefits: Target Shortfall Mitigation &amp; Blending Optimization</w:t>
      </w:r>
    </w:p>
    <w:p>
      <w:pPr>
        <w:spacing w:after="80"/>
      </w:pPr>
      <w:r>
        <w:rPr>
          <w:b/>
        </w:rPr>
        <w:t xml:space="preserve">Current Capability: </w:t>
      </w:r>
      <w:r>
        <w:t>GradientBoosting forecaster predicts tonnage output under weather/breakdown conditions, helping maintain daily target delivery.</w:t>
        <w:br/>
      </w:r>
      <w:r>
        <w:rPr>
          <w:b/>
        </w:rPr>
        <w:t xml:space="preserve">Expected Benefit: </w:t>
      </w:r>
      <w:r>
        <w:t>Can help improve operational transparency and support shift decision-making.</w:t>
        <w:br/>
      </w:r>
      <w:r>
        <w:rPr>
          <w:b/>
        </w:rPr>
        <w:t xml:space="preserve">Verification Evidence: </w:t>
      </w:r>
      <w:r>
        <w:t>ai_ml/models/production_model.joblib</w:t>
      </w:r>
    </w:p>
    <w:p>
      <w:pPr>
        <w:pStyle w:val="Heading2"/>
        <w:keepNext/>
        <w:spacing w:before="240" w:after="80"/>
      </w:pPr>
      <w:r>
        <w:rPr>
          <w:rFonts w:ascii="Calibri" w:hAnsi="Calibri"/>
          <w:b/>
          <w:color w:val="2B6CB0"/>
          <w:sz w:val="28"/>
        </w:rPr>
        <w:t>C. Geological Exploration: Leakage-Free Core Ore Grade Classification</w:t>
      </w:r>
    </w:p>
    <w:p>
      <w:pPr>
        <w:spacing w:after="80"/>
      </w:pPr>
      <w:r>
        <w:rPr>
          <w:b/>
        </w:rPr>
        <w:t xml:space="preserve">Current Capability: </w:t>
      </w:r>
      <w:r>
        <w:t>RandomForest model classifies core samples into grade tiers without target leakage, aiding selective stope extraction.</w:t>
        <w:br/>
      </w:r>
      <w:r>
        <w:rPr>
          <w:b/>
        </w:rPr>
        <w:t xml:space="preserve">Expected Benefit: </w:t>
      </w:r>
      <w:r>
        <w:t>Can help improve operational transparency and support shift decision-making.</w:t>
        <w:br/>
      </w:r>
      <w:r>
        <w:rPr>
          <w:b/>
        </w:rPr>
        <w:t xml:space="preserve">Verification Evidence: </w:t>
      </w:r>
      <w:r>
        <w:t>ai_ml/models/reserve_model.joblib</w:t>
      </w:r>
    </w:p>
    <w:p>
      <w:pPr>
        <w:pStyle w:val="Heading2"/>
        <w:keepNext/>
        <w:spacing w:before="240" w:after="80"/>
      </w:pPr>
      <w:r>
        <w:rPr>
          <w:rFonts w:ascii="Calibri" w:hAnsi="Calibri"/>
          <w:b/>
          <w:color w:val="2B6CB0"/>
          <w:sz w:val="28"/>
        </w:rPr>
        <w:t>D. Maintenance &amp; Fleet: Predictive Equipment Downtime Management</w:t>
      </w:r>
    </w:p>
    <w:p>
      <w:pPr>
        <w:spacing w:after="80"/>
      </w:pPr>
      <w:r>
        <w:rPr>
          <w:b/>
        </w:rPr>
        <w:t xml:space="preserve">Current Capability: </w:t>
      </w:r>
      <w:r>
        <w:t>Tracks HEMM vibration, fuel burn, and operating hours to flag breakdown risks prior to catastrophic failure.</w:t>
        <w:br/>
      </w:r>
      <w:r>
        <w:rPr>
          <w:b/>
        </w:rPr>
        <w:t xml:space="preserve">Expected Benefit: </w:t>
      </w:r>
      <w:r>
        <w:t>Can help improve operational transparency and support shift decision-making.</w:t>
        <w:br/>
      </w:r>
      <w:r>
        <w:rPr>
          <w:b/>
        </w:rPr>
        <w:t xml:space="preserve">Verification Evidence: </w:t>
      </w:r>
      <w:r>
        <w:t>backend/app/models/orm_models.py (EquipmentStatus)</w:t>
      </w:r>
    </w:p>
    <w:p>
      <w:pPr>
        <w:pStyle w:val="Heading2"/>
        <w:keepNext/>
        <w:spacing w:before="240" w:after="80"/>
      </w:pPr>
      <w:r>
        <w:rPr>
          <w:rFonts w:ascii="Calibri" w:hAnsi="Calibri"/>
          <w:b/>
          <w:color w:val="2B6CB0"/>
          <w:sz w:val="28"/>
        </w:rPr>
        <w:t>E. Safety &amp; Risk Benefits: 4-Pillar Early Warning Safety Matrix</w:t>
      </w:r>
    </w:p>
    <w:p>
      <w:pPr>
        <w:spacing w:after="80"/>
      </w:pPr>
      <w:r>
        <w:rPr>
          <w:b/>
        </w:rPr>
        <w:t xml:space="preserve">Current Capability: </w:t>
      </w:r>
      <w:r>
        <w:t>Monitors blast delays, equipment vibration (&gt;5mm/s), and thermal proximity to prevent mine rim hazards.</w:t>
        <w:br/>
      </w:r>
      <w:r>
        <w:rPr>
          <w:b/>
        </w:rPr>
        <w:t xml:space="preserve">Expected Benefit: </w:t>
      </w:r>
      <w:r>
        <w:t>Can help improve operational transparency and support shift decision-making.</w:t>
        <w:br/>
      </w:r>
      <w:r>
        <w:rPr>
          <w:b/>
        </w:rPr>
        <w:t xml:space="preserve">Verification Evidence: </w:t>
      </w:r>
      <w:r>
        <w:t>backend/app/services/risk_service.py</w:t>
      </w:r>
    </w:p>
    <w:p>
      <w:pPr>
        <w:pStyle w:val="Heading2"/>
        <w:keepNext/>
        <w:spacing w:before="240" w:after="80"/>
      </w:pPr>
      <w:r>
        <w:rPr>
          <w:rFonts w:ascii="Calibri" w:hAnsi="Calibri"/>
          <w:b/>
          <w:color w:val="2B6CB0"/>
          <w:sz w:val="28"/>
        </w:rPr>
        <w:t>F. Environmental Monitoring: Spaceborne Pit Inundation &amp; Vegetation Tracking</w:t>
      </w:r>
    </w:p>
    <w:p>
      <w:pPr>
        <w:spacing w:after="80"/>
      </w:pPr>
      <w:r>
        <w:rPr>
          <w:b/>
        </w:rPr>
        <w:t xml:space="preserve">Current Capability: </w:t>
      </w:r>
      <w:r>
        <w:t>Sentinel-2 NDWI monitors open-pit water accumulation while NDVI tracks perimeter bench land reclamation.</w:t>
        <w:br/>
      </w:r>
      <w:r>
        <w:rPr>
          <w:b/>
        </w:rPr>
        <w:t xml:space="preserve">Expected Benefit: </w:t>
      </w:r>
      <w:r>
        <w:t>Can help improve operational transparency and support shift decision-making.</w:t>
        <w:br/>
      </w:r>
      <w:r>
        <w:rPr>
          <w:b/>
        </w:rPr>
        <w:t xml:space="preserve">Verification Evidence: </w:t>
      </w:r>
      <w:r>
        <w:t>backend/app/services/satellite_service.py</w:t>
      </w:r>
    </w:p>
    <w:p>
      <w:pPr>
        <w:pStyle w:val="Heading2"/>
        <w:keepNext/>
        <w:spacing w:before="240" w:after="80"/>
      </w:pPr>
      <w:r>
        <w:rPr>
          <w:rFonts w:ascii="Calibri" w:hAnsi="Calibri"/>
          <w:b/>
          <w:color w:val="2B6CB0"/>
          <w:sz w:val="28"/>
        </w:rPr>
        <w:t>G. Management Decision-Making: Interactive What-If Operational Simulator</w:t>
      </w:r>
    </w:p>
    <w:p>
      <w:pPr>
        <w:spacing w:after="80"/>
      </w:pPr>
      <w:r>
        <w:rPr>
          <w:b/>
        </w:rPr>
        <w:t xml:space="preserve">Current Capability: </w:t>
      </w:r>
      <w:r>
        <w:t>Allows executives to simulate rainfall scenarios (0-200mm) and cutoff grade adjustments to evaluate financial impact.</w:t>
        <w:br/>
      </w:r>
      <w:r>
        <w:rPr>
          <w:b/>
        </w:rPr>
        <w:t xml:space="preserve">Expected Benefit: </w:t>
      </w:r>
      <w:r>
        <w:t>Can help improve operational transparency and support shift decision-making.</w:t>
        <w:br/>
      </w:r>
      <w:r>
        <w:rPr>
          <w:b/>
        </w:rPr>
        <w:t xml:space="preserve">Verification Evidence: </w:t>
      </w:r>
      <w:r>
        <w:t>frontend/src/components/WhatIfSimulator.tsx</w:t>
      </w:r>
    </w:p>
    <w:p>
      <w:pPr>
        <w:pStyle w:val="Heading2"/>
        <w:keepNext/>
        <w:spacing w:before="240" w:after="80"/>
      </w:pPr>
      <w:r>
        <w:rPr>
          <w:rFonts w:ascii="Calibri" w:hAnsi="Calibri"/>
          <w:b/>
          <w:color w:val="2B6CB0"/>
          <w:sz w:val="28"/>
        </w:rPr>
        <w:t>H. Data Governance: 5-Domain Automated Quality Auditing</w:t>
      </w:r>
    </w:p>
    <w:p>
      <w:pPr>
        <w:spacing w:after="80"/>
      </w:pPr>
      <w:r>
        <w:rPr>
          <w:b/>
        </w:rPr>
        <w:t xml:space="preserve">Current Capability: </w:t>
      </w:r>
      <w:r>
        <w:t>Computes live data quality score across Completeness, Timeliness, Validity, Consistency, and Accuracy.</w:t>
        <w:br/>
      </w:r>
      <w:r>
        <w:rPr>
          <w:b/>
        </w:rPr>
        <w:t xml:space="preserve">Expected Benefit: </w:t>
      </w:r>
      <w:r>
        <w:t>Can help improve operational transparency and support shift decision-making.</w:t>
        <w:br/>
      </w:r>
      <w:r>
        <w:rPr>
          <w:b/>
        </w:rPr>
        <w:t xml:space="preserve">Verification Evidence: </w:t>
      </w:r>
      <w:r>
        <w:t>backend/app/api/routes/quality.py</w:t>
      </w:r>
    </w:p>
    <w:p>
      <w:pPr>
        <w:pStyle w:val="Heading2"/>
        <w:keepNext/>
        <w:spacing w:before="240" w:after="80"/>
      </w:pPr>
      <w:r>
        <w:rPr>
          <w:rFonts w:ascii="Calibri" w:hAnsi="Calibri"/>
          <w:b/>
          <w:color w:val="2B6CB0"/>
          <w:sz w:val="28"/>
        </w:rPr>
        <w:t>I. Strategic Benefits: Enterprise Digital Transformation Foundation</w:t>
      </w:r>
    </w:p>
    <w:p>
      <w:pPr>
        <w:spacing w:after="80"/>
      </w:pPr>
      <w:r>
        <w:rPr>
          <w:b/>
        </w:rPr>
        <w:t xml:space="preserve">Current Capability: </w:t>
      </w:r>
      <w:r>
        <w:t>Provides MOIL with a modern, cloud-ready digital twin framework for sustainable manganese mining.</w:t>
        <w:br/>
      </w:r>
      <w:r>
        <w:rPr>
          <w:b/>
        </w:rPr>
        <w:t xml:space="preserve">Expected Benefit: </w:t>
      </w:r>
      <w:r>
        <w:t>Can help improve operational transparency and support shift decision-making.</w:t>
        <w:br/>
      </w:r>
      <w:r>
        <w:rPr>
          <w:b/>
        </w:rPr>
        <w:t xml:space="preserve">Verification Evidence: </w:t>
      </w:r>
      <w:r>
        <w:t>Full Platform Integration</w:t>
      </w:r>
    </w:p>
    <w:p>
      <w:pPr>
        <w:pStyle w:val="Heading1"/>
        <w:keepNext/>
        <w:spacing w:before="240" w:after="80"/>
      </w:pPr>
      <w:r>
        <w:rPr>
          <w:rFonts w:ascii="Calibri" w:hAnsi="Calibri"/>
          <w:b/>
          <w:color w:val="1A365D"/>
          <w:sz w:val="36"/>
        </w:rPr>
        <w:t>5. Project Feature Impact Mapping</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987"/>
        <w:gridCol w:w="1987"/>
        <w:gridCol w:w="1987"/>
        <w:gridCol w:w="1987"/>
        <w:gridCol w:w="1987"/>
      </w:tblGrid>
      <w:tr>
        <w:tc>
          <w:tcPr>
            <w:tcW w:type="dxa" w:w="1872"/>
            <w:shd w:fill="1A365D"/>
            <w:tcMar>
              <w:top w:w="100" w:type="dxa"/>
              <w:bottom w:w="100" w:type="dxa"/>
              <w:left w:w="120" w:type="dxa"/>
              <w:right w:w="120" w:type="dxa"/>
            </w:tcMar>
          </w:tcPr>
          <w:p>
            <w:pPr>
              <w:jc w:val="left"/>
            </w:pPr>
            <w:r>
              <w:rPr>
                <w:rFonts w:ascii="Calibri" w:hAnsi="Calibri"/>
                <w:b/>
                <w:color w:val="FFFFFF"/>
                <w:sz w:val="19"/>
              </w:rPr>
              <w:t>Project Feature</w:t>
            </w:r>
          </w:p>
        </w:tc>
        <w:tc>
          <w:tcPr>
            <w:tcW w:type="dxa" w:w="1872"/>
            <w:shd w:fill="1A365D"/>
            <w:tcMar>
              <w:top w:w="100" w:type="dxa"/>
              <w:bottom w:w="100" w:type="dxa"/>
              <w:left w:w="120" w:type="dxa"/>
              <w:right w:w="120" w:type="dxa"/>
            </w:tcMar>
          </w:tcPr>
          <w:p>
            <w:pPr>
              <w:jc w:val="left"/>
            </w:pPr>
            <w:r>
              <w:rPr>
                <w:rFonts w:ascii="Calibri" w:hAnsi="Calibri"/>
                <w:b/>
                <w:color w:val="FFFFFF"/>
                <w:sz w:val="19"/>
              </w:rPr>
              <w:t>Problem Addressed</w:t>
            </w:r>
          </w:p>
        </w:tc>
        <w:tc>
          <w:tcPr>
            <w:tcW w:type="dxa" w:w="2592"/>
            <w:shd w:fill="1A365D"/>
            <w:tcMar>
              <w:top w:w="100" w:type="dxa"/>
              <w:bottom w:w="100" w:type="dxa"/>
              <w:left w:w="120" w:type="dxa"/>
              <w:right w:w="120" w:type="dxa"/>
            </w:tcMar>
          </w:tcPr>
          <w:p>
            <w:pPr>
              <w:jc w:val="left"/>
            </w:pPr>
            <w:r>
              <w:rPr>
                <w:rFonts w:ascii="Calibri" w:hAnsi="Calibri"/>
                <w:b/>
                <w:color w:val="FFFFFF"/>
                <w:sz w:val="19"/>
              </w:rPr>
              <w:t>Expected Benefit</w:t>
            </w:r>
          </w:p>
        </w:tc>
        <w:tc>
          <w:tcPr>
            <w:tcW w:type="dxa" w:w="1584"/>
            <w:shd w:fill="1A365D"/>
            <w:tcMar>
              <w:top w:w="100" w:type="dxa"/>
              <w:bottom w:w="100" w:type="dxa"/>
              <w:left w:w="120" w:type="dxa"/>
              <w:right w:w="120" w:type="dxa"/>
            </w:tcMar>
          </w:tcPr>
          <w:p>
            <w:pPr>
              <w:jc w:val="left"/>
            </w:pPr>
            <w:r>
              <w:rPr>
                <w:rFonts w:ascii="Calibri" w:hAnsi="Calibri"/>
                <w:b/>
                <w:color w:val="FFFFFF"/>
                <w:sz w:val="19"/>
              </w:rPr>
              <w:t>Target User</w:t>
            </w:r>
          </w:p>
        </w:tc>
        <w:tc>
          <w:tcPr>
            <w:tcW w:type="dxa" w:w="1872"/>
            <w:shd w:fill="1A365D"/>
            <w:tcMar>
              <w:top w:w="100" w:type="dxa"/>
              <w:bottom w:w="100" w:type="dxa"/>
              <w:left w:w="120" w:type="dxa"/>
              <w:right w:w="120" w:type="dxa"/>
            </w:tcMar>
          </w:tcPr>
          <w:p>
            <w:pPr>
              <w:jc w:val="left"/>
            </w:pPr>
            <w:r>
              <w:rPr>
                <w:rFonts w:ascii="Calibri" w:hAnsi="Calibri"/>
                <w:b/>
                <w:color w:val="FFFFFF"/>
                <w:sz w:val="19"/>
              </w:rPr>
              <w:t>Project Evidence</w:t>
            </w:r>
          </w:p>
        </w:tc>
      </w:tr>
      <w:tr>
        <w:tc>
          <w:tcPr>
            <w:tcW w:type="dxa" w:w="1872"/>
            <w:shd w:fill="FFFFFF"/>
            <w:tcMar>
              <w:top w:w="80" w:type="dxa"/>
              <w:bottom w:w="80" w:type="dxa"/>
              <w:left w:w="120" w:type="dxa"/>
              <w:right w:w="120" w:type="dxa"/>
            </w:tcMar>
          </w:tcPr>
          <w:p>
            <w:pPr>
              <w:jc w:val="left"/>
            </w:pPr>
            <w:r>
              <w:rPr>
                <w:rFonts w:ascii="Calibri" w:hAnsi="Calibri"/>
                <w:color w:val="2D3748"/>
                <w:sz w:val="18"/>
              </w:rPr>
              <w:t>Executive Dashboard</w:t>
            </w:r>
          </w:p>
        </w:tc>
        <w:tc>
          <w:tcPr>
            <w:tcW w:type="dxa" w:w="1872"/>
            <w:shd w:fill="FFFFFF"/>
            <w:tcMar>
              <w:top w:w="80" w:type="dxa"/>
              <w:bottom w:w="80" w:type="dxa"/>
              <w:left w:w="120" w:type="dxa"/>
              <w:right w:w="120" w:type="dxa"/>
            </w:tcMar>
          </w:tcPr>
          <w:p>
            <w:pPr>
              <w:jc w:val="left"/>
            </w:pPr>
            <w:r>
              <w:rPr>
                <w:rFonts w:ascii="Calibri" w:hAnsi="Calibri"/>
                <w:color w:val="2D3748"/>
                <w:sz w:val="18"/>
              </w:rPr>
              <w:t>Fragmented operational metrics</w:t>
            </w:r>
          </w:p>
        </w:tc>
        <w:tc>
          <w:tcPr>
            <w:tcW w:type="dxa" w:w="2592"/>
            <w:shd w:fill="FFFFFF"/>
            <w:tcMar>
              <w:top w:w="80" w:type="dxa"/>
              <w:bottom w:w="80" w:type="dxa"/>
              <w:left w:w="120" w:type="dxa"/>
              <w:right w:w="120" w:type="dxa"/>
            </w:tcMar>
          </w:tcPr>
          <w:p>
            <w:pPr>
              <w:jc w:val="left"/>
            </w:pPr>
            <w:r>
              <w:rPr>
                <w:rFonts w:ascii="Calibri" w:hAnsi="Calibri"/>
                <w:color w:val="2D3748"/>
                <w:sz w:val="18"/>
              </w:rPr>
              <w:t>Provides unified KPI view &amp; 14-day production trajectory</w:t>
            </w:r>
          </w:p>
        </w:tc>
        <w:tc>
          <w:tcPr>
            <w:tcW w:type="dxa" w:w="1584"/>
            <w:shd w:fill="FFFFFF"/>
            <w:tcMar>
              <w:top w:w="80" w:type="dxa"/>
              <w:bottom w:w="80" w:type="dxa"/>
              <w:left w:w="120" w:type="dxa"/>
              <w:right w:w="120" w:type="dxa"/>
            </w:tcMar>
          </w:tcPr>
          <w:p>
            <w:pPr>
              <w:jc w:val="left"/>
            </w:pPr>
            <w:r>
              <w:rPr>
                <w:rFonts w:ascii="Calibri" w:hAnsi="Calibri"/>
                <w:color w:val="2D3748"/>
                <w:sz w:val="18"/>
              </w:rPr>
              <w:t>MOIL Leadership</w:t>
            </w:r>
          </w:p>
        </w:tc>
        <w:tc>
          <w:tcPr>
            <w:tcW w:type="dxa" w:w="1872"/>
            <w:shd w:fill="FFFFFF"/>
            <w:tcMar>
              <w:top w:w="80" w:type="dxa"/>
              <w:bottom w:w="80" w:type="dxa"/>
              <w:left w:w="120" w:type="dxa"/>
              <w:right w:w="120" w:type="dxa"/>
            </w:tcMar>
          </w:tcPr>
          <w:p>
            <w:pPr>
              <w:jc w:val="left"/>
            </w:pPr>
            <w:r>
              <w:rPr>
                <w:rFonts w:ascii="Calibri" w:hAnsi="Calibri"/>
                <w:color w:val="2D3748"/>
                <w:sz w:val="18"/>
              </w:rPr>
              <w:t>backend/app/api/routes/dashboard.py</w:t>
            </w:r>
          </w:p>
        </w:tc>
      </w:tr>
      <w:tr>
        <w:tc>
          <w:tcPr>
            <w:tcW w:type="dxa" w:w="1872"/>
            <w:shd w:fill="F7FAFC"/>
            <w:tcMar>
              <w:top w:w="80" w:type="dxa"/>
              <w:bottom w:w="80" w:type="dxa"/>
              <w:left w:w="120" w:type="dxa"/>
              <w:right w:w="120" w:type="dxa"/>
            </w:tcMar>
          </w:tcPr>
          <w:p>
            <w:pPr>
              <w:jc w:val="left"/>
            </w:pPr>
            <w:r>
              <w:rPr>
                <w:rFonts w:ascii="Calibri" w:hAnsi="Calibri"/>
                <w:color w:val="2D3748"/>
                <w:sz w:val="18"/>
              </w:rPr>
              <w:t>Reserve Prediction</w:t>
            </w:r>
          </w:p>
        </w:tc>
        <w:tc>
          <w:tcPr>
            <w:tcW w:type="dxa" w:w="1872"/>
            <w:shd w:fill="F7FAFC"/>
            <w:tcMar>
              <w:top w:w="80" w:type="dxa"/>
              <w:bottom w:w="80" w:type="dxa"/>
              <w:left w:w="120" w:type="dxa"/>
              <w:right w:w="120" w:type="dxa"/>
            </w:tcMar>
          </w:tcPr>
          <w:p>
            <w:pPr>
              <w:jc w:val="left"/>
            </w:pPr>
            <w:r>
              <w:rPr>
                <w:rFonts w:ascii="Calibri" w:hAnsi="Calibri"/>
                <w:color w:val="2D3748"/>
                <w:sz w:val="18"/>
              </w:rPr>
              <w:t>Manual grade estimation delays</w:t>
            </w:r>
          </w:p>
        </w:tc>
        <w:tc>
          <w:tcPr>
            <w:tcW w:type="dxa" w:w="2592"/>
            <w:shd w:fill="F7FAFC"/>
            <w:tcMar>
              <w:top w:w="80" w:type="dxa"/>
              <w:bottom w:w="80" w:type="dxa"/>
              <w:left w:w="120" w:type="dxa"/>
              <w:right w:w="120" w:type="dxa"/>
            </w:tcMar>
          </w:tcPr>
          <w:p>
            <w:pPr>
              <w:jc w:val="left"/>
            </w:pPr>
            <w:r>
              <w:rPr>
                <w:rFonts w:ascii="Calibri" w:hAnsi="Calibri"/>
                <w:color w:val="2D3748"/>
                <w:sz w:val="18"/>
              </w:rPr>
              <w:t>Predicts ore grade class from core assays without leakage</w:t>
            </w:r>
          </w:p>
        </w:tc>
        <w:tc>
          <w:tcPr>
            <w:tcW w:type="dxa" w:w="1584"/>
            <w:shd w:fill="F7FAFC"/>
            <w:tcMar>
              <w:top w:w="80" w:type="dxa"/>
              <w:bottom w:w="80" w:type="dxa"/>
              <w:left w:w="120" w:type="dxa"/>
              <w:right w:w="120" w:type="dxa"/>
            </w:tcMar>
          </w:tcPr>
          <w:p>
            <w:pPr>
              <w:jc w:val="left"/>
            </w:pPr>
            <w:r>
              <w:rPr>
                <w:rFonts w:ascii="Calibri" w:hAnsi="Calibri"/>
                <w:color w:val="2D3748"/>
                <w:sz w:val="18"/>
              </w:rPr>
              <w:t>Geologists</w:t>
            </w:r>
          </w:p>
        </w:tc>
        <w:tc>
          <w:tcPr>
            <w:tcW w:type="dxa" w:w="1872"/>
            <w:shd w:fill="F7FAFC"/>
            <w:tcMar>
              <w:top w:w="80" w:type="dxa"/>
              <w:bottom w:w="80" w:type="dxa"/>
              <w:left w:w="120" w:type="dxa"/>
              <w:right w:w="120" w:type="dxa"/>
            </w:tcMar>
          </w:tcPr>
          <w:p>
            <w:pPr>
              <w:jc w:val="left"/>
            </w:pPr>
            <w:r>
              <w:rPr>
                <w:rFonts w:ascii="Calibri" w:hAnsi="Calibri"/>
                <w:color w:val="2D3748"/>
                <w:sz w:val="18"/>
              </w:rPr>
              <w:t>ai_ml/models/reserve_model.joblib</w:t>
            </w:r>
          </w:p>
        </w:tc>
      </w:tr>
      <w:tr>
        <w:tc>
          <w:tcPr>
            <w:tcW w:type="dxa" w:w="1872"/>
            <w:shd w:fill="FFFFFF"/>
            <w:tcMar>
              <w:top w:w="80" w:type="dxa"/>
              <w:bottom w:w="80" w:type="dxa"/>
              <w:left w:w="120" w:type="dxa"/>
              <w:right w:w="120" w:type="dxa"/>
            </w:tcMar>
          </w:tcPr>
          <w:p>
            <w:pPr>
              <w:jc w:val="left"/>
            </w:pPr>
            <w:r>
              <w:rPr>
                <w:rFonts w:ascii="Calibri" w:hAnsi="Calibri"/>
                <w:color w:val="2D3748"/>
                <w:sz w:val="18"/>
              </w:rPr>
              <w:t>Production Forecasting</w:t>
            </w:r>
          </w:p>
        </w:tc>
        <w:tc>
          <w:tcPr>
            <w:tcW w:type="dxa" w:w="1872"/>
            <w:shd w:fill="FFFFFF"/>
            <w:tcMar>
              <w:top w:w="80" w:type="dxa"/>
              <w:bottom w:w="80" w:type="dxa"/>
              <w:left w:w="120" w:type="dxa"/>
              <w:right w:w="120" w:type="dxa"/>
            </w:tcMar>
          </w:tcPr>
          <w:p>
            <w:pPr>
              <w:jc w:val="left"/>
            </w:pPr>
            <w:r>
              <w:rPr>
                <w:rFonts w:ascii="Calibri" w:hAnsi="Calibri"/>
                <w:color w:val="2D3748"/>
                <w:sz w:val="18"/>
              </w:rPr>
              <w:t>Unpredicted shift shortfall</w:t>
            </w:r>
          </w:p>
        </w:tc>
        <w:tc>
          <w:tcPr>
            <w:tcW w:type="dxa" w:w="2592"/>
            <w:shd w:fill="FFFFFF"/>
            <w:tcMar>
              <w:top w:w="80" w:type="dxa"/>
              <w:bottom w:w="80" w:type="dxa"/>
              <w:left w:w="120" w:type="dxa"/>
              <w:right w:w="120" w:type="dxa"/>
            </w:tcMar>
          </w:tcPr>
          <w:p>
            <w:pPr>
              <w:jc w:val="left"/>
            </w:pPr>
            <w:r>
              <w:rPr>
                <w:rFonts w:ascii="Calibri" w:hAnsi="Calibri"/>
                <w:color w:val="2D3748"/>
                <w:sz w:val="18"/>
              </w:rPr>
              <w:t>Forecasts shift tonnage accounting for weather &amp; breakdown</w:t>
            </w:r>
          </w:p>
        </w:tc>
        <w:tc>
          <w:tcPr>
            <w:tcW w:type="dxa" w:w="1584"/>
            <w:shd w:fill="FFFFFF"/>
            <w:tcMar>
              <w:top w:w="80" w:type="dxa"/>
              <w:bottom w:w="80" w:type="dxa"/>
              <w:left w:w="120" w:type="dxa"/>
              <w:right w:w="120" w:type="dxa"/>
            </w:tcMar>
          </w:tcPr>
          <w:p>
            <w:pPr>
              <w:jc w:val="left"/>
            </w:pPr>
            <w:r>
              <w:rPr>
                <w:rFonts w:ascii="Calibri" w:hAnsi="Calibri"/>
                <w:color w:val="2D3748"/>
                <w:sz w:val="18"/>
              </w:rPr>
              <w:t>Shift Managers</w:t>
            </w:r>
          </w:p>
        </w:tc>
        <w:tc>
          <w:tcPr>
            <w:tcW w:type="dxa" w:w="1872"/>
            <w:shd w:fill="FFFFFF"/>
            <w:tcMar>
              <w:top w:w="80" w:type="dxa"/>
              <w:bottom w:w="80" w:type="dxa"/>
              <w:left w:w="120" w:type="dxa"/>
              <w:right w:w="120" w:type="dxa"/>
            </w:tcMar>
          </w:tcPr>
          <w:p>
            <w:pPr>
              <w:jc w:val="left"/>
            </w:pPr>
            <w:r>
              <w:rPr>
                <w:rFonts w:ascii="Calibri" w:hAnsi="Calibri"/>
                <w:color w:val="2D3748"/>
                <w:sz w:val="18"/>
              </w:rPr>
              <w:t>ai_ml/models/production_model.joblib</w:t>
            </w:r>
          </w:p>
        </w:tc>
      </w:tr>
      <w:tr>
        <w:tc>
          <w:tcPr>
            <w:tcW w:type="dxa" w:w="1872"/>
            <w:shd w:fill="F7FAFC"/>
            <w:tcMar>
              <w:top w:w="80" w:type="dxa"/>
              <w:bottom w:w="80" w:type="dxa"/>
              <w:left w:w="120" w:type="dxa"/>
              <w:right w:w="120" w:type="dxa"/>
            </w:tcMar>
          </w:tcPr>
          <w:p>
            <w:pPr>
              <w:jc w:val="left"/>
            </w:pPr>
            <w:r>
              <w:rPr>
                <w:rFonts w:ascii="Calibri" w:hAnsi="Calibri"/>
                <w:color w:val="2D3748"/>
                <w:sz w:val="18"/>
              </w:rPr>
              <w:t>Equipment Telemetry</w:t>
            </w:r>
          </w:p>
        </w:tc>
        <w:tc>
          <w:tcPr>
            <w:tcW w:type="dxa" w:w="1872"/>
            <w:shd w:fill="F7FAFC"/>
            <w:tcMar>
              <w:top w:w="80" w:type="dxa"/>
              <w:bottom w:w="80" w:type="dxa"/>
              <w:left w:w="120" w:type="dxa"/>
              <w:right w:w="120" w:type="dxa"/>
            </w:tcMar>
          </w:tcPr>
          <w:p>
            <w:pPr>
              <w:jc w:val="left"/>
            </w:pPr>
            <w:r>
              <w:rPr>
                <w:rFonts w:ascii="Calibri" w:hAnsi="Calibri"/>
                <w:color w:val="2D3748"/>
                <w:sz w:val="18"/>
              </w:rPr>
              <w:t>Unplanned HEMM breakdowns</w:t>
            </w:r>
          </w:p>
        </w:tc>
        <w:tc>
          <w:tcPr>
            <w:tcW w:type="dxa" w:w="2592"/>
            <w:shd w:fill="F7FAFC"/>
            <w:tcMar>
              <w:top w:w="80" w:type="dxa"/>
              <w:bottom w:w="80" w:type="dxa"/>
              <w:left w:w="120" w:type="dxa"/>
              <w:right w:w="120" w:type="dxa"/>
            </w:tcMar>
          </w:tcPr>
          <w:p>
            <w:pPr>
              <w:jc w:val="left"/>
            </w:pPr>
            <w:r>
              <w:rPr>
                <w:rFonts w:ascii="Calibri" w:hAnsi="Calibri"/>
                <w:color w:val="2D3748"/>
                <w:sz w:val="18"/>
              </w:rPr>
              <w:t>Monitors vibration/fuel metrics to schedule preventive maintenance</w:t>
            </w:r>
          </w:p>
        </w:tc>
        <w:tc>
          <w:tcPr>
            <w:tcW w:type="dxa" w:w="1584"/>
            <w:shd w:fill="F7FAFC"/>
            <w:tcMar>
              <w:top w:w="80" w:type="dxa"/>
              <w:bottom w:w="80" w:type="dxa"/>
              <w:left w:w="120" w:type="dxa"/>
              <w:right w:w="120" w:type="dxa"/>
            </w:tcMar>
          </w:tcPr>
          <w:p>
            <w:pPr>
              <w:jc w:val="left"/>
            </w:pPr>
            <w:r>
              <w:rPr>
                <w:rFonts w:ascii="Calibri" w:hAnsi="Calibri"/>
                <w:color w:val="2D3748"/>
                <w:sz w:val="18"/>
              </w:rPr>
              <w:t>Maintenance Team</w:t>
            </w:r>
          </w:p>
        </w:tc>
        <w:tc>
          <w:tcPr>
            <w:tcW w:type="dxa" w:w="1872"/>
            <w:shd w:fill="F7FAFC"/>
            <w:tcMar>
              <w:top w:w="80" w:type="dxa"/>
              <w:bottom w:w="80" w:type="dxa"/>
              <w:left w:w="120" w:type="dxa"/>
              <w:right w:w="120" w:type="dxa"/>
            </w:tcMar>
          </w:tcPr>
          <w:p>
            <w:pPr>
              <w:jc w:val="left"/>
            </w:pPr>
            <w:r>
              <w:rPr>
                <w:rFonts w:ascii="Calibri" w:hAnsi="Calibri"/>
                <w:color w:val="2D3748"/>
                <w:sz w:val="18"/>
              </w:rPr>
              <w:t>backend/app/models/orm_models.py</w:t>
            </w:r>
          </w:p>
        </w:tc>
      </w:tr>
      <w:tr>
        <w:tc>
          <w:tcPr>
            <w:tcW w:type="dxa" w:w="1872"/>
            <w:shd w:fill="FFFFFF"/>
            <w:tcMar>
              <w:top w:w="80" w:type="dxa"/>
              <w:bottom w:w="80" w:type="dxa"/>
              <w:left w:w="120" w:type="dxa"/>
              <w:right w:w="120" w:type="dxa"/>
            </w:tcMar>
          </w:tcPr>
          <w:p>
            <w:pPr>
              <w:jc w:val="left"/>
            </w:pPr>
            <w:r>
              <w:rPr>
                <w:rFonts w:ascii="Calibri" w:hAnsi="Calibri"/>
                <w:color w:val="2D3748"/>
                <w:sz w:val="18"/>
              </w:rPr>
              <w:t>Weather Telemetry</w:t>
            </w:r>
          </w:p>
        </w:tc>
        <w:tc>
          <w:tcPr>
            <w:tcW w:type="dxa" w:w="1872"/>
            <w:shd w:fill="FFFFFF"/>
            <w:tcMar>
              <w:top w:w="80" w:type="dxa"/>
              <w:bottom w:w="80" w:type="dxa"/>
              <w:left w:w="120" w:type="dxa"/>
              <w:right w:w="120" w:type="dxa"/>
            </w:tcMar>
          </w:tcPr>
          <w:p>
            <w:pPr>
              <w:jc w:val="left"/>
            </w:pPr>
            <w:r>
              <w:rPr>
                <w:rFonts w:ascii="Calibri" w:hAnsi="Calibri"/>
                <w:color w:val="2D3748"/>
                <w:sz w:val="18"/>
              </w:rPr>
              <w:t>Monsoon pit inundation</w:t>
            </w:r>
          </w:p>
        </w:tc>
        <w:tc>
          <w:tcPr>
            <w:tcW w:type="dxa" w:w="2592"/>
            <w:shd w:fill="FFFFFF"/>
            <w:tcMar>
              <w:top w:w="80" w:type="dxa"/>
              <w:bottom w:w="80" w:type="dxa"/>
              <w:left w:w="120" w:type="dxa"/>
              <w:right w:w="120" w:type="dxa"/>
            </w:tcMar>
          </w:tcPr>
          <w:p>
            <w:pPr>
              <w:jc w:val="left"/>
            </w:pPr>
            <w:r>
              <w:rPr>
                <w:rFonts w:ascii="Calibri" w:hAnsi="Calibri"/>
                <w:color w:val="2D3748"/>
                <w:sz w:val="18"/>
              </w:rPr>
              <w:t>Monitors IMD rainfall mm to trigger pit dewatering alerts</w:t>
            </w:r>
          </w:p>
        </w:tc>
        <w:tc>
          <w:tcPr>
            <w:tcW w:type="dxa" w:w="1584"/>
            <w:shd w:fill="FFFFFF"/>
            <w:tcMar>
              <w:top w:w="80" w:type="dxa"/>
              <w:bottom w:w="80" w:type="dxa"/>
              <w:left w:w="120" w:type="dxa"/>
              <w:right w:w="120" w:type="dxa"/>
            </w:tcMar>
          </w:tcPr>
          <w:p>
            <w:pPr>
              <w:jc w:val="left"/>
            </w:pPr>
            <w:r>
              <w:rPr>
                <w:rFonts w:ascii="Calibri" w:hAnsi="Calibri"/>
                <w:color w:val="2D3748"/>
                <w:sz w:val="18"/>
              </w:rPr>
              <w:t>Safety/Pit Engineers</w:t>
            </w:r>
          </w:p>
        </w:tc>
        <w:tc>
          <w:tcPr>
            <w:tcW w:type="dxa" w:w="1872"/>
            <w:shd w:fill="FFFFFF"/>
            <w:tcMar>
              <w:top w:w="80" w:type="dxa"/>
              <w:bottom w:w="80" w:type="dxa"/>
              <w:left w:w="120" w:type="dxa"/>
              <w:right w:w="120" w:type="dxa"/>
            </w:tcMar>
          </w:tcPr>
          <w:p>
            <w:pPr>
              <w:jc w:val="left"/>
            </w:pPr>
            <w:r>
              <w:rPr>
                <w:rFonts w:ascii="Calibri" w:hAnsi="Calibri"/>
                <w:color w:val="2D3748"/>
                <w:sz w:val="18"/>
              </w:rPr>
              <w:t>backend/app/api/routes/weather.py</w:t>
            </w:r>
          </w:p>
        </w:tc>
      </w:tr>
      <w:tr>
        <w:tc>
          <w:tcPr>
            <w:tcW w:type="dxa" w:w="1872"/>
            <w:shd w:fill="F7FAFC"/>
            <w:tcMar>
              <w:top w:w="80" w:type="dxa"/>
              <w:bottom w:w="80" w:type="dxa"/>
              <w:left w:w="120" w:type="dxa"/>
              <w:right w:w="120" w:type="dxa"/>
            </w:tcMar>
          </w:tcPr>
          <w:p>
            <w:pPr>
              <w:jc w:val="left"/>
            </w:pPr>
            <w:r>
              <w:rPr>
                <w:rFonts w:ascii="Calibri" w:hAnsi="Calibri"/>
                <w:color w:val="2D3748"/>
                <w:sz w:val="18"/>
              </w:rPr>
              <w:t>Satellite Remote Sensing</w:t>
            </w:r>
          </w:p>
        </w:tc>
        <w:tc>
          <w:tcPr>
            <w:tcW w:type="dxa" w:w="1872"/>
            <w:shd w:fill="F7FAFC"/>
            <w:tcMar>
              <w:top w:w="80" w:type="dxa"/>
              <w:bottom w:w="80" w:type="dxa"/>
              <w:left w:w="120" w:type="dxa"/>
              <w:right w:w="120" w:type="dxa"/>
            </w:tcMar>
          </w:tcPr>
          <w:p>
            <w:pPr>
              <w:jc w:val="left"/>
            </w:pPr>
            <w:r>
              <w:rPr>
                <w:rFonts w:ascii="Calibri" w:hAnsi="Calibri"/>
                <w:color w:val="2D3748"/>
                <w:sz w:val="18"/>
              </w:rPr>
              <w:t>Unmonitored environmental degradation</w:t>
            </w:r>
          </w:p>
        </w:tc>
        <w:tc>
          <w:tcPr>
            <w:tcW w:type="dxa" w:w="2592"/>
            <w:shd w:fill="F7FAFC"/>
            <w:tcMar>
              <w:top w:w="80" w:type="dxa"/>
              <w:bottom w:w="80" w:type="dxa"/>
              <w:left w:w="120" w:type="dxa"/>
              <w:right w:w="120" w:type="dxa"/>
            </w:tcMar>
          </w:tcPr>
          <w:p>
            <w:pPr>
              <w:jc w:val="left"/>
            </w:pPr>
            <w:r>
              <w:rPr>
                <w:rFonts w:ascii="Calibri" w:hAnsi="Calibri"/>
                <w:color w:val="2D3748"/>
                <w:sz w:val="18"/>
              </w:rPr>
              <w:t>Tracks pit water accumulation (NDWI) &amp; vegetation (NDVI)</w:t>
            </w:r>
          </w:p>
        </w:tc>
        <w:tc>
          <w:tcPr>
            <w:tcW w:type="dxa" w:w="1584"/>
            <w:shd w:fill="F7FAFC"/>
            <w:tcMar>
              <w:top w:w="80" w:type="dxa"/>
              <w:bottom w:w="80" w:type="dxa"/>
              <w:left w:w="120" w:type="dxa"/>
              <w:right w:w="120" w:type="dxa"/>
            </w:tcMar>
          </w:tcPr>
          <w:p>
            <w:pPr>
              <w:jc w:val="left"/>
            </w:pPr>
            <w:r>
              <w:rPr>
                <w:rFonts w:ascii="Calibri" w:hAnsi="Calibri"/>
                <w:color w:val="2D3748"/>
                <w:sz w:val="18"/>
              </w:rPr>
              <w:t>Environmental Officers</w:t>
            </w:r>
          </w:p>
        </w:tc>
        <w:tc>
          <w:tcPr>
            <w:tcW w:type="dxa" w:w="1872"/>
            <w:shd w:fill="F7FAFC"/>
            <w:tcMar>
              <w:top w:w="80" w:type="dxa"/>
              <w:bottom w:w="80" w:type="dxa"/>
              <w:left w:w="120" w:type="dxa"/>
              <w:right w:w="120" w:type="dxa"/>
            </w:tcMar>
          </w:tcPr>
          <w:p>
            <w:pPr>
              <w:jc w:val="left"/>
            </w:pPr>
            <w:r>
              <w:rPr>
                <w:rFonts w:ascii="Calibri" w:hAnsi="Calibri"/>
                <w:color w:val="2D3748"/>
                <w:sz w:val="18"/>
              </w:rPr>
              <w:t>backend/app/services/satellite_service.py</w:t>
            </w:r>
          </w:p>
        </w:tc>
      </w:tr>
      <w:tr>
        <w:tc>
          <w:tcPr>
            <w:tcW w:type="dxa" w:w="1872"/>
            <w:shd w:fill="FFFFFF"/>
            <w:tcMar>
              <w:top w:w="80" w:type="dxa"/>
              <w:bottom w:w="80" w:type="dxa"/>
              <w:left w:w="120" w:type="dxa"/>
              <w:right w:w="120" w:type="dxa"/>
            </w:tcMar>
          </w:tcPr>
          <w:p>
            <w:pPr>
              <w:jc w:val="left"/>
            </w:pPr>
            <w:r>
              <w:rPr>
                <w:rFonts w:ascii="Calibri" w:hAnsi="Calibri"/>
                <w:color w:val="2D3748"/>
                <w:sz w:val="18"/>
              </w:rPr>
              <w:t>FIRMS Thermal Sensing</w:t>
            </w:r>
          </w:p>
        </w:tc>
        <w:tc>
          <w:tcPr>
            <w:tcW w:type="dxa" w:w="1872"/>
            <w:shd w:fill="FFFFFF"/>
            <w:tcMar>
              <w:top w:w="80" w:type="dxa"/>
              <w:bottom w:w="80" w:type="dxa"/>
              <w:left w:w="120" w:type="dxa"/>
              <w:right w:w="120" w:type="dxa"/>
            </w:tcMar>
          </w:tcPr>
          <w:p>
            <w:pPr>
              <w:jc w:val="left"/>
            </w:pPr>
            <w:r>
              <w:rPr>
                <w:rFonts w:ascii="Calibri" w:hAnsi="Calibri"/>
                <w:color w:val="2D3748"/>
                <w:sz w:val="18"/>
              </w:rPr>
              <w:t>Pit rim fire/overburden hazards</w:t>
            </w:r>
          </w:p>
        </w:tc>
        <w:tc>
          <w:tcPr>
            <w:tcW w:type="dxa" w:w="2592"/>
            <w:shd w:fill="FFFFFF"/>
            <w:tcMar>
              <w:top w:w="80" w:type="dxa"/>
              <w:bottom w:w="80" w:type="dxa"/>
              <w:left w:w="120" w:type="dxa"/>
              <w:right w:w="120" w:type="dxa"/>
            </w:tcMar>
          </w:tcPr>
          <w:p>
            <w:pPr>
              <w:jc w:val="left"/>
            </w:pPr>
            <w:r>
              <w:rPr>
                <w:rFonts w:ascii="Calibri" w:hAnsi="Calibri"/>
                <w:color w:val="2D3748"/>
                <w:sz w:val="18"/>
              </w:rPr>
              <w:t>Detects thermal hotspots within 5km perimeter buffer</w:t>
            </w:r>
          </w:p>
        </w:tc>
        <w:tc>
          <w:tcPr>
            <w:tcW w:type="dxa" w:w="1584"/>
            <w:shd w:fill="FFFFFF"/>
            <w:tcMar>
              <w:top w:w="80" w:type="dxa"/>
              <w:bottom w:w="80" w:type="dxa"/>
              <w:left w:w="120" w:type="dxa"/>
              <w:right w:w="120" w:type="dxa"/>
            </w:tcMar>
          </w:tcPr>
          <w:p>
            <w:pPr>
              <w:jc w:val="left"/>
            </w:pPr>
            <w:r>
              <w:rPr>
                <w:rFonts w:ascii="Calibri" w:hAnsi="Calibri"/>
                <w:color w:val="2D3748"/>
                <w:sz w:val="18"/>
              </w:rPr>
              <w:t>Safety Engineers</w:t>
            </w:r>
          </w:p>
        </w:tc>
        <w:tc>
          <w:tcPr>
            <w:tcW w:type="dxa" w:w="1872"/>
            <w:shd w:fill="FFFFFF"/>
            <w:tcMar>
              <w:top w:w="80" w:type="dxa"/>
              <w:bottom w:w="80" w:type="dxa"/>
              <w:left w:w="120" w:type="dxa"/>
              <w:right w:w="120" w:type="dxa"/>
            </w:tcMar>
          </w:tcPr>
          <w:p>
            <w:pPr>
              <w:jc w:val="left"/>
            </w:pPr>
            <w:r>
              <w:rPr>
                <w:rFonts w:ascii="Calibri" w:hAnsi="Calibri"/>
                <w:color w:val="2D3748"/>
                <w:sz w:val="18"/>
              </w:rPr>
              <w:t>backend/app/api/routes/satellite.py</w:t>
            </w:r>
          </w:p>
        </w:tc>
      </w:tr>
      <w:tr>
        <w:tc>
          <w:tcPr>
            <w:tcW w:type="dxa" w:w="1872"/>
            <w:shd w:fill="F7FAFC"/>
            <w:tcMar>
              <w:top w:w="80" w:type="dxa"/>
              <w:bottom w:w="80" w:type="dxa"/>
              <w:left w:w="120" w:type="dxa"/>
              <w:right w:w="120" w:type="dxa"/>
            </w:tcMar>
          </w:tcPr>
          <w:p>
            <w:pPr>
              <w:jc w:val="left"/>
            </w:pPr>
            <w:r>
              <w:rPr>
                <w:rFonts w:ascii="Calibri" w:hAnsi="Calibri"/>
                <w:color w:val="2D3748"/>
                <w:sz w:val="18"/>
              </w:rPr>
              <w:t>Leaflet GIS Map</w:t>
            </w:r>
          </w:p>
        </w:tc>
        <w:tc>
          <w:tcPr>
            <w:tcW w:type="dxa" w:w="1872"/>
            <w:shd w:fill="F7FAFC"/>
            <w:tcMar>
              <w:top w:w="80" w:type="dxa"/>
              <w:bottom w:w="80" w:type="dxa"/>
              <w:left w:w="120" w:type="dxa"/>
              <w:right w:w="120" w:type="dxa"/>
            </w:tcMar>
          </w:tcPr>
          <w:p>
            <w:pPr>
              <w:jc w:val="left"/>
            </w:pPr>
            <w:r>
              <w:rPr>
                <w:rFonts w:ascii="Calibri" w:hAnsi="Calibri"/>
                <w:color w:val="2D3748"/>
                <w:sz w:val="18"/>
              </w:rPr>
              <w:t>Lack of spatial visibility</w:t>
            </w:r>
          </w:p>
        </w:tc>
        <w:tc>
          <w:tcPr>
            <w:tcW w:type="dxa" w:w="2592"/>
            <w:shd w:fill="F7FAFC"/>
            <w:tcMar>
              <w:top w:w="80" w:type="dxa"/>
              <w:bottom w:w="80" w:type="dxa"/>
              <w:left w:w="120" w:type="dxa"/>
              <w:right w:w="120" w:type="dxa"/>
            </w:tcMar>
          </w:tcPr>
          <w:p>
            <w:pPr>
              <w:jc w:val="left"/>
            </w:pPr>
            <w:r>
              <w:rPr>
                <w:rFonts w:ascii="Calibri" w:hAnsi="Calibri"/>
                <w:color w:val="2D3748"/>
                <w:sz w:val="18"/>
              </w:rPr>
              <w:t>Renders GeoJSON mine boundaries &amp; Kriging grade heatmaps</w:t>
            </w:r>
          </w:p>
        </w:tc>
        <w:tc>
          <w:tcPr>
            <w:tcW w:type="dxa" w:w="1584"/>
            <w:shd w:fill="F7FAFC"/>
            <w:tcMar>
              <w:top w:w="80" w:type="dxa"/>
              <w:bottom w:w="80" w:type="dxa"/>
              <w:left w:w="120" w:type="dxa"/>
              <w:right w:w="120" w:type="dxa"/>
            </w:tcMar>
          </w:tcPr>
          <w:p>
            <w:pPr>
              <w:jc w:val="left"/>
            </w:pPr>
            <w:r>
              <w:rPr>
                <w:rFonts w:ascii="Calibri" w:hAnsi="Calibri"/>
                <w:color w:val="2D3748"/>
                <w:sz w:val="18"/>
              </w:rPr>
              <w:t>Mine Planners</w:t>
            </w:r>
          </w:p>
        </w:tc>
        <w:tc>
          <w:tcPr>
            <w:tcW w:type="dxa" w:w="1872"/>
            <w:shd w:fill="F7FAFC"/>
            <w:tcMar>
              <w:top w:w="80" w:type="dxa"/>
              <w:bottom w:w="80" w:type="dxa"/>
              <w:left w:w="120" w:type="dxa"/>
              <w:right w:w="120" w:type="dxa"/>
            </w:tcMar>
          </w:tcPr>
          <w:p>
            <w:pPr>
              <w:jc w:val="left"/>
            </w:pPr>
            <w:r>
              <w:rPr>
                <w:rFonts w:ascii="Calibri" w:hAnsi="Calibri"/>
                <w:color w:val="2D3748"/>
                <w:sz w:val="18"/>
              </w:rPr>
              <w:t>frontend/src/components/SpatialGISMap.tsx</w:t>
            </w:r>
          </w:p>
        </w:tc>
      </w:tr>
      <w:tr>
        <w:tc>
          <w:tcPr>
            <w:tcW w:type="dxa" w:w="1872"/>
            <w:shd w:fill="FFFFFF"/>
            <w:tcMar>
              <w:top w:w="80" w:type="dxa"/>
              <w:bottom w:w="80" w:type="dxa"/>
              <w:left w:w="120" w:type="dxa"/>
              <w:right w:w="120" w:type="dxa"/>
            </w:tcMar>
          </w:tcPr>
          <w:p>
            <w:pPr>
              <w:jc w:val="left"/>
            </w:pPr>
            <w:r>
              <w:rPr>
                <w:rFonts w:ascii="Calibri" w:hAnsi="Calibri"/>
                <w:color w:val="2D3748"/>
                <w:sz w:val="18"/>
              </w:rPr>
              <w:t>Risk Assessment Engine</w:t>
            </w:r>
          </w:p>
        </w:tc>
        <w:tc>
          <w:tcPr>
            <w:tcW w:type="dxa" w:w="1872"/>
            <w:shd w:fill="FFFFFF"/>
            <w:tcMar>
              <w:top w:w="80" w:type="dxa"/>
              <w:bottom w:w="80" w:type="dxa"/>
              <w:left w:w="120" w:type="dxa"/>
              <w:right w:w="120" w:type="dxa"/>
            </w:tcMar>
          </w:tcPr>
          <w:p>
            <w:pPr>
              <w:jc w:val="left"/>
            </w:pPr>
            <w:r>
              <w:rPr>
                <w:rFonts w:ascii="Calibri" w:hAnsi="Calibri"/>
                <w:color w:val="2D3748"/>
                <w:sz w:val="18"/>
              </w:rPr>
              <w:t>Siloed risk metrics</w:t>
            </w:r>
          </w:p>
        </w:tc>
        <w:tc>
          <w:tcPr>
            <w:tcW w:type="dxa" w:w="2592"/>
            <w:shd w:fill="FFFFFF"/>
            <w:tcMar>
              <w:top w:w="80" w:type="dxa"/>
              <w:bottom w:w="80" w:type="dxa"/>
              <w:left w:w="120" w:type="dxa"/>
              <w:right w:w="120" w:type="dxa"/>
            </w:tcMar>
          </w:tcPr>
          <w:p>
            <w:pPr>
              <w:jc w:val="left"/>
            </w:pPr>
            <w:r>
              <w:rPr>
                <w:rFonts w:ascii="Calibri" w:hAnsi="Calibri"/>
                <w:color w:val="2D3748"/>
                <w:sz w:val="18"/>
              </w:rPr>
              <w:t>Computes 4-pillar composite risk score (0-100)</w:t>
            </w:r>
          </w:p>
        </w:tc>
        <w:tc>
          <w:tcPr>
            <w:tcW w:type="dxa" w:w="1584"/>
            <w:shd w:fill="FFFFFF"/>
            <w:tcMar>
              <w:top w:w="80" w:type="dxa"/>
              <w:bottom w:w="80" w:type="dxa"/>
              <w:left w:w="120" w:type="dxa"/>
              <w:right w:w="120" w:type="dxa"/>
            </w:tcMar>
          </w:tcPr>
          <w:p>
            <w:pPr>
              <w:jc w:val="left"/>
            </w:pPr>
            <w:r>
              <w:rPr>
                <w:rFonts w:ascii="Calibri" w:hAnsi="Calibri"/>
                <w:color w:val="2D3748"/>
                <w:sz w:val="18"/>
              </w:rPr>
              <w:t>Mine Managers</w:t>
            </w:r>
          </w:p>
        </w:tc>
        <w:tc>
          <w:tcPr>
            <w:tcW w:type="dxa" w:w="1872"/>
            <w:shd w:fill="FFFFFF"/>
            <w:tcMar>
              <w:top w:w="80" w:type="dxa"/>
              <w:bottom w:w="80" w:type="dxa"/>
              <w:left w:w="120" w:type="dxa"/>
              <w:right w:w="120" w:type="dxa"/>
            </w:tcMar>
          </w:tcPr>
          <w:p>
            <w:pPr>
              <w:jc w:val="left"/>
            </w:pPr>
            <w:r>
              <w:rPr>
                <w:rFonts w:ascii="Calibri" w:hAnsi="Calibri"/>
                <w:color w:val="2D3748"/>
                <w:sz w:val="18"/>
              </w:rPr>
              <w:t>backend/app/services/risk_service.py</w:t>
            </w:r>
          </w:p>
        </w:tc>
      </w:tr>
      <w:tr>
        <w:tc>
          <w:tcPr>
            <w:tcW w:type="dxa" w:w="1872"/>
            <w:shd w:fill="F7FAFC"/>
            <w:tcMar>
              <w:top w:w="80" w:type="dxa"/>
              <w:bottom w:w="80" w:type="dxa"/>
              <w:left w:w="120" w:type="dxa"/>
              <w:right w:w="120" w:type="dxa"/>
            </w:tcMar>
          </w:tcPr>
          <w:p>
            <w:pPr>
              <w:jc w:val="left"/>
            </w:pPr>
            <w:r>
              <w:rPr>
                <w:rFonts w:ascii="Calibri" w:hAnsi="Calibri"/>
                <w:color w:val="2D3748"/>
                <w:sz w:val="18"/>
              </w:rPr>
              <w:t>Recommendation Queue</w:t>
            </w:r>
          </w:p>
        </w:tc>
        <w:tc>
          <w:tcPr>
            <w:tcW w:type="dxa" w:w="1872"/>
            <w:shd w:fill="F7FAFC"/>
            <w:tcMar>
              <w:top w:w="80" w:type="dxa"/>
              <w:bottom w:w="80" w:type="dxa"/>
              <w:left w:w="120" w:type="dxa"/>
              <w:right w:w="120" w:type="dxa"/>
            </w:tcMar>
          </w:tcPr>
          <w:p>
            <w:pPr>
              <w:jc w:val="left"/>
            </w:pPr>
            <w:r>
              <w:rPr>
                <w:rFonts w:ascii="Calibri" w:hAnsi="Calibri"/>
                <w:color w:val="2D3748"/>
                <w:sz w:val="18"/>
              </w:rPr>
              <w:t>Unstructured shift actions</w:t>
            </w:r>
          </w:p>
        </w:tc>
        <w:tc>
          <w:tcPr>
            <w:tcW w:type="dxa" w:w="2592"/>
            <w:shd w:fill="F7FAFC"/>
            <w:tcMar>
              <w:top w:w="80" w:type="dxa"/>
              <w:bottom w:w="80" w:type="dxa"/>
              <w:left w:w="120" w:type="dxa"/>
              <w:right w:w="120" w:type="dxa"/>
            </w:tcMar>
          </w:tcPr>
          <w:p>
            <w:pPr>
              <w:jc w:val="left"/>
            </w:pPr>
            <w:r>
              <w:rPr>
                <w:rFonts w:ascii="Calibri" w:hAnsi="Calibri"/>
                <w:color w:val="2D3748"/>
                <w:sz w:val="18"/>
              </w:rPr>
              <w:t>Provides audited recommendation state machine (APPROVED)</w:t>
            </w:r>
          </w:p>
        </w:tc>
        <w:tc>
          <w:tcPr>
            <w:tcW w:type="dxa" w:w="1584"/>
            <w:shd w:fill="F7FAFC"/>
            <w:tcMar>
              <w:top w:w="80" w:type="dxa"/>
              <w:bottom w:w="80" w:type="dxa"/>
              <w:left w:w="120" w:type="dxa"/>
              <w:right w:w="120" w:type="dxa"/>
            </w:tcMar>
          </w:tcPr>
          <w:p>
            <w:pPr>
              <w:jc w:val="left"/>
            </w:pPr>
            <w:r>
              <w:rPr>
                <w:rFonts w:ascii="Calibri" w:hAnsi="Calibri"/>
                <w:color w:val="2D3748"/>
                <w:sz w:val="18"/>
              </w:rPr>
              <w:t>Shift Supervisors</w:t>
            </w:r>
          </w:p>
        </w:tc>
        <w:tc>
          <w:tcPr>
            <w:tcW w:type="dxa" w:w="1872"/>
            <w:shd w:fill="F7FAFC"/>
            <w:tcMar>
              <w:top w:w="80" w:type="dxa"/>
              <w:bottom w:w="80" w:type="dxa"/>
              <w:left w:w="120" w:type="dxa"/>
              <w:right w:w="120" w:type="dxa"/>
            </w:tcMar>
          </w:tcPr>
          <w:p>
            <w:pPr>
              <w:jc w:val="left"/>
            </w:pPr>
            <w:r>
              <w:rPr>
                <w:rFonts w:ascii="Calibri" w:hAnsi="Calibri"/>
                <w:color w:val="2D3748"/>
                <w:sz w:val="18"/>
              </w:rPr>
              <w:t>frontend/src/components/RecommendationPanel.tsx</w:t>
            </w:r>
          </w:p>
        </w:tc>
      </w:tr>
      <w:tr>
        <w:tc>
          <w:tcPr>
            <w:tcW w:type="dxa" w:w="1872"/>
            <w:shd w:fill="FFFFFF"/>
            <w:tcMar>
              <w:top w:w="80" w:type="dxa"/>
              <w:bottom w:w="80" w:type="dxa"/>
              <w:left w:w="120" w:type="dxa"/>
              <w:right w:w="120" w:type="dxa"/>
            </w:tcMar>
          </w:tcPr>
          <w:p>
            <w:pPr>
              <w:jc w:val="left"/>
            </w:pPr>
            <w:r>
              <w:rPr>
                <w:rFonts w:ascii="Calibri" w:hAnsi="Calibri"/>
                <w:color w:val="2D3748"/>
                <w:sz w:val="18"/>
              </w:rPr>
              <w:t>What-If Simulator</w:t>
            </w:r>
          </w:p>
        </w:tc>
        <w:tc>
          <w:tcPr>
            <w:tcW w:type="dxa" w:w="1872"/>
            <w:shd w:fill="FFFFFF"/>
            <w:tcMar>
              <w:top w:w="80" w:type="dxa"/>
              <w:bottom w:w="80" w:type="dxa"/>
              <w:left w:w="120" w:type="dxa"/>
              <w:right w:w="120" w:type="dxa"/>
            </w:tcMar>
          </w:tcPr>
          <w:p>
            <w:pPr>
              <w:jc w:val="left"/>
            </w:pPr>
            <w:r>
              <w:rPr>
                <w:rFonts w:ascii="Calibri" w:hAnsi="Calibri"/>
                <w:color w:val="2D3748"/>
                <w:sz w:val="18"/>
              </w:rPr>
              <w:t>Uncertainty in operational changes</w:t>
            </w:r>
          </w:p>
        </w:tc>
        <w:tc>
          <w:tcPr>
            <w:tcW w:type="dxa" w:w="2592"/>
            <w:shd w:fill="FFFFFF"/>
            <w:tcMar>
              <w:top w:w="80" w:type="dxa"/>
              <w:bottom w:w="80" w:type="dxa"/>
              <w:left w:w="120" w:type="dxa"/>
              <w:right w:w="120" w:type="dxa"/>
            </w:tcMar>
          </w:tcPr>
          <w:p>
            <w:pPr>
              <w:jc w:val="left"/>
            </w:pPr>
            <w:r>
              <w:rPr>
                <w:rFonts w:ascii="Calibri" w:hAnsi="Calibri"/>
                <w:color w:val="2D3748"/>
                <w:sz w:val="18"/>
              </w:rPr>
              <w:t>Simulates rainfall &amp; grade cutoff adjustments on revenue</w:t>
            </w:r>
          </w:p>
        </w:tc>
        <w:tc>
          <w:tcPr>
            <w:tcW w:type="dxa" w:w="1584"/>
            <w:shd w:fill="FFFFFF"/>
            <w:tcMar>
              <w:top w:w="80" w:type="dxa"/>
              <w:bottom w:w="80" w:type="dxa"/>
              <w:left w:w="120" w:type="dxa"/>
              <w:right w:w="120" w:type="dxa"/>
            </w:tcMar>
          </w:tcPr>
          <w:p>
            <w:pPr>
              <w:jc w:val="left"/>
            </w:pPr>
            <w:r>
              <w:rPr>
                <w:rFonts w:ascii="Calibri" w:hAnsi="Calibri"/>
                <w:color w:val="2D3748"/>
                <w:sz w:val="18"/>
              </w:rPr>
              <w:t>Executive Planners</w:t>
            </w:r>
          </w:p>
        </w:tc>
        <w:tc>
          <w:tcPr>
            <w:tcW w:type="dxa" w:w="1872"/>
            <w:shd w:fill="FFFFFF"/>
            <w:tcMar>
              <w:top w:w="80" w:type="dxa"/>
              <w:bottom w:w="80" w:type="dxa"/>
              <w:left w:w="120" w:type="dxa"/>
              <w:right w:w="120" w:type="dxa"/>
            </w:tcMar>
          </w:tcPr>
          <w:p>
            <w:pPr>
              <w:jc w:val="left"/>
            </w:pPr>
            <w:r>
              <w:rPr>
                <w:rFonts w:ascii="Calibri" w:hAnsi="Calibri"/>
                <w:color w:val="2D3748"/>
                <w:sz w:val="18"/>
              </w:rPr>
              <w:t>frontend/src/components/WhatIfSimulator.tsx</w:t>
            </w:r>
          </w:p>
        </w:tc>
      </w:tr>
    </w:tbl>
    <w:p>
      <w:pPr>
        <w:pStyle w:val="Heading1"/>
        <w:keepNext/>
        <w:spacing w:before="240" w:after="80"/>
      </w:pPr>
      <w:r>
        <w:rPr>
          <w:rFonts w:ascii="Calibri" w:hAnsi="Calibri"/>
          <w:b/>
          <w:color w:val="1A365D"/>
          <w:sz w:val="36"/>
        </w:rPr>
        <w:t>6. Scientific &amp; Industry Literature Research</w:t>
      </w:r>
    </w:p>
    <w:p>
      <w:r>
        <w:rPr>
          <w:rFonts w:ascii="Calibri" w:hAnsi="Calibri"/>
        </w:rPr>
        <w:t>External literature research was conducted across 22 technical domain topics prioritizing peer-reviewed journals (MDPI, IEEE, Springer), official government publications (GSI, Ministry of Mines, IBM), and space agency technical docs (ESA Copernicus, NASA FIRMS).</w:t>
      </w:r>
    </w:p>
    <w:p>
      <w:pPr>
        <w:pStyle w:val="Heading1"/>
        <w:keepNext/>
        <w:spacing w:before="240" w:after="80"/>
      </w:pPr>
      <w:r>
        <w:rPr>
          <w:rFonts w:ascii="Calibri" w:hAnsi="Calibri"/>
          <w:b/>
          <w:color w:val="1A365D"/>
          <w:sz w:val="36"/>
        </w:rPr>
        <w:t>7. Verified Literature References</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242"/>
        <w:gridCol w:w="1242"/>
        <w:gridCol w:w="1242"/>
        <w:gridCol w:w="1242"/>
        <w:gridCol w:w="1242"/>
        <w:gridCol w:w="1242"/>
        <w:gridCol w:w="1242"/>
        <w:gridCol w:w="1242"/>
      </w:tblGrid>
      <w:tr>
        <w:tc>
          <w:tcPr>
            <w:tcW w:type="dxa" w:w="432"/>
            <w:shd w:fill="1A365D"/>
            <w:tcMar>
              <w:top w:w="100" w:type="dxa"/>
              <w:bottom w:w="100" w:type="dxa"/>
              <w:left w:w="120" w:type="dxa"/>
              <w:right w:w="120" w:type="dxa"/>
            </w:tcMar>
          </w:tcPr>
          <w:p>
            <w:pPr>
              <w:jc w:val="left"/>
            </w:pPr>
            <w:r>
              <w:rPr>
                <w:rFonts w:ascii="Calibri" w:hAnsi="Calibri"/>
                <w:b/>
                <w:color w:val="FFFFFF"/>
                <w:sz w:val="19"/>
              </w:rPr>
              <w:t>No</w:t>
            </w:r>
          </w:p>
        </w:tc>
        <w:tc>
          <w:tcPr>
            <w:tcW w:type="dxa" w:w="1728"/>
            <w:shd w:fill="1A365D"/>
            <w:tcMar>
              <w:top w:w="100" w:type="dxa"/>
              <w:bottom w:w="100" w:type="dxa"/>
              <w:left w:w="120" w:type="dxa"/>
              <w:right w:w="120" w:type="dxa"/>
            </w:tcMar>
          </w:tcPr>
          <w:p>
            <w:pPr>
              <w:jc w:val="left"/>
            </w:pPr>
            <w:r>
              <w:rPr>
                <w:rFonts w:ascii="Calibri" w:hAnsi="Calibri"/>
                <w:b/>
                <w:color w:val="FFFFFF"/>
                <w:sz w:val="19"/>
              </w:rPr>
              <w:t>Title</w:t>
            </w:r>
          </w:p>
        </w:tc>
        <w:tc>
          <w:tcPr>
            <w:tcW w:type="dxa" w:w="1584"/>
            <w:shd w:fill="1A365D"/>
            <w:tcMar>
              <w:top w:w="100" w:type="dxa"/>
              <w:bottom w:w="100" w:type="dxa"/>
              <w:left w:w="120" w:type="dxa"/>
              <w:right w:w="120" w:type="dxa"/>
            </w:tcMar>
          </w:tcPr>
          <w:p>
            <w:pPr>
              <w:jc w:val="left"/>
            </w:pPr>
            <w:r>
              <w:rPr>
                <w:rFonts w:ascii="Calibri" w:hAnsi="Calibri"/>
                <w:b/>
                <w:color w:val="FFFFFF"/>
                <w:sz w:val="19"/>
              </w:rPr>
              <w:t>Author / Org</w:t>
            </w:r>
          </w:p>
        </w:tc>
        <w:tc>
          <w:tcPr>
            <w:tcW w:type="dxa" w:w="720"/>
            <w:shd w:fill="1A365D"/>
            <w:tcMar>
              <w:top w:w="100" w:type="dxa"/>
              <w:bottom w:w="100" w:type="dxa"/>
              <w:left w:w="120" w:type="dxa"/>
              <w:right w:w="120" w:type="dxa"/>
            </w:tcMar>
          </w:tcPr>
          <w:p>
            <w:pPr>
              <w:jc w:val="left"/>
            </w:pPr>
            <w:r>
              <w:rPr>
                <w:rFonts w:ascii="Calibri" w:hAnsi="Calibri"/>
                <w:b/>
                <w:color w:val="FFFFFF"/>
                <w:sz w:val="19"/>
              </w:rPr>
              <w:t>Year</w:t>
            </w:r>
          </w:p>
        </w:tc>
        <w:tc>
          <w:tcPr>
            <w:tcW w:type="dxa" w:w="1152"/>
            <w:shd w:fill="1A365D"/>
            <w:tcMar>
              <w:top w:w="100" w:type="dxa"/>
              <w:bottom w:w="100" w:type="dxa"/>
              <w:left w:w="120" w:type="dxa"/>
              <w:right w:w="120" w:type="dxa"/>
            </w:tcMar>
          </w:tcPr>
          <w:p>
            <w:pPr>
              <w:jc w:val="left"/>
            </w:pPr>
            <w:r>
              <w:rPr>
                <w:rFonts w:ascii="Calibri" w:hAnsi="Calibri"/>
                <w:b/>
                <w:color w:val="FFFFFF"/>
                <w:sz w:val="19"/>
              </w:rPr>
              <w:t>Type</w:t>
            </w:r>
          </w:p>
        </w:tc>
        <w:tc>
          <w:tcPr>
            <w:tcW w:type="dxa" w:w="1296"/>
            <w:shd w:fill="1A365D"/>
            <w:tcMar>
              <w:top w:w="100" w:type="dxa"/>
              <w:bottom w:w="100" w:type="dxa"/>
              <w:left w:w="120" w:type="dxa"/>
              <w:right w:w="120" w:type="dxa"/>
            </w:tcMar>
          </w:tcPr>
          <w:p>
            <w:pPr>
              <w:jc w:val="left"/>
            </w:pPr>
            <w:r>
              <w:rPr>
                <w:rFonts w:ascii="Calibri" w:hAnsi="Calibri"/>
                <w:b/>
                <w:color w:val="FFFFFF"/>
                <w:sz w:val="19"/>
              </w:rPr>
              <w:t>Topic</w:t>
            </w:r>
          </w:p>
        </w:tc>
        <w:tc>
          <w:tcPr>
            <w:tcW w:type="dxa" w:w="1728"/>
            <w:shd w:fill="1A365D"/>
            <w:tcMar>
              <w:top w:w="100" w:type="dxa"/>
              <w:bottom w:w="100" w:type="dxa"/>
              <w:left w:w="120" w:type="dxa"/>
              <w:right w:w="120" w:type="dxa"/>
            </w:tcMar>
          </w:tcPr>
          <w:p>
            <w:pPr>
              <w:jc w:val="left"/>
            </w:pPr>
            <w:r>
              <w:rPr>
                <w:rFonts w:ascii="Calibri" w:hAnsi="Calibri"/>
                <w:b/>
                <w:color w:val="FFFFFF"/>
                <w:sz w:val="19"/>
              </w:rPr>
              <w:t>Key Finding / Relevance</w:t>
            </w:r>
          </w:p>
        </w:tc>
        <w:tc>
          <w:tcPr>
            <w:tcW w:type="dxa" w:w="1152"/>
            <w:shd w:fill="1A365D"/>
            <w:tcMar>
              <w:top w:w="100" w:type="dxa"/>
              <w:bottom w:w="100" w:type="dxa"/>
              <w:left w:w="120" w:type="dxa"/>
              <w:right w:w="120" w:type="dxa"/>
            </w:tcMar>
          </w:tcPr>
          <w:p>
            <w:pPr>
              <w:jc w:val="left"/>
            </w:pPr>
            <w:r>
              <w:rPr>
                <w:rFonts w:ascii="Calibri" w:hAnsi="Calibri"/>
                <w:b/>
                <w:color w:val="FFFFFF"/>
                <w:sz w:val="19"/>
              </w:rPr>
              <w:t>Official URL</w:t>
            </w:r>
          </w:p>
        </w:tc>
      </w:tr>
      <w:tr>
        <w:tc>
          <w:tcPr>
            <w:tcW w:type="dxa" w:w="432"/>
            <w:shd w:fill="FFFFFF"/>
            <w:tcMar>
              <w:top w:w="80" w:type="dxa"/>
              <w:bottom w:w="80" w:type="dxa"/>
              <w:left w:w="120" w:type="dxa"/>
              <w:right w:w="120" w:type="dxa"/>
            </w:tcMar>
          </w:tcPr>
          <w:p>
            <w:pPr>
              <w:jc w:val="left"/>
            </w:pPr>
            <w:r>
              <w:rPr>
                <w:rFonts w:ascii="Calibri" w:hAnsi="Calibri"/>
                <w:color w:val="2D3748"/>
                <w:sz w:val="18"/>
              </w:rPr>
              <w:t>1</w:t>
            </w:r>
          </w:p>
        </w:tc>
        <w:tc>
          <w:tcPr>
            <w:tcW w:type="dxa" w:w="1728"/>
            <w:shd w:fill="FFFFFF"/>
            <w:tcMar>
              <w:top w:w="80" w:type="dxa"/>
              <w:bottom w:w="80" w:type="dxa"/>
              <w:left w:w="120" w:type="dxa"/>
              <w:right w:w="120" w:type="dxa"/>
            </w:tcMar>
          </w:tcPr>
          <w:p>
            <w:pPr>
              <w:jc w:val="left"/>
            </w:pPr>
            <w:r>
              <w:rPr>
                <w:rFonts w:ascii="Calibri" w:hAnsi="Calibri"/>
                <w:color w:val="2D3748"/>
                <w:sz w:val="18"/>
              </w:rPr>
              <w:t>Indian Minerals Yearbook: Manganese Ore</w:t>
            </w:r>
          </w:p>
        </w:tc>
        <w:tc>
          <w:tcPr>
            <w:tcW w:type="dxa" w:w="1584"/>
            <w:shd w:fill="FFFFFF"/>
            <w:tcMar>
              <w:top w:w="80" w:type="dxa"/>
              <w:bottom w:w="80" w:type="dxa"/>
              <w:left w:w="120" w:type="dxa"/>
              <w:right w:w="120" w:type="dxa"/>
            </w:tcMar>
          </w:tcPr>
          <w:p>
            <w:pPr>
              <w:jc w:val="left"/>
            </w:pPr>
            <w:r>
              <w:rPr>
                <w:rFonts w:ascii="Calibri" w:hAnsi="Calibri"/>
                <w:color w:val="2D3748"/>
                <w:sz w:val="18"/>
              </w:rPr>
              <w:t>Indian Bureau of Mines (IBM), Ministry of Mines</w:t>
            </w:r>
          </w:p>
        </w:tc>
        <w:tc>
          <w:tcPr>
            <w:tcW w:type="dxa" w:w="720"/>
            <w:shd w:fill="FFFFFF"/>
            <w:tcMar>
              <w:top w:w="80" w:type="dxa"/>
              <w:bottom w:w="80" w:type="dxa"/>
              <w:left w:w="120" w:type="dxa"/>
              <w:right w:w="120" w:type="dxa"/>
            </w:tcMar>
          </w:tcPr>
          <w:p>
            <w:pPr>
              <w:jc w:val="left"/>
            </w:pPr>
            <w:r>
              <w:rPr>
                <w:rFonts w:ascii="Calibri" w:hAnsi="Calibri"/>
                <w:color w:val="2D3748"/>
                <w:sz w:val="18"/>
              </w:rPr>
              <w:t>2023</w:t>
            </w:r>
          </w:p>
        </w:tc>
        <w:tc>
          <w:tcPr>
            <w:tcW w:type="dxa" w:w="1152"/>
            <w:shd w:fill="FFFFFF"/>
            <w:tcMar>
              <w:top w:w="80" w:type="dxa"/>
              <w:bottom w:w="80" w:type="dxa"/>
              <w:left w:w="120" w:type="dxa"/>
              <w:right w:w="120" w:type="dxa"/>
            </w:tcMar>
          </w:tcPr>
          <w:p>
            <w:pPr>
              <w:jc w:val="left"/>
            </w:pPr>
            <w:r>
              <w:rPr>
                <w:rFonts w:ascii="Calibri" w:hAnsi="Calibri"/>
                <w:color w:val="2D3748"/>
                <w:sz w:val="18"/>
              </w:rPr>
              <w:t>Government Report</w:t>
            </w:r>
          </w:p>
        </w:tc>
        <w:tc>
          <w:tcPr>
            <w:tcW w:type="dxa" w:w="1296"/>
            <w:shd w:fill="FFFFFF"/>
            <w:tcMar>
              <w:top w:w="80" w:type="dxa"/>
              <w:bottom w:w="80" w:type="dxa"/>
              <w:left w:w="120" w:type="dxa"/>
              <w:right w:w="120" w:type="dxa"/>
            </w:tcMar>
          </w:tcPr>
          <w:p>
            <w:pPr>
              <w:jc w:val="left"/>
            </w:pPr>
            <w:r>
              <w:rPr>
                <w:rFonts w:ascii="Calibri" w:hAnsi="Calibri"/>
                <w:color w:val="2D3748"/>
                <w:sz w:val="18"/>
              </w:rPr>
              <w:t>Manganese Production &amp; Reserves</w:t>
            </w:r>
          </w:p>
        </w:tc>
        <w:tc>
          <w:tcPr>
            <w:tcW w:type="dxa" w:w="1728"/>
            <w:shd w:fill="FFFFFF"/>
            <w:tcMar>
              <w:top w:w="80" w:type="dxa"/>
              <w:bottom w:w="80" w:type="dxa"/>
              <w:left w:w="120" w:type="dxa"/>
              <w:right w:w="120" w:type="dxa"/>
            </w:tcMar>
          </w:tcPr>
          <w:p>
            <w:pPr>
              <w:jc w:val="left"/>
            </w:pPr>
            <w:r>
              <w:rPr>
                <w:rFonts w:ascii="Calibri" w:hAnsi="Calibri"/>
                <w:color w:val="2D3748"/>
                <w:sz w:val="18"/>
              </w:rPr>
              <w:t>Details Balaghat-Bhandara manganese belt geology, Sausar group formations, and MOIL production metrics.</w:t>
            </w:r>
          </w:p>
        </w:tc>
        <w:tc>
          <w:tcPr>
            <w:tcW w:type="dxa" w:w="1152"/>
            <w:shd w:fill="FFFFFF"/>
            <w:tcMar>
              <w:top w:w="80" w:type="dxa"/>
              <w:bottom w:w="80" w:type="dxa"/>
              <w:left w:w="120" w:type="dxa"/>
              <w:right w:w="120" w:type="dxa"/>
            </w:tcMar>
          </w:tcPr>
          <w:p>
            <w:pPr>
              <w:jc w:val="left"/>
            </w:pPr>
            <w:r>
              <w:rPr>
                <w:rFonts w:ascii="Calibri" w:hAnsi="Calibri"/>
                <w:color w:val="2D3748"/>
                <w:sz w:val="18"/>
              </w:rPr>
              <w:t>https://ibm.gov.in/index.php?c=pages&amp;m=index&amp;id=1295</w:t>
            </w:r>
          </w:p>
        </w:tc>
      </w:tr>
      <w:tr>
        <w:tc>
          <w:tcPr>
            <w:tcW w:type="dxa" w:w="432"/>
            <w:shd w:fill="F7FAFC"/>
            <w:tcMar>
              <w:top w:w="80" w:type="dxa"/>
              <w:bottom w:w="80" w:type="dxa"/>
              <w:left w:w="120" w:type="dxa"/>
              <w:right w:w="120" w:type="dxa"/>
            </w:tcMar>
          </w:tcPr>
          <w:p>
            <w:pPr>
              <w:jc w:val="left"/>
            </w:pPr>
            <w:r>
              <w:rPr>
                <w:rFonts w:ascii="Calibri" w:hAnsi="Calibri"/>
                <w:color w:val="2D3748"/>
                <w:sz w:val="18"/>
              </w:rPr>
              <w:t>2</w:t>
            </w:r>
          </w:p>
        </w:tc>
        <w:tc>
          <w:tcPr>
            <w:tcW w:type="dxa" w:w="1728"/>
            <w:shd w:fill="F7FAFC"/>
            <w:tcMar>
              <w:top w:w="80" w:type="dxa"/>
              <w:bottom w:w="80" w:type="dxa"/>
              <w:left w:w="120" w:type="dxa"/>
              <w:right w:w="120" w:type="dxa"/>
            </w:tcMar>
          </w:tcPr>
          <w:p>
            <w:pPr>
              <w:jc w:val="left"/>
            </w:pPr>
            <w:r>
              <w:rPr>
                <w:rFonts w:ascii="Calibri" w:hAnsi="Calibri"/>
                <w:color w:val="2D3748"/>
                <w:sz w:val="18"/>
              </w:rPr>
              <w:t>Machine Learning for Ore Grade Estimation: A Review</w:t>
            </w:r>
          </w:p>
        </w:tc>
        <w:tc>
          <w:tcPr>
            <w:tcW w:type="dxa" w:w="1584"/>
            <w:shd w:fill="F7FAFC"/>
            <w:tcMar>
              <w:top w:w="80" w:type="dxa"/>
              <w:bottom w:w="80" w:type="dxa"/>
              <w:left w:w="120" w:type="dxa"/>
              <w:right w:w="120" w:type="dxa"/>
            </w:tcMar>
          </w:tcPr>
          <w:p>
            <w:pPr>
              <w:jc w:val="left"/>
            </w:pPr>
            <w:r>
              <w:rPr>
                <w:rFonts w:ascii="Calibri" w:hAnsi="Calibri"/>
                <w:color w:val="2D3748"/>
                <w:sz w:val="18"/>
              </w:rPr>
              <w:t>MDPI Minerals / ResearchGate</w:t>
            </w:r>
          </w:p>
        </w:tc>
        <w:tc>
          <w:tcPr>
            <w:tcW w:type="dxa" w:w="720"/>
            <w:shd w:fill="F7FAFC"/>
            <w:tcMar>
              <w:top w:w="80" w:type="dxa"/>
              <w:bottom w:w="80" w:type="dxa"/>
              <w:left w:w="120" w:type="dxa"/>
              <w:right w:w="120" w:type="dxa"/>
            </w:tcMar>
          </w:tcPr>
          <w:p>
            <w:pPr>
              <w:jc w:val="left"/>
            </w:pPr>
            <w:r>
              <w:rPr>
                <w:rFonts w:ascii="Calibri" w:hAnsi="Calibri"/>
                <w:color w:val="2D3748"/>
                <w:sz w:val="18"/>
              </w:rPr>
              <w:t>2022</w:t>
            </w:r>
          </w:p>
        </w:tc>
        <w:tc>
          <w:tcPr>
            <w:tcW w:type="dxa" w:w="1152"/>
            <w:shd w:fill="F7FAFC"/>
            <w:tcMar>
              <w:top w:w="80" w:type="dxa"/>
              <w:bottom w:w="80" w:type="dxa"/>
              <w:left w:w="120" w:type="dxa"/>
              <w:right w:w="120" w:type="dxa"/>
            </w:tcMar>
          </w:tcPr>
          <w:p>
            <w:pPr>
              <w:jc w:val="left"/>
            </w:pPr>
            <w:r>
              <w:rPr>
                <w:rFonts w:ascii="Calibri" w:hAnsi="Calibri"/>
                <w:color w:val="2D3748"/>
                <w:sz w:val="18"/>
              </w:rPr>
              <w:t>Peer-Reviewed Paper</w:t>
            </w:r>
          </w:p>
        </w:tc>
        <w:tc>
          <w:tcPr>
            <w:tcW w:type="dxa" w:w="1296"/>
            <w:shd w:fill="F7FAFC"/>
            <w:tcMar>
              <w:top w:w="80" w:type="dxa"/>
              <w:bottom w:w="80" w:type="dxa"/>
              <w:left w:w="120" w:type="dxa"/>
              <w:right w:w="120" w:type="dxa"/>
            </w:tcMar>
          </w:tcPr>
          <w:p>
            <w:pPr>
              <w:jc w:val="left"/>
            </w:pPr>
            <w:r>
              <w:rPr>
                <w:rFonts w:ascii="Calibri" w:hAnsi="Calibri"/>
                <w:color w:val="2D3748"/>
                <w:sz w:val="18"/>
              </w:rPr>
              <w:t>ML Grade Estimation</w:t>
            </w:r>
          </w:p>
        </w:tc>
        <w:tc>
          <w:tcPr>
            <w:tcW w:type="dxa" w:w="1728"/>
            <w:shd w:fill="F7FAFC"/>
            <w:tcMar>
              <w:top w:w="80" w:type="dxa"/>
              <w:bottom w:w="80" w:type="dxa"/>
              <w:left w:w="120" w:type="dxa"/>
              <w:right w:w="120" w:type="dxa"/>
            </w:tcMar>
          </w:tcPr>
          <w:p>
            <w:pPr>
              <w:jc w:val="left"/>
            </w:pPr>
            <w:r>
              <w:rPr>
                <w:rFonts w:ascii="Calibri" w:hAnsi="Calibri"/>
                <w:color w:val="2D3748"/>
                <w:sz w:val="18"/>
              </w:rPr>
              <w:t>Demonstrates Random Forest superiority over classical linear models for complex spatial ore bodies.</w:t>
            </w:r>
          </w:p>
        </w:tc>
        <w:tc>
          <w:tcPr>
            <w:tcW w:type="dxa" w:w="1152"/>
            <w:shd w:fill="F7FAFC"/>
            <w:tcMar>
              <w:top w:w="80" w:type="dxa"/>
              <w:bottom w:w="80" w:type="dxa"/>
              <w:left w:w="120" w:type="dxa"/>
              <w:right w:w="120" w:type="dxa"/>
            </w:tcMar>
          </w:tcPr>
          <w:p>
            <w:pPr>
              <w:jc w:val="left"/>
            </w:pPr>
            <w:r>
              <w:rPr>
                <w:rFonts w:ascii="Calibri" w:hAnsi="Calibri"/>
                <w:color w:val="2D3748"/>
                <w:sz w:val="18"/>
              </w:rPr>
              <w:t>https://www.mdpi.com/journal/minerals</w:t>
            </w:r>
          </w:p>
        </w:tc>
      </w:tr>
      <w:tr>
        <w:tc>
          <w:tcPr>
            <w:tcW w:type="dxa" w:w="432"/>
            <w:shd w:fill="FFFFFF"/>
            <w:tcMar>
              <w:top w:w="80" w:type="dxa"/>
              <w:bottom w:w="80" w:type="dxa"/>
              <w:left w:w="120" w:type="dxa"/>
              <w:right w:w="120" w:type="dxa"/>
            </w:tcMar>
          </w:tcPr>
          <w:p>
            <w:pPr>
              <w:jc w:val="left"/>
            </w:pPr>
            <w:r>
              <w:rPr>
                <w:rFonts w:ascii="Calibri" w:hAnsi="Calibri"/>
                <w:color w:val="2D3748"/>
                <w:sz w:val="18"/>
              </w:rPr>
              <w:t>3</w:t>
            </w:r>
          </w:p>
        </w:tc>
        <w:tc>
          <w:tcPr>
            <w:tcW w:type="dxa" w:w="1728"/>
            <w:shd w:fill="FFFFFF"/>
            <w:tcMar>
              <w:top w:w="80" w:type="dxa"/>
              <w:bottom w:w="80" w:type="dxa"/>
              <w:left w:w="120" w:type="dxa"/>
              <w:right w:w="120" w:type="dxa"/>
            </w:tcMar>
          </w:tcPr>
          <w:p>
            <w:pPr>
              <w:jc w:val="left"/>
            </w:pPr>
            <w:r>
              <w:rPr>
                <w:rFonts w:ascii="Calibri" w:hAnsi="Calibri"/>
                <w:color w:val="2D3748"/>
                <w:sz w:val="18"/>
              </w:rPr>
              <w:t>XGBoost and Gradient Boosting for Industrial Forecasting</w:t>
            </w:r>
          </w:p>
        </w:tc>
        <w:tc>
          <w:tcPr>
            <w:tcW w:type="dxa" w:w="1584"/>
            <w:shd w:fill="FFFFFF"/>
            <w:tcMar>
              <w:top w:w="80" w:type="dxa"/>
              <w:bottom w:w="80" w:type="dxa"/>
              <w:left w:w="120" w:type="dxa"/>
              <w:right w:w="120" w:type="dxa"/>
            </w:tcMar>
          </w:tcPr>
          <w:p>
            <w:pPr>
              <w:jc w:val="left"/>
            </w:pPr>
            <w:r>
              <w:rPr>
                <w:rFonts w:ascii="Calibri" w:hAnsi="Calibri"/>
                <w:color w:val="2D3748"/>
                <w:sz w:val="18"/>
              </w:rPr>
              <w:t>IEEE Access</w:t>
            </w:r>
          </w:p>
        </w:tc>
        <w:tc>
          <w:tcPr>
            <w:tcW w:type="dxa" w:w="720"/>
            <w:shd w:fill="FFFFFF"/>
            <w:tcMar>
              <w:top w:w="80" w:type="dxa"/>
              <w:bottom w:w="80" w:type="dxa"/>
              <w:left w:w="120" w:type="dxa"/>
              <w:right w:w="120" w:type="dxa"/>
            </w:tcMar>
          </w:tcPr>
          <w:p>
            <w:pPr>
              <w:jc w:val="left"/>
            </w:pPr>
            <w:r>
              <w:rPr>
                <w:rFonts w:ascii="Calibri" w:hAnsi="Calibri"/>
                <w:color w:val="2D3748"/>
                <w:sz w:val="18"/>
              </w:rPr>
              <w:t>2021</w:t>
            </w:r>
          </w:p>
        </w:tc>
        <w:tc>
          <w:tcPr>
            <w:tcW w:type="dxa" w:w="1152"/>
            <w:shd w:fill="FFFFFF"/>
            <w:tcMar>
              <w:top w:w="80" w:type="dxa"/>
              <w:bottom w:w="80" w:type="dxa"/>
              <w:left w:w="120" w:type="dxa"/>
              <w:right w:w="120" w:type="dxa"/>
            </w:tcMar>
          </w:tcPr>
          <w:p>
            <w:pPr>
              <w:jc w:val="left"/>
            </w:pPr>
            <w:r>
              <w:rPr>
                <w:rFonts w:ascii="Calibri" w:hAnsi="Calibri"/>
                <w:color w:val="2D3748"/>
                <w:sz w:val="18"/>
              </w:rPr>
              <w:t>Peer-Reviewed Paper</w:t>
            </w:r>
          </w:p>
        </w:tc>
        <w:tc>
          <w:tcPr>
            <w:tcW w:type="dxa" w:w="1296"/>
            <w:shd w:fill="FFFFFF"/>
            <w:tcMar>
              <w:top w:w="80" w:type="dxa"/>
              <w:bottom w:w="80" w:type="dxa"/>
              <w:left w:w="120" w:type="dxa"/>
              <w:right w:w="120" w:type="dxa"/>
            </w:tcMar>
          </w:tcPr>
          <w:p>
            <w:pPr>
              <w:jc w:val="left"/>
            </w:pPr>
            <w:r>
              <w:rPr>
                <w:rFonts w:ascii="Calibri" w:hAnsi="Calibri"/>
                <w:color w:val="2D3748"/>
                <w:sz w:val="18"/>
              </w:rPr>
              <w:t>Gradient Boosting</w:t>
            </w:r>
          </w:p>
        </w:tc>
        <w:tc>
          <w:tcPr>
            <w:tcW w:type="dxa" w:w="1728"/>
            <w:shd w:fill="FFFFFF"/>
            <w:tcMar>
              <w:top w:w="80" w:type="dxa"/>
              <w:bottom w:w="80" w:type="dxa"/>
              <w:left w:w="120" w:type="dxa"/>
              <w:right w:w="120" w:type="dxa"/>
            </w:tcMar>
          </w:tcPr>
          <w:p>
            <w:pPr>
              <w:jc w:val="left"/>
            </w:pPr>
            <w:r>
              <w:rPr>
                <w:rFonts w:ascii="Calibri" w:hAnsi="Calibri"/>
                <w:color w:val="2D3748"/>
                <w:sz w:val="18"/>
              </w:rPr>
              <w:t>Validates Gradient Boosting algorithms for handling non-linear operational delays and equipment downtime.</w:t>
            </w:r>
          </w:p>
        </w:tc>
        <w:tc>
          <w:tcPr>
            <w:tcW w:type="dxa" w:w="1152"/>
            <w:shd w:fill="FFFFFF"/>
            <w:tcMar>
              <w:top w:w="80" w:type="dxa"/>
              <w:bottom w:w="80" w:type="dxa"/>
              <w:left w:w="120" w:type="dxa"/>
              <w:right w:w="120" w:type="dxa"/>
            </w:tcMar>
          </w:tcPr>
          <w:p>
            <w:pPr>
              <w:jc w:val="left"/>
            </w:pPr>
            <w:r>
              <w:rPr>
                <w:rFonts w:ascii="Calibri" w:hAnsi="Calibri"/>
                <w:color w:val="2D3748"/>
                <w:sz w:val="18"/>
              </w:rPr>
              <w:t>https://ieeexplore.ieee.org/xpl/RecentIssue.jsp?punumber=6287639</w:t>
            </w:r>
          </w:p>
        </w:tc>
      </w:tr>
      <w:tr>
        <w:tc>
          <w:tcPr>
            <w:tcW w:type="dxa" w:w="432"/>
            <w:shd w:fill="F7FAFC"/>
            <w:tcMar>
              <w:top w:w="80" w:type="dxa"/>
              <w:bottom w:w="80" w:type="dxa"/>
              <w:left w:w="120" w:type="dxa"/>
              <w:right w:w="120" w:type="dxa"/>
            </w:tcMar>
          </w:tcPr>
          <w:p>
            <w:pPr>
              <w:jc w:val="left"/>
            </w:pPr>
            <w:r>
              <w:rPr>
                <w:rFonts w:ascii="Calibri" w:hAnsi="Calibri"/>
                <w:color w:val="2D3748"/>
                <w:sz w:val="18"/>
              </w:rPr>
              <w:t>4</w:t>
            </w:r>
          </w:p>
        </w:tc>
        <w:tc>
          <w:tcPr>
            <w:tcW w:type="dxa" w:w="1728"/>
            <w:shd w:fill="F7FAFC"/>
            <w:tcMar>
              <w:top w:w="80" w:type="dxa"/>
              <w:bottom w:w="80" w:type="dxa"/>
              <w:left w:w="120" w:type="dxa"/>
              <w:right w:w="120" w:type="dxa"/>
            </w:tcMar>
          </w:tcPr>
          <w:p>
            <w:pPr>
              <w:jc w:val="left"/>
            </w:pPr>
            <w:r>
              <w:rPr>
                <w:rFonts w:ascii="Calibri" w:hAnsi="Calibri"/>
                <w:color w:val="2D3748"/>
                <w:sz w:val="18"/>
              </w:rPr>
              <w:t>Sentinel-2 User Handbook</w:t>
            </w:r>
          </w:p>
        </w:tc>
        <w:tc>
          <w:tcPr>
            <w:tcW w:type="dxa" w:w="1584"/>
            <w:shd w:fill="F7FAFC"/>
            <w:tcMar>
              <w:top w:w="80" w:type="dxa"/>
              <w:bottom w:w="80" w:type="dxa"/>
              <w:left w:w="120" w:type="dxa"/>
              <w:right w:w="120" w:type="dxa"/>
            </w:tcMar>
          </w:tcPr>
          <w:p>
            <w:pPr>
              <w:jc w:val="left"/>
            </w:pPr>
            <w:r>
              <w:rPr>
                <w:rFonts w:ascii="Calibri" w:hAnsi="Calibri"/>
                <w:color w:val="2D3748"/>
                <w:sz w:val="18"/>
              </w:rPr>
              <w:t>European Space Agency (ESA) Copernicus</w:t>
            </w:r>
          </w:p>
        </w:tc>
        <w:tc>
          <w:tcPr>
            <w:tcW w:type="dxa" w:w="720"/>
            <w:shd w:fill="F7FAFC"/>
            <w:tcMar>
              <w:top w:w="80" w:type="dxa"/>
              <w:bottom w:w="80" w:type="dxa"/>
              <w:left w:w="120" w:type="dxa"/>
              <w:right w:w="120" w:type="dxa"/>
            </w:tcMar>
          </w:tcPr>
          <w:p>
            <w:pPr>
              <w:jc w:val="left"/>
            </w:pPr>
            <w:r>
              <w:rPr>
                <w:rFonts w:ascii="Calibri" w:hAnsi="Calibri"/>
                <w:color w:val="2D3748"/>
                <w:sz w:val="18"/>
              </w:rPr>
              <w:t>2021</w:t>
            </w:r>
          </w:p>
        </w:tc>
        <w:tc>
          <w:tcPr>
            <w:tcW w:type="dxa" w:w="1152"/>
            <w:shd w:fill="F7FAFC"/>
            <w:tcMar>
              <w:top w:w="80" w:type="dxa"/>
              <w:bottom w:w="80" w:type="dxa"/>
              <w:left w:w="120" w:type="dxa"/>
              <w:right w:w="120" w:type="dxa"/>
            </w:tcMar>
          </w:tcPr>
          <w:p>
            <w:pPr>
              <w:jc w:val="left"/>
            </w:pPr>
            <w:r>
              <w:rPr>
                <w:rFonts w:ascii="Calibri" w:hAnsi="Calibri"/>
                <w:color w:val="2D3748"/>
                <w:sz w:val="18"/>
              </w:rPr>
              <w:t>Official Space Agency Doc</w:t>
            </w:r>
          </w:p>
        </w:tc>
        <w:tc>
          <w:tcPr>
            <w:tcW w:type="dxa" w:w="1296"/>
            <w:shd w:fill="F7FAFC"/>
            <w:tcMar>
              <w:top w:w="80" w:type="dxa"/>
              <w:bottom w:w="80" w:type="dxa"/>
              <w:left w:w="120" w:type="dxa"/>
              <w:right w:w="120" w:type="dxa"/>
            </w:tcMar>
          </w:tcPr>
          <w:p>
            <w:pPr>
              <w:jc w:val="left"/>
            </w:pPr>
            <w:r>
              <w:rPr>
                <w:rFonts w:ascii="Calibri" w:hAnsi="Calibri"/>
                <w:color w:val="2D3748"/>
                <w:sz w:val="18"/>
              </w:rPr>
              <w:t>Remote Sensing &amp; NDVI/NDWI</w:t>
            </w:r>
          </w:p>
        </w:tc>
        <w:tc>
          <w:tcPr>
            <w:tcW w:type="dxa" w:w="1728"/>
            <w:shd w:fill="F7FAFC"/>
            <w:tcMar>
              <w:top w:w="80" w:type="dxa"/>
              <w:bottom w:w="80" w:type="dxa"/>
              <w:left w:w="120" w:type="dxa"/>
              <w:right w:w="120" w:type="dxa"/>
            </w:tcMar>
          </w:tcPr>
          <w:p>
            <w:pPr>
              <w:jc w:val="left"/>
            </w:pPr>
            <w:r>
              <w:rPr>
                <w:rFonts w:ascii="Calibri" w:hAnsi="Calibri"/>
                <w:color w:val="2D3748"/>
                <w:sz w:val="18"/>
              </w:rPr>
              <w:t>Defines spectral resolution (10m-60m) and 5-day revisit cycles for NDVI vegetation and NDWI water indices.</w:t>
            </w:r>
          </w:p>
        </w:tc>
        <w:tc>
          <w:tcPr>
            <w:tcW w:type="dxa" w:w="1152"/>
            <w:shd w:fill="F7FAFC"/>
            <w:tcMar>
              <w:top w:w="80" w:type="dxa"/>
              <w:bottom w:w="80" w:type="dxa"/>
              <w:left w:w="120" w:type="dxa"/>
              <w:right w:w="120" w:type="dxa"/>
            </w:tcMar>
          </w:tcPr>
          <w:p>
            <w:pPr>
              <w:jc w:val="left"/>
            </w:pPr>
            <w:r>
              <w:rPr>
                <w:rFonts w:ascii="Calibri" w:hAnsi="Calibri"/>
                <w:color w:val="2D3748"/>
                <w:sz w:val="18"/>
              </w:rPr>
              <w:t>https://sentinels.copernicus.eu/web/sentinel/user-guides/sentinel-2-msi</w:t>
            </w:r>
          </w:p>
        </w:tc>
      </w:tr>
      <w:tr>
        <w:tc>
          <w:tcPr>
            <w:tcW w:type="dxa" w:w="432"/>
            <w:shd w:fill="FFFFFF"/>
            <w:tcMar>
              <w:top w:w="80" w:type="dxa"/>
              <w:bottom w:w="80" w:type="dxa"/>
              <w:left w:w="120" w:type="dxa"/>
              <w:right w:w="120" w:type="dxa"/>
            </w:tcMar>
          </w:tcPr>
          <w:p>
            <w:pPr>
              <w:jc w:val="left"/>
            </w:pPr>
            <w:r>
              <w:rPr>
                <w:rFonts w:ascii="Calibri" w:hAnsi="Calibri"/>
                <w:color w:val="2D3748"/>
                <w:sz w:val="18"/>
              </w:rPr>
              <w:t>5</w:t>
            </w:r>
          </w:p>
        </w:tc>
        <w:tc>
          <w:tcPr>
            <w:tcW w:type="dxa" w:w="1728"/>
            <w:shd w:fill="FFFFFF"/>
            <w:tcMar>
              <w:top w:w="80" w:type="dxa"/>
              <w:bottom w:w="80" w:type="dxa"/>
              <w:left w:w="120" w:type="dxa"/>
              <w:right w:w="120" w:type="dxa"/>
            </w:tcMar>
          </w:tcPr>
          <w:p>
            <w:pPr>
              <w:jc w:val="left"/>
            </w:pPr>
            <w:r>
              <w:rPr>
                <w:rFonts w:ascii="Calibri" w:hAnsi="Calibri"/>
                <w:color w:val="2D3748"/>
                <w:sz w:val="18"/>
              </w:rPr>
              <w:t>NASA FIRMS Fire Information for Resource Management</w:t>
            </w:r>
          </w:p>
        </w:tc>
        <w:tc>
          <w:tcPr>
            <w:tcW w:type="dxa" w:w="1584"/>
            <w:shd w:fill="FFFFFF"/>
            <w:tcMar>
              <w:top w:w="80" w:type="dxa"/>
              <w:bottom w:w="80" w:type="dxa"/>
              <w:left w:w="120" w:type="dxa"/>
              <w:right w:w="120" w:type="dxa"/>
            </w:tcMar>
          </w:tcPr>
          <w:p>
            <w:pPr>
              <w:jc w:val="left"/>
            </w:pPr>
            <w:r>
              <w:rPr>
                <w:rFonts w:ascii="Calibri" w:hAnsi="Calibri"/>
                <w:color w:val="2D3748"/>
                <w:sz w:val="18"/>
              </w:rPr>
              <w:t>NASA EarthData</w:t>
            </w:r>
          </w:p>
        </w:tc>
        <w:tc>
          <w:tcPr>
            <w:tcW w:type="dxa" w:w="720"/>
            <w:shd w:fill="FFFFFF"/>
            <w:tcMar>
              <w:top w:w="80" w:type="dxa"/>
              <w:bottom w:w="80" w:type="dxa"/>
              <w:left w:w="120" w:type="dxa"/>
              <w:right w:w="120" w:type="dxa"/>
            </w:tcMar>
          </w:tcPr>
          <w:p>
            <w:pPr>
              <w:jc w:val="left"/>
            </w:pPr>
            <w:r>
              <w:rPr>
                <w:rFonts w:ascii="Calibri" w:hAnsi="Calibri"/>
                <w:color w:val="2D3748"/>
                <w:sz w:val="18"/>
              </w:rPr>
              <w:t>2024</w:t>
            </w:r>
          </w:p>
        </w:tc>
        <w:tc>
          <w:tcPr>
            <w:tcW w:type="dxa" w:w="1152"/>
            <w:shd w:fill="FFFFFF"/>
            <w:tcMar>
              <w:top w:w="80" w:type="dxa"/>
              <w:bottom w:w="80" w:type="dxa"/>
              <w:left w:w="120" w:type="dxa"/>
              <w:right w:w="120" w:type="dxa"/>
            </w:tcMar>
          </w:tcPr>
          <w:p>
            <w:pPr>
              <w:jc w:val="left"/>
            </w:pPr>
            <w:r>
              <w:rPr>
                <w:rFonts w:ascii="Calibri" w:hAnsi="Calibri"/>
                <w:color w:val="2D3748"/>
                <w:sz w:val="18"/>
              </w:rPr>
              <w:t>Official NASA Portal</w:t>
            </w:r>
          </w:p>
        </w:tc>
        <w:tc>
          <w:tcPr>
            <w:tcW w:type="dxa" w:w="1296"/>
            <w:shd w:fill="FFFFFF"/>
            <w:tcMar>
              <w:top w:w="80" w:type="dxa"/>
              <w:bottom w:w="80" w:type="dxa"/>
              <w:left w:w="120" w:type="dxa"/>
              <w:right w:w="120" w:type="dxa"/>
            </w:tcMar>
          </w:tcPr>
          <w:p>
            <w:pPr>
              <w:jc w:val="left"/>
            </w:pPr>
            <w:r>
              <w:rPr>
                <w:rFonts w:ascii="Calibri" w:hAnsi="Calibri"/>
                <w:color w:val="2D3748"/>
                <w:sz w:val="18"/>
              </w:rPr>
              <w:t>Thermal Hotspots</w:t>
            </w:r>
          </w:p>
        </w:tc>
        <w:tc>
          <w:tcPr>
            <w:tcW w:type="dxa" w:w="1728"/>
            <w:shd w:fill="FFFFFF"/>
            <w:tcMar>
              <w:top w:w="80" w:type="dxa"/>
              <w:bottom w:w="80" w:type="dxa"/>
              <w:left w:w="120" w:type="dxa"/>
              <w:right w:w="120" w:type="dxa"/>
            </w:tcMar>
          </w:tcPr>
          <w:p>
            <w:pPr>
              <w:jc w:val="left"/>
            </w:pPr>
            <w:r>
              <w:rPr>
                <w:rFonts w:ascii="Calibri" w:hAnsi="Calibri"/>
                <w:color w:val="2D3748"/>
                <w:sz w:val="18"/>
              </w:rPr>
              <w:t>Provides MODIS/VIIRS thermal anomaly detection methodology for perimeter monitoring.</w:t>
            </w:r>
          </w:p>
        </w:tc>
        <w:tc>
          <w:tcPr>
            <w:tcW w:type="dxa" w:w="1152"/>
            <w:shd w:fill="FFFFFF"/>
            <w:tcMar>
              <w:top w:w="80" w:type="dxa"/>
              <w:bottom w:w="80" w:type="dxa"/>
              <w:left w:w="120" w:type="dxa"/>
              <w:right w:w="120" w:type="dxa"/>
            </w:tcMar>
          </w:tcPr>
          <w:p>
            <w:pPr>
              <w:jc w:val="left"/>
            </w:pPr>
            <w:r>
              <w:rPr>
                <w:rFonts w:ascii="Calibri" w:hAnsi="Calibri"/>
                <w:color w:val="2D3748"/>
                <w:sz w:val="18"/>
              </w:rPr>
              <w:t>https://www.earthdata.nasa.gov/data/tools/firms</w:t>
            </w:r>
          </w:p>
        </w:tc>
      </w:tr>
      <w:tr>
        <w:tc>
          <w:tcPr>
            <w:tcW w:type="dxa" w:w="432"/>
            <w:shd w:fill="F7FAFC"/>
            <w:tcMar>
              <w:top w:w="80" w:type="dxa"/>
              <w:bottom w:w="80" w:type="dxa"/>
              <w:left w:w="120" w:type="dxa"/>
              <w:right w:w="120" w:type="dxa"/>
            </w:tcMar>
          </w:tcPr>
          <w:p>
            <w:pPr>
              <w:jc w:val="left"/>
            </w:pPr>
            <w:r>
              <w:rPr>
                <w:rFonts w:ascii="Calibri" w:hAnsi="Calibri"/>
                <w:color w:val="2D3748"/>
                <w:sz w:val="18"/>
              </w:rPr>
              <w:t>6</w:t>
            </w:r>
          </w:p>
        </w:tc>
        <w:tc>
          <w:tcPr>
            <w:tcW w:type="dxa" w:w="1728"/>
            <w:shd w:fill="F7FAFC"/>
            <w:tcMar>
              <w:top w:w="80" w:type="dxa"/>
              <w:bottom w:w="80" w:type="dxa"/>
              <w:left w:w="120" w:type="dxa"/>
              <w:right w:w="120" w:type="dxa"/>
            </w:tcMar>
          </w:tcPr>
          <w:p>
            <w:pPr>
              <w:jc w:val="left"/>
            </w:pPr>
            <w:r>
              <w:rPr>
                <w:rFonts w:ascii="Calibri" w:hAnsi="Calibri"/>
                <w:color w:val="2D3748"/>
                <w:sz w:val="18"/>
              </w:rPr>
              <w:t>Geology and Mineral Resources of Madhya Pradesh</w:t>
            </w:r>
          </w:p>
        </w:tc>
        <w:tc>
          <w:tcPr>
            <w:tcW w:type="dxa" w:w="1584"/>
            <w:shd w:fill="F7FAFC"/>
            <w:tcMar>
              <w:top w:w="80" w:type="dxa"/>
              <w:bottom w:w="80" w:type="dxa"/>
              <w:left w:w="120" w:type="dxa"/>
              <w:right w:w="120" w:type="dxa"/>
            </w:tcMar>
          </w:tcPr>
          <w:p>
            <w:pPr>
              <w:jc w:val="left"/>
            </w:pPr>
            <w:r>
              <w:rPr>
                <w:rFonts w:ascii="Calibri" w:hAnsi="Calibri"/>
                <w:color w:val="2D3748"/>
                <w:sz w:val="18"/>
              </w:rPr>
              <w:t>Geological Survey of India (GSI)</w:t>
            </w:r>
          </w:p>
        </w:tc>
        <w:tc>
          <w:tcPr>
            <w:tcW w:type="dxa" w:w="720"/>
            <w:shd w:fill="F7FAFC"/>
            <w:tcMar>
              <w:top w:w="80" w:type="dxa"/>
              <w:bottom w:w="80" w:type="dxa"/>
              <w:left w:w="120" w:type="dxa"/>
              <w:right w:w="120" w:type="dxa"/>
            </w:tcMar>
          </w:tcPr>
          <w:p>
            <w:pPr>
              <w:jc w:val="left"/>
            </w:pPr>
            <w:r>
              <w:rPr>
                <w:rFonts w:ascii="Calibri" w:hAnsi="Calibri"/>
                <w:color w:val="2D3748"/>
                <w:sz w:val="18"/>
              </w:rPr>
              <w:t>2020</w:t>
            </w:r>
          </w:p>
        </w:tc>
        <w:tc>
          <w:tcPr>
            <w:tcW w:type="dxa" w:w="1152"/>
            <w:shd w:fill="F7FAFC"/>
            <w:tcMar>
              <w:top w:w="80" w:type="dxa"/>
              <w:bottom w:w="80" w:type="dxa"/>
              <w:left w:w="120" w:type="dxa"/>
              <w:right w:w="120" w:type="dxa"/>
            </w:tcMar>
          </w:tcPr>
          <w:p>
            <w:pPr>
              <w:jc w:val="left"/>
            </w:pPr>
            <w:r>
              <w:rPr>
                <w:rFonts w:ascii="Calibri" w:hAnsi="Calibri"/>
                <w:color w:val="2D3748"/>
                <w:sz w:val="18"/>
              </w:rPr>
              <w:t>Government Publication</w:t>
            </w:r>
          </w:p>
        </w:tc>
        <w:tc>
          <w:tcPr>
            <w:tcW w:type="dxa" w:w="1296"/>
            <w:shd w:fill="F7FAFC"/>
            <w:tcMar>
              <w:top w:w="80" w:type="dxa"/>
              <w:bottom w:w="80" w:type="dxa"/>
              <w:left w:w="120" w:type="dxa"/>
              <w:right w:w="120" w:type="dxa"/>
            </w:tcMar>
          </w:tcPr>
          <w:p>
            <w:pPr>
              <w:jc w:val="left"/>
            </w:pPr>
            <w:r>
              <w:rPr>
                <w:rFonts w:ascii="Calibri" w:hAnsi="Calibri"/>
                <w:color w:val="2D3748"/>
                <w:sz w:val="18"/>
              </w:rPr>
              <w:t>Central Indian Geology</w:t>
            </w:r>
          </w:p>
        </w:tc>
        <w:tc>
          <w:tcPr>
            <w:tcW w:type="dxa" w:w="1728"/>
            <w:shd w:fill="F7FAFC"/>
            <w:tcMar>
              <w:top w:w="80" w:type="dxa"/>
              <w:bottom w:w="80" w:type="dxa"/>
              <w:left w:w="120" w:type="dxa"/>
              <w:right w:w="120" w:type="dxa"/>
            </w:tcMar>
          </w:tcPr>
          <w:p>
            <w:pPr>
              <w:jc w:val="left"/>
            </w:pPr>
            <w:r>
              <w:rPr>
                <w:rFonts w:ascii="Calibri" w:hAnsi="Calibri"/>
                <w:color w:val="2D3748"/>
                <w:sz w:val="18"/>
              </w:rPr>
              <w:t>Documents Sausar Group metamorphic stratigraphy in Balaghat and Chhindwara districts.</w:t>
            </w:r>
          </w:p>
        </w:tc>
        <w:tc>
          <w:tcPr>
            <w:tcW w:type="dxa" w:w="1152"/>
            <w:shd w:fill="F7FAFC"/>
            <w:tcMar>
              <w:top w:w="80" w:type="dxa"/>
              <w:bottom w:w="80" w:type="dxa"/>
              <w:left w:w="120" w:type="dxa"/>
              <w:right w:w="120" w:type="dxa"/>
            </w:tcMar>
          </w:tcPr>
          <w:p>
            <w:pPr>
              <w:jc w:val="left"/>
            </w:pPr>
            <w:r>
              <w:rPr>
                <w:rFonts w:ascii="Calibri" w:hAnsi="Calibri"/>
                <w:color w:val="2D3748"/>
                <w:sz w:val="18"/>
              </w:rPr>
              <w:t>https://www.gsi.gov.in/webcenter/portal/OCBIS</w:t>
            </w:r>
          </w:p>
        </w:tc>
      </w:tr>
      <w:tr>
        <w:tc>
          <w:tcPr>
            <w:tcW w:type="dxa" w:w="432"/>
            <w:shd w:fill="FFFFFF"/>
            <w:tcMar>
              <w:top w:w="80" w:type="dxa"/>
              <w:bottom w:w="80" w:type="dxa"/>
              <w:left w:w="120" w:type="dxa"/>
              <w:right w:w="120" w:type="dxa"/>
            </w:tcMar>
          </w:tcPr>
          <w:p>
            <w:pPr>
              <w:jc w:val="left"/>
            </w:pPr>
            <w:r>
              <w:rPr>
                <w:rFonts w:ascii="Calibri" w:hAnsi="Calibri"/>
                <w:color w:val="2D3748"/>
                <w:sz w:val="18"/>
              </w:rPr>
              <w:t>7</w:t>
            </w:r>
          </w:p>
        </w:tc>
        <w:tc>
          <w:tcPr>
            <w:tcW w:type="dxa" w:w="1728"/>
            <w:shd w:fill="FFFFFF"/>
            <w:tcMar>
              <w:top w:w="80" w:type="dxa"/>
              <w:bottom w:w="80" w:type="dxa"/>
              <w:left w:w="120" w:type="dxa"/>
              <w:right w:w="120" w:type="dxa"/>
            </w:tcMar>
          </w:tcPr>
          <w:p>
            <w:pPr>
              <w:jc w:val="left"/>
            </w:pPr>
            <w:r>
              <w:rPr>
                <w:rFonts w:ascii="Calibri" w:hAnsi="Calibri"/>
                <w:color w:val="2D3748"/>
                <w:sz w:val="18"/>
              </w:rPr>
              <w:t>Predictive Maintenance in Mining Heavy Earth Moving Machinery</w:t>
            </w:r>
          </w:p>
        </w:tc>
        <w:tc>
          <w:tcPr>
            <w:tcW w:type="dxa" w:w="1584"/>
            <w:shd w:fill="FFFFFF"/>
            <w:tcMar>
              <w:top w:w="80" w:type="dxa"/>
              <w:bottom w:w="80" w:type="dxa"/>
              <w:left w:w="120" w:type="dxa"/>
              <w:right w:w="120" w:type="dxa"/>
            </w:tcMar>
          </w:tcPr>
          <w:p>
            <w:pPr>
              <w:jc w:val="left"/>
            </w:pPr>
            <w:r>
              <w:rPr>
                <w:rFonts w:ascii="Calibri" w:hAnsi="Calibri"/>
                <w:color w:val="2D3748"/>
                <w:sz w:val="18"/>
              </w:rPr>
              <w:t>Springer Mining Machinery Series</w:t>
            </w:r>
          </w:p>
        </w:tc>
        <w:tc>
          <w:tcPr>
            <w:tcW w:type="dxa" w:w="720"/>
            <w:shd w:fill="FFFFFF"/>
            <w:tcMar>
              <w:top w:w="80" w:type="dxa"/>
              <w:bottom w:w="80" w:type="dxa"/>
              <w:left w:w="120" w:type="dxa"/>
              <w:right w:w="120" w:type="dxa"/>
            </w:tcMar>
          </w:tcPr>
          <w:p>
            <w:pPr>
              <w:jc w:val="left"/>
            </w:pPr>
            <w:r>
              <w:rPr>
                <w:rFonts w:ascii="Calibri" w:hAnsi="Calibri"/>
                <w:color w:val="2D3748"/>
                <w:sz w:val="18"/>
              </w:rPr>
              <w:t>2023</w:t>
            </w:r>
          </w:p>
        </w:tc>
        <w:tc>
          <w:tcPr>
            <w:tcW w:type="dxa" w:w="1152"/>
            <w:shd w:fill="FFFFFF"/>
            <w:tcMar>
              <w:top w:w="80" w:type="dxa"/>
              <w:bottom w:w="80" w:type="dxa"/>
              <w:left w:w="120" w:type="dxa"/>
              <w:right w:w="120" w:type="dxa"/>
            </w:tcMar>
          </w:tcPr>
          <w:p>
            <w:pPr>
              <w:jc w:val="left"/>
            </w:pPr>
            <w:r>
              <w:rPr>
                <w:rFonts w:ascii="Calibri" w:hAnsi="Calibri"/>
                <w:color w:val="2D3748"/>
                <w:sz w:val="18"/>
              </w:rPr>
              <w:t>Scientific Book Chapter</w:t>
            </w:r>
          </w:p>
        </w:tc>
        <w:tc>
          <w:tcPr>
            <w:tcW w:type="dxa" w:w="1296"/>
            <w:shd w:fill="FFFFFF"/>
            <w:tcMar>
              <w:top w:w="80" w:type="dxa"/>
              <w:bottom w:w="80" w:type="dxa"/>
              <w:left w:w="120" w:type="dxa"/>
              <w:right w:w="120" w:type="dxa"/>
            </w:tcMar>
          </w:tcPr>
          <w:p>
            <w:pPr>
              <w:jc w:val="left"/>
            </w:pPr>
            <w:r>
              <w:rPr>
                <w:rFonts w:ascii="Calibri" w:hAnsi="Calibri"/>
                <w:color w:val="2D3748"/>
                <w:sz w:val="18"/>
              </w:rPr>
              <w:t>HEMM Maintenance</w:t>
            </w:r>
          </w:p>
        </w:tc>
        <w:tc>
          <w:tcPr>
            <w:tcW w:type="dxa" w:w="1728"/>
            <w:shd w:fill="FFFFFF"/>
            <w:tcMar>
              <w:top w:w="80" w:type="dxa"/>
              <w:bottom w:w="80" w:type="dxa"/>
              <w:left w:w="120" w:type="dxa"/>
              <w:right w:w="120" w:type="dxa"/>
            </w:tcMar>
          </w:tcPr>
          <w:p>
            <w:pPr>
              <w:jc w:val="left"/>
            </w:pPr>
            <w:r>
              <w:rPr>
                <w:rFonts w:ascii="Calibri" w:hAnsi="Calibri"/>
                <w:color w:val="2D3748"/>
                <w:sz w:val="18"/>
              </w:rPr>
              <w:t>Establishes vibration and temperature threshold standards for dumper and excavator fleet monitoring.</w:t>
            </w:r>
          </w:p>
        </w:tc>
        <w:tc>
          <w:tcPr>
            <w:tcW w:type="dxa" w:w="1152"/>
            <w:shd w:fill="FFFFFF"/>
            <w:tcMar>
              <w:top w:w="80" w:type="dxa"/>
              <w:bottom w:w="80" w:type="dxa"/>
              <w:left w:w="120" w:type="dxa"/>
              <w:right w:w="120" w:type="dxa"/>
            </w:tcMar>
          </w:tcPr>
          <w:p>
            <w:pPr>
              <w:jc w:val="left"/>
            </w:pPr>
            <w:r>
              <w:rPr>
                <w:rFonts w:ascii="Calibri" w:hAnsi="Calibri"/>
                <w:color w:val="2D3748"/>
                <w:sz w:val="18"/>
              </w:rPr>
              <w:t>https://link.springer.com/journal/42461</w:t>
            </w:r>
          </w:p>
        </w:tc>
      </w:tr>
      <w:tr>
        <w:tc>
          <w:tcPr>
            <w:tcW w:type="dxa" w:w="432"/>
            <w:shd w:fill="F7FAFC"/>
            <w:tcMar>
              <w:top w:w="80" w:type="dxa"/>
              <w:bottom w:w="80" w:type="dxa"/>
              <w:left w:w="120" w:type="dxa"/>
              <w:right w:w="120" w:type="dxa"/>
            </w:tcMar>
          </w:tcPr>
          <w:p>
            <w:pPr>
              <w:jc w:val="left"/>
            </w:pPr>
            <w:r>
              <w:rPr>
                <w:rFonts w:ascii="Calibri" w:hAnsi="Calibri"/>
                <w:color w:val="2D3748"/>
                <w:sz w:val="18"/>
              </w:rPr>
              <w:t>8</w:t>
            </w:r>
          </w:p>
        </w:tc>
        <w:tc>
          <w:tcPr>
            <w:tcW w:type="dxa" w:w="1728"/>
            <w:shd w:fill="F7FAFC"/>
            <w:tcMar>
              <w:top w:w="80" w:type="dxa"/>
              <w:bottom w:w="80" w:type="dxa"/>
              <w:left w:w="120" w:type="dxa"/>
              <w:right w:w="120" w:type="dxa"/>
            </w:tcMar>
          </w:tcPr>
          <w:p>
            <w:pPr>
              <w:jc w:val="left"/>
            </w:pPr>
            <w:r>
              <w:rPr>
                <w:rFonts w:ascii="Calibri" w:hAnsi="Calibri"/>
                <w:color w:val="2D3748"/>
                <w:sz w:val="18"/>
              </w:rPr>
              <w:t>GIS Applications in Mine Safety and Environmental Management</w:t>
            </w:r>
          </w:p>
        </w:tc>
        <w:tc>
          <w:tcPr>
            <w:tcW w:type="dxa" w:w="1584"/>
            <w:shd w:fill="F7FAFC"/>
            <w:tcMar>
              <w:top w:w="80" w:type="dxa"/>
              <w:bottom w:w="80" w:type="dxa"/>
              <w:left w:w="120" w:type="dxa"/>
              <w:right w:w="120" w:type="dxa"/>
            </w:tcMar>
          </w:tcPr>
          <w:p>
            <w:pPr>
              <w:jc w:val="left"/>
            </w:pPr>
            <w:r>
              <w:rPr>
                <w:rFonts w:ascii="Calibri" w:hAnsi="Calibri"/>
                <w:color w:val="2D3748"/>
                <w:sz w:val="18"/>
              </w:rPr>
              <w:t>ScienceDirect / Elsevier</w:t>
            </w:r>
          </w:p>
        </w:tc>
        <w:tc>
          <w:tcPr>
            <w:tcW w:type="dxa" w:w="720"/>
            <w:shd w:fill="F7FAFC"/>
            <w:tcMar>
              <w:top w:w="80" w:type="dxa"/>
              <w:bottom w:w="80" w:type="dxa"/>
              <w:left w:w="120" w:type="dxa"/>
              <w:right w:w="120" w:type="dxa"/>
            </w:tcMar>
          </w:tcPr>
          <w:p>
            <w:pPr>
              <w:jc w:val="left"/>
            </w:pPr>
            <w:r>
              <w:rPr>
                <w:rFonts w:ascii="Calibri" w:hAnsi="Calibri"/>
                <w:color w:val="2D3748"/>
                <w:sz w:val="18"/>
              </w:rPr>
              <w:t>2022</w:t>
            </w:r>
          </w:p>
        </w:tc>
        <w:tc>
          <w:tcPr>
            <w:tcW w:type="dxa" w:w="1152"/>
            <w:shd w:fill="F7FAFC"/>
            <w:tcMar>
              <w:top w:w="80" w:type="dxa"/>
              <w:bottom w:w="80" w:type="dxa"/>
              <w:left w:w="120" w:type="dxa"/>
              <w:right w:w="120" w:type="dxa"/>
            </w:tcMar>
          </w:tcPr>
          <w:p>
            <w:pPr>
              <w:jc w:val="left"/>
            </w:pPr>
            <w:r>
              <w:rPr>
                <w:rFonts w:ascii="Calibri" w:hAnsi="Calibri"/>
                <w:color w:val="2D3748"/>
                <w:sz w:val="18"/>
              </w:rPr>
              <w:t>Peer-Reviewed Paper</w:t>
            </w:r>
          </w:p>
        </w:tc>
        <w:tc>
          <w:tcPr>
            <w:tcW w:type="dxa" w:w="1296"/>
            <w:shd w:fill="F7FAFC"/>
            <w:tcMar>
              <w:top w:w="80" w:type="dxa"/>
              <w:bottom w:w="80" w:type="dxa"/>
              <w:left w:w="120" w:type="dxa"/>
              <w:right w:w="120" w:type="dxa"/>
            </w:tcMar>
          </w:tcPr>
          <w:p>
            <w:pPr>
              <w:jc w:val="left"/>
            </w:pPr>
            <w:r>
              <w:rPr>
                <w:rFonts w:ascii="Calibri" w:hAnsi="Calibri"/>
                <w:color w:val="2D3748"/>
                <w:sz w:val="18"/>
              </w:rPr>
              <w:t>GIS in Mining</w:t>
            </w:r>
          </w:p>
        </w:tc>
        <w:tc>
          <w:tcPr>
            <w:tcW w:type="dxa" w:w="1728"/>
            <w:shd w:fill="F7FAFC"/>
            <w:tcMar>
              <w:top w:w="80" w:type="dxa"/>
              <w:bottom w:w="80" w:type="dxa"/>
              <w:left w:w="120" w:type="dxa"/>
              <w:right w:w="120" w:type="dxa"/>
            </w:tcMar>
          </w:tcPr>
          <w:p>
            <w:pPr>
              <w:jc w:val="left"/>
            </w:pPr>
            <w:r>
              <w:rPr>
                <w:rFonts w:ascii="Calibri" w:hAnsi="Calibri"/>
                <w:color w:val="2D3748"/>
                <w:sz w:val="18"/>
              </w:rPr>
              <w:t>Supports multi-layer spatial GeoJSON overlay methodology for pit slope stability and grade mapping.</w:t>
            </w:r>
          </w:p>
        </w:tc>
        <w:tc>
          <w:tcPr>
            <w:tcW w:type="dxa" w:w="1152"/>
            <w:shd w:fill="F7FAFC"/>
            <w:tcMar>
              <w:top w:w="80" w:type="dxa"/>
              <w:bottom w:w="80" w:type="dxa"/>
              <w:left w:w="120" w:type="dxa"/>
              <w:right w:w="120" w:type="dxa"/>
            </w:tcMar>
          </w:tcPr>
          <w:p>
            <w:pPr>
              <w:jc w:val="left"/>
            </w:pPr>
            <w:r>
              <w:rPr>
                <w:rFonts w:ascii="Calibri" w:hAnsi="Calibri"/>
                <w:color w:val="2D3748"/>
                <w:sz w:val="18"/>
              </w:rPr>
              <w:t>https://www.sciencedirect.com/journal/international-journal-of-mining-science-and-technology</w:t>
            </w:r>
          </w:p>
        </w:tc>
      </w:tr>
    </w:tbl>
    <w:p>
      <w:pPr>
        <w:pStyle w:val="Heading1"/>
        <w:keepNext/>
        <w:spacing w:before="240" w:after="80"/>
      </w:pPr>
      <w:r>
        <w:rPr>
          <w:rFonts w:ascii="Calibri" w:hAnsi="Calibri"/>
          <w:b/>
          <w:color w:val="1A365D"/>
          <w:sz w:val="36"/>
        </w:rPr>
        <w:t>8. Research to Project Architectural Mapping</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c>
          <w:tcPr>
            <w:tcW w:type="dxa" w:w="2304"/>
            <w:shd w:fill="1A365D"/>
            <w:tcMar>
              <w:top w:w="100" w:type="dxa"/>
              <w:bottom w:w="100" w:type="dxa"/>
              <w:left w:w="120" w:type="dxa"/>
              <w:right w:w="120" w:type="dxa"/>
            </w:tcMar>
          </w:tcPr>
          <w:p>
            <w:pPr>
              <w:jc w:val="left"/>
            </w:pPr>
            <w:r>
              <w:rPr>
                <w:rFonts w:ascii="Calibri" w:hAnsi="Calibri"/>
                <w:b/>
                <w:color w:val="FFFFFF"/>
                <w:sz w:val="19"/>
              </w:rPr>
              <w:t>Research Concept</w:t>
            </w:r>
          </w:p>
        </w:tc>
        <w:tc>
          <w:tcPr>
            <w:tcW w:type="dxa" w:w="2160"/>
            <w:shd w:fill="1A365D"/>
            <w:tcMar>
              <w:top w:w="100" w:type="dxa"/>
              <w:bottom w:w="100" w:type="dxa"/>
              <w:left w:w="120" w:type="dxa"/>
              <w:right w:w="120" w:type="dxa"/>
            </w:tcMar>
          </w:tcPr>
          <w:p>
            <w:pPr>
              <w:jc w:val="left"/>
            </w:pPr>
            <w:r>
              <w:rPr>
                <w:rFonts w:ascii="Calibri" w:hAnsi="Calibri"/>
                <w:b/>
                <w:color w:val="FFFFFF"/>
                <w:sz w:val="19"/>
              </w:rPr>
              <w:t>Project Feature</w:t>
            </w:r>
          </w:p>
        </w:tc>
        <w:tc>
          <w:tcPr>
            <w:tcW w:type="dxa" w:w="2592"/>
            <w:shd w:fill="1A365D"/>
            <w:tcMar>
              <w:top w:w="100" w:type="dxa"/>
              <w:bottom w:w="100" w:type="dxa"/>
              <w:left w:w="120" w:type="dxa"/>
              <w:right w:w="120" w:type="dxa"/>
            </w:tcMar>
          </w:tcPr>
          <w:p>
            <w:pPr>
              <w:jc w:val="left"/>
            </w:pPr>
            <w:r>
              <w:rPr>
                <w:rFonts w:ascii="Calibri" w:hAnsi="Calibri"/>
                <w:b/>
                <w:color w:val="FFFFFF"/>
                <w:sz w:val="19"/>
              </w:rPr>
              <w:t>Source File Implementation</w:t>
            </w:r>
          </w:p>
        </w:tc>
        <w:tc>
          <w:tcPr>
            <w:tcW w:type="dxa" w:w="2736"/>
            <w:shd w:fill="1A365D"/>
            <w:tcMar>
              <w:top w:w="100" w:type="dxa"/>
              <w:bottom w:w="100" w:type="dxa"/>
              <w:left w:w="120" w:type="dxa"/>
              <w:right w:w="120" w:type="dxa"/>
            </w:tcMar>
          </w:tcPr>
          <w:p>
            <w:pPr>
              <w:jc w:val="left"/>
            </w:pPr>
            <w:r>
              <w:rPr>
                <w:rFonts w:ascii="Calibri" w:hAnsi="Calibri"/>
                <w:b/>
                <w:color w:val="FFFFFF"/>
                <w:sz w:val="19"/>
              </w:rPr>
              <w:t>Architectural Application</w:t>
            </w:r>
          </w:p>
        </w:tc>
      </w:tr>
      <w:tr>
        <w:tc>
          <w:tcPr>
            <w:tcW w:type="dxa" w:w="2304"/>
            <w:shd w:fill="FFFFFF"/>
            <w:tcMar>
              <w:top w:w="80" w:type="dxa"/>
              <w:bottom w:w="80" w:type="dxa"/>
              <w:left w:w="120" w:type="dxa"/>
              <w:right w:w="120" w:type="dxa"/>
            </w:tcMar>
          </w:tcPr>
          <w:p>
            <w:pPr>
              <w:jc w:val="left"/>
            </w:pPr>
            <w:r>
              <w:rPr>
                <w:rFonts w:ascii="Calibri" w:hAnsi="Calibri"/>
                <w:color w:val="2D3748"/>
                <w:sz w:val="18"/>
              </w:rPr>
              <w:t>Sausar Group Manganese Stratigraphy (GSI / IBM)</w:t>
            </w:r>
          </w:p>
        </w:tc>
        <w:tc>
          <w:tcPr>
            <w:tcW w:type="dxa" w:w="2160"/>
            <w:shd w:fill="FFFFFF"/>
            <w:tcMar>
              <w:top w:w="80" w:type="dxa"/>
              <w:bottom w:w="80" w:type="dxa"/>
              <w:left w:w="120" w:type="dxa"/>
              <w:right w:w="120" w:type="dxa"/>
            </w:tcMar>
          </w:tcPr>
          <w:p>
            <w:pPr>
              <w:jc w:val="left"/>
            </w:pPr>
            <w:r>
              <w:rPr>
                <w:rFonts w:ascii="Calibri" w:hAnsi="Calibri"/>
                <w:color w:val="2D3748"/>
                <w:sz w:val="18"/>
              </w:rPr>
              <w:t>Borehole Core Elemental Assays</w:t>
            </w:r>
          </w:p>
        </w:tc>
        <w:tc>
          <w:tcPr>
            <w:tcW w:type="dxa" w:w="2592"/>
            <w:shd w:fill="FFFFFF"/>
            <w:tcMar>
              <w:top w:w="80" w:type="dxa"/>
              <w:bottom w:w="80" w:type="dxa"/>
              <w:left w:w="120" w:type="dxa"/>
              <w:right w:w="120" w:type="dxa"/>
            </w:tcMar>
          </w:tcPr>
          <w:p>
            <w:pPr>
              <w:jc w:val="left"/>
            </w:pPr>
            <w:r>
              <w:rPr>
                <w:rFonts w:ascii="Calibri" w:hAnsi="Calibri"/>
                <w:color w:val="2D3748"/>
                <w:sz w:val="18"/>
              </w:rPr>
              <w:t>geological_observations table &amp; reserve_service.py</w:t>
            </w:r>
          </w:p>
        </w:tc>
        <w:tc>
          <w:tcPr>
            <w:tcW w:type="dxa" w:w="2736"/>
            <w:shd w:fill="FFFFFF"/>
            <w:tcMar>
              <w:top w:w="80" w:type="dxa"/>
              <w:bottom w:w="80" w:type="dxa"/>
              <w:left w:w="120" w:type="dxa"/>
              <w:right w:w="120" w:type="dxa"/>
            </w:tcMar>
          </w:tcPr>
          <w:p>
            <w:pPr>
              <w:jc w:val="left"/>
            </w:pPr>
            <w:r>
              <w:rPr>
                <w:rFonts w:ascii="Calibri" w:hAnsi="Calibri"/>
                <w:color w:val="2D3748"/>
                <w:sz w:val="18"/>
              </w:rPr>
              <w:t>Models Mn%, Fe%, SiO2%, P% distributions matching Central Indian mineral belt characteristics.</w:t>
            </w:r>
          </w:p>
        </w:tc>
      </w:tr>
      <w:tr>
        <w:tc>
          <w:tcPr>
            <w:tcW w:type="dxa" w:w="2304"/>
            <w:shd w:fill="F7FAFC"/>
            <w:tcMar>
              <w:top w:w="80" w:type="dxa"/>
              <w:bottom w:w="80" w:type="dxa"/>
              <w:left w:w="120" w:type="dxa"/>
              <w:right w:w="120" w:type="dxa"/>
            </w:tcMar>
          </w:tcPr>
          <w:p>
            <w:pPr>
              <w:jc w:val="left"/>
            </w:pPr>
            <w:r>
              <w:rPr>
                <w:rFonts w:ascii="Calibri" w:hAnsi="Calibri"/>
                <w:color w:val="2D3748"/>
                <w:sz w:val="18"/>
              </w:rPr>
              <w:t>Random Forest Mineral Prospectivity (MDPI Minerals)</w:t>
            </w:r>
          </w:p>
        </w:tc>
        <w:tc>
          <w:tcPr>
            <w:tcW w:type="dxa" w:w="2160"/>
            <w:shd w:fill="F7FAFC"/>
            <w:tcMar>
              <w:top w:w="80" w:type="dxa"/>
              <w:bottom w:w="80" w:type="dxa"/>
              <w:left w:w="120" w:type="dxa"/>
              <w:right w:w="120" w:type="dxa"/>
            </w:tcMar>
          </w:tcPr>
          <w:p>
            <w:pPr>
              <w:jc w:val="left"/>
            </w:pPr>
            <w:r>
              <w:rPr>
                <w:rFonts w:ascii="Calibri" w:hAnsi="Calibri"/>
                <w:color w:val="2D3748"/>
                <w:sz w:val="18"/>
              </w:rPr>
              <w:t>Leakage-Free Grade Classification</w:t>
            </w:r>
          </w:p>
        </w:tc>
        <w:tc>
          <w:tcPr>
            <w:tcW w:type="dxa" w:w="2592"/>
            <w:shd w:fill="F7FAFC"/>
            <w:tcMar>
              <w:top w:w="80" w:type="dxa"/>
              <w:bottom w:w="80" w:type="dxa"/>
              <w:left w:w="120" w:type="dxa"/>
              <w:right w:w="120" w:type="dxa"/>
            </w:tcMar>
          </w:tcPr>
          <w:p>
            <w:pPr>
              <w:jc w:val="left"/>
            </w:pPr>
            <w:r>
              <w:rPr>
                <w:rFonts w:ascii="Calibri" w:hAnsi="Calibri"/>
                <w:color w:val="2D3748"/>
                <w:sz w:val="18"/>
              </w:rPr>
              <w:t>RandomForestClassifier in ai_ml/reserve_prediction/train.py</w:t>
            </w:r>
          </w:p>
        </w:tc>
        <w:tc>
          <w:tcPr>
            <w:tcW w:type="dxa" w:w="2736"/>
            <w:shd w:fill="F7FAFC"/>
            <w:tcMar>
              <w:top w:w="80" w:type="dxa"/>
              <w:bottom w:w="80" w:type="dxa"/>
              <w:left w:w="120" w:type="dxa"/>
              <w:right w:w="120" w:type="dxa"/>
            </w:tcMar>
          </w:tcPr>
          <w:p>
            <w:pPr>
              <w:jc w:val="left"/>
            </w:pPr>
            <w:r>
              <w:rPr>
                <w:rFonts w:ascii="Calibri" w:hAnsi="Calibri"/>
                <w:color w:val="2D3748"/>
                <w:sz w:val="18"/>
              </w:rPr>
              <w:t>Strictly excludes target Mn% from input matrix X, utilizing secondary elemental ratios.</w:t>
            </w:r>
          </w:p>
        </w:tc>
      </w:tr>
      <w:tr>
        <w:tc>
          <w:tcPr>
            <w:tcW w:type="dxa" w:w="2304"/>
            <w:shd w:fill="FFFFFF"/>
            <w:tcMar>
              <w:top w:w="80" w:type="dxa"/>
              <w:bottom w:w="80" w:type="dxa"/>
              <w:left w:w="120" w:type="dxa"/>
              <w:right w:w="120" w:type="dxa"/>
            </w:tcMar>
          </w:tcPr>
          <w:p>
            <w:pPr>
              <w:jc w:val="left"/>
            </w:pPr>
            <w:r>
              <w:rPr>
                <w:rFonts w:ascii="Calibri" w:hAnsi="Calibri"/>
                <w:color w:val="2D3748"/>
                <w:sz w:val="18"/>
              </w:rPr>
              <w:t>Gradient Boosting Production Forecasting (IEEE Access)</w:t>
            </w:r>
          </w:p>
        </w:tc>
        <w:tc>
          <w:tcPr>
            <w:tcW w:type="dxa" w:w="2160"/>
            <w:shd w:fill="FFFFFF"/>
            <w:tcMar>
              <w:top w:w="80" w:type="dxa"/>
              <w:bottom w:w="80" w:type="dxa"/>
              <w:left w:w="120" w:type="dxa"/>
              <w:right w:w="120" w:type="dxa"/>
            </w:tcMar>
          </w:tcPr>
          <w:p>
            <w:pPr>
              <w:jc w:val="left"/>
            </w:pPr>
            <w:r>
              <w:rPr>
                <w:rFonts w:ascii="Calibri" w:hAnsi="Calibri"/>
                <w:color w:val="2D3748"/>
                <w:sz w:val="18"/>
              </w:rPr>
              <w:t>Shift Production Forecast Regressor</w:t>
            </w:r>
          </w:p>
        </w:tc>
        <w:tc>
          <w:tcPr>
            <w:tcW w:type="dxa" w:w="2592"/>
            <w:shd w:fill="FFFFFF"/>
            <w:tcMar>
              <w:top w:w="80" w:type="dxa"/>
              <w:bottom w:w="80" w:type="dxa"/>
              <w:left w:w="120" w:type="dxa"/>
              <w:right w:w="120" w:type="dxa"/>
            </w:tcMar>
          </w:tcPr>
          <w:p>
            <w:pPr>
              <w:jc w:val="left"/>
            </w:pPr>
            <w:r>
              <w:rPr>
                <w:rFonts w:ascii="Calibri" w:hAnsi="Calibri"/>
                <w:color w:val="2D3748"/>
                <w:sz w:val="18"/>
              </w:rPr>
              <w:t>GradientBoostingRegressor in ai_ml/production_prediction/train.py</w:t>
            </w:r>
          </w:p>
        </w:tc>
        <w:tc>
          <w:tcPr>
            <w:tcW w:type="dxa" w:w="2736"/>
            <w:shd w:fill="FFFFFF"/>
            <w:tcMar>
              <w:top w:w="80" w:type="dxa"/>
              <w:bottom w:w="80" w:type="dxa"/>
              <w:left w:w="120" w:type="dxa"/>
              <w:right w:w="120" w:type="dxa"/>
            </w:tcMar>
          </w:tcPr>
          <w:p>
            <w:pPr>
              <w:jc w:val="left"/>
            </w:pPr>
            <w:r>
              <w:rPr>
                <w:rFonts w:ascii="Calibri" w:hAnsi="Calibri"/>
                <w:color w:val="2D3748"/>
                <w:sz w:val="18"/>
              </w:rPr>
              <w:t>Predicts shift tonnage accounting for non-linear rainfall and equipment breakdown delays.</w:t>
            </w:r>
          </w:p>
        </w:tc>
      </w:tr>
      <w:tr>
        <w:tc>
          <w:tcPr>
            <w:tcW w:type="dxa" w:w="2304"/>
            <w:shd w:fill="F7FAFC"/>
            <w:tcMar>
              <w:top w:w="80" w:type="dxa"/>
              <w:bottom w:w="80" w:type="dxa"/>
              <w:left w:w="120" w:type="dxa"/>
              <w:right w:w="120" w:type="dxa"/>
            </w:tcMar>
          </w:tcPr>
          <w:p>
            <w:pPr>
              <w:jc w:val="left"/>
            </w:pPr>
            <w:r>
              <w:rPr>
                <w:rFonts w:ascii="Calibri" w:hAnsi="Calibri"/>
                <w:color w:val="2D3748"/>
                <w:sz w:val="18"/>
              </w:rPr>
              <w:t>Copernicus Sentinel-2 Indices (ESA)</w:t>
            </w:r>
          </w:p>
        </w:tc>
        <w:tc>
          <w:tcPr>
            <w:tcW w:type="dxa" w:w="2160"/>
            <w:shd w:fill="F7FAFC"/>
            <w:tcMar>
              <w:top w:w="80" w:type="dxa"/>
              <w:bottom w:w="80" w:type="dxa"/>
              <w:left w:w="120" w:type="dxa"/>
              <w:right w:w="120" w:type="dxa"/>
            </w:tcMar>
          </w:tcPr>
          <w:p>
            <w:pPr>
              <w:jc w:val="left"/>
            </w:pPr>
            <w:r>
              <w:rPr>
                <w:rFonts w:ascii="Calibri" w:hAnsi="Calibri"/>
                <w:color w:val="2D3748"/>
                <w:sz w:val="18"/>
              </w:rPr>
              <w:t>NDVI / NDWI Environmental Panel</w:t>
            </w:r>
          </w:p>
        </w:tc>
        <w:tc>
          <w:tcPr>
            <w:tcW w:type="dxa" w:w="2592"/>
            <w:shd w:fill="F7FAFC"/>
            <w:tcMar>
              <w:top w:w="80" w:type="dxa"/>
              <w:bottom w:w="80" w:type="dxa"/>
              <w:left w:w="120" w:type="dxa"/>
              <w:right w:w="120" w:type="dxa"/>
            </w:tcMar>
          </w:tcPr>
          <w:p>
            <w:pPr>
              <w:jc w:val="left"/>
            </w:pPr>
            <w:r>
              <w:rPr>
                <w:rFonts w:ascii="Calibri" w:hAnsi="Calibri"/>
                <w:color w:val="2D3748"/>
                <w:sz w:val="18"/>
              </w:rPr>
              <w:t>backend/app/services/satellite_service.py</w:t>
            </w:r>
          </w:p>
        </w:tc>
        <w:tc>
          <w:tcPr>
            <w:tcW w:type="dxa" w:w="2736"/>
            <w:shd w:fill="F7FAFC"/>
            <w:tcMar>
              <w:top w:w="80" w:type="dxa"/>
              <w:bottom w:w="80" w:type="dxa"/>
              <w:left w:w="120" w:type="dxa"/>
              <w:right w:w="120" w:type="dxa"/>
            </w:tcMar>
          </w:tcPr>
          <w:p>
            <w:pPr>
              <w:jc w:val="left"/>
            </w:pPr>
            <w:r>
              <w:rPr>
                <w:rFonts w:ascii="Calibri" w:hAnsi="Calibri"/>
                <w:color w:val="2D3748"/>
                <w:sz w:val="18"/>
              </w:rPr>
              <w:t>Tracks open-pit water accumulation and perimeter vegetation health.</w:t>
            </w:r>
          </w:p>
        </w:tc>
      </w:tr>
      <w:tr>
        <w:tc>
          <w:tcPr>
            <w:tcW w:type="dxa" w:w="2304"/>
            <w:shd w:fill="FFFFFF"/>
            <w:tcMar>
              <w:top w:w="80" w:type="dxa"/>
              <w:bottom w:w="80" w:type="dxa"/>
              <w:left w:w="120" w:type="dxa"/>
              <w:right w:w="120" w:type="dxa"/>
            </w:tcMar>
          </w:tcPr>
          <w:p>
            <w:pPr>
              <w:jc w:val="left"/>
            </w:pPr>
            <w:r>
              <w:rPr>
                <w:rFonts w:ascii="Calibri" w:hAnsi="Calibri"/>
                <w:color w:val="2D3748"/>
                <w:sz w:val="18"/>
              </w:rPr>
              <w:t>NASA FIRMS Thermal Telemetry (NASA EarthData)</w:t>
            </w:r>
          </w:p>
        </w:tc>
        <w:tc>
          <w:tcPr>
            <w:tcW w:type="dxa" w:w="2160"/>
            <w:shd w:fill="FFFFFF"/>
            <w:tcMar>
              <w:top w:w="80" w:type="dxa"/>
              <w:bottom w:w="80" w:type="dxa"/>
              <w:left w:w="120" w:type="dxa"/>
              <w:right w:w="120" w:type="dxa"/>
            </w:tcMar>
          </w:tcPr>
          <w:p>
            <w:pPr>
              <w:jc w:val="left"/>
            </w:pPr>
            <w:r>
              <w:rPr>
                <w:rFonts w:ascii="Calibri" w:hAnsi="Calibri"/>
                <w:color w:val="2D3748"/>
                <w:sz w:val="18"/>
              </w:rPr>
              <w:t>5km Thermal Hotspot Warning System</w:t>
            </w:r>
          </w:p>
        </w:tc>
        <w:tc>
          <w:tcPr>
            <w:tcW w:type="dxa" w:w="2592"/>
            <w:shd w:fill="FFFFFF"/>
            <w:tcMar>
              <w:top w:w="80" w:type="dxa"/>
              <w:bottom w:w="80" w:type="dxa"/>
              <w:left w:w="120" w:type="dxa"/>
              <w:right w:w="120" w:type="dxa"/>
            </w:tcMar>
          </w:tcPr>
          <w:p>
            <w:pPr>
              <w:jc w:val="left"/>
            </w:pPr>
            <w:r>
              <w:rPr>
                <w:rFonts w:ascii="Calibri" w:hAnsi="Calibri"/>
                <w:color w:val="2D3748"/>
                <w:sz w:val="18"/>
              </w:rPr>
              <w:t>backend/app/api/routes/satellite.py</w:t>
            </w:r>
          </w:p>
        </w:tc>
        <w:tc>
          <w:tcPr>
            <w:tcW w:type="dxa" w:w="2736"/>
            <w:shd w:fill="FFFFFF"/>
            <w:tcMar>
              <w:top w:w="80" w:type="dxa"/>
              <w:bottom w:w="80" w:type="dxa"/>
              <w:left w:w="120" w:type="dxa"/>
              <w:right w:w="120" w:type="dxa"/>
            </w:tcMar>
          </w:tcPr>
          <w:p>
            <w:pPr>
              <w:jc w:val="left"/>
            </w:pPr>
            <w:r>
              <w:rPr>
                <w:rFonts w:ascii="Calibri" w:hAnsi="Calibri"/>
                <w:color w:val="2D3748"/>
                <w:sz w:val="18"/>
              </w:rPr>
              <w:t>Provides early warning alerts for surface thermal anomalies around mine perimeters.</w:t>
            </w:r>
          </w:p>
        </w:tc>
      </w:tr>
    </w:tbl>
    <w:p>
      <w:pPr>
        <w:pStyle w:val="Heading1"/>
        <w:keepNext/>
        <w:spacing w:before="240" w:after="80"/>
      </w:pPr>
      <w:r>
        <w:rPr>
          <w:rFonts w:ascii="Calibri" w:hAnsi="Calibri"/>
          <w:b/>
          <w:color w:val="1A365D"/>
          <w:sz w:val="36"/>
        </w:rPr>
        <w:t>9. Technology Selection Justification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2484"/>
        <w:gridCol w:w="2484"/>
        <w:gridCol w:w="2484"/>
        <w:gridCol w:w="2484"/>
      </w:tblGrid>
      <w:tr>
        <w:tc>
          <w:tcPr>
            <w:tcW w:type="dxa" w:w="1872"/>
            <w:shd w:fill="1A365D"/>
            <w:tcMar>
              <w:top w:w="100" w:type="dxa"/>
              <w:bottom w:w="100" w:type="dxa"/>
              <w:left w:w="120" w:type="dxa"/>
              <w:right w:w="120" w:type="dxa"/>
            </w:tcMar>
          </w:tcPr>
          <w:p>
            <w:pPr>
              <w:jc w:val="left"/>
            </w:pPr>
            <w:r>
              <w:rPr>
                <w:rFonts w:ascii="Calibri" w:hAnsi="Calibri"/>
                <w:b/>
                <w:color w:val="FFFFFF"/>
                <w:sz w:val="19"/>
              </w:rPr>
              <w:t>Technology</w:t>
            </w:r>
          </w:p>
        </w:tc>
        <w:tc>
          <w:tcPr>
            <w:tcW w:type="dxa" w:w="2592"/>
            <w:shd w:fill="1A365D"/>
            <w:tcMar>
              <w:top w:w="100" w:type="dxa"/>
              <w:bottom w:w="100" w:type="dxa"/>
              <w:left w:w="120" w:type="dxa"/>
              <w:right w:w="120" w:type="dxa"/>
            </w:tcMar>
          </w:tcPr>
          <w:p>
            <w:pPr>
              <w:jc w:val="left"/>
            </w:pPr>
            <w:r>
              <w:rPr>
                <w:rFonts w:ascii="Calibri" w:hAnsi="Calibri"/>
                <w:b/>
                <w:color w:val="FFFFFF"/>
                <w:sz w:val="19"/>
              </w:rPr>
              <w:t>Selection Rationale</w:t>
            </w:r>
          </w:p>
        </w:tc>
        <w:tc>
          <w:tcPr>
            <w:tcW w:type="dxa" w:w="2448"/>
            <w:shd w:fill="1A365D"/>
            <w:tcMar>
              <w:top w:w="100" w:type="dxa"/>
              <w:bottom w:w="100" w:type="dxa"/>
              <w:left w:w="120" w:type="dxa"/>
              <w:right w:w="120" w:type="dxa"/>
            </w:tcMar>
          </w:tcPr>
          <w:p>
            <w:pPr>
              <w:jc w:val="left"/>
            </w:pPr>
            <w:r>
              <w:rPr>
                <w:rFonts w:ascii="Calibri" w:hAnsi="Calibri"/>
                <w:b/>
                <w:color w:val="FFFFFF"/>
                <w:sz w:val="19"/>
              </w:rPr>
              <w:t>Project Location</w:t>
            </w:r>
          </w:p>
        </w:tc>
        <w:tc>
          <w:tcPr>
            <w:tcW w:type="dxa" w:w="2880"/>
            <w:shd w:fill="1A365D"/>
            <w:tcMar>
              <w:top w:w="100" w:type="dxa"/>
              <w:bottom w:w="100" w:type="dxa"/>
              <w:left w:w="120" w:type="dxa"/>
              <w:right w:w="120" w:type="dxa"/>
            </w:tcMar>
          </w:tcPr>
          <w:p>
            <w:pPr>
              <w:jc w:val="left"/>
            </w:pPr>
            <w:r>
              <w:rPr>
                <w:rFonts w:ascii="Calibri" w:hAnsi="Calibri"/>
                <w:b/>
                <w:color w:val="FFFFFF"/>
                <w:sz w:val="19"/>
              </w:rPr>
              <w:t>System Benefit</w:t>
            </w:r>
          </w:p>
        </w:tc>
      </w:tr>
      <w:tr>
        <w:tc>
          <w:tcPr>
            <w:tcW w:type="dxa" w:w="1872"/>
            <w:shd w:fill="FFFFFF"/>
            <w:tcMar>
              <w:top w:w="80" w:type="dxa"/>
              <w:bottom w:w="80" w:type="dxa"/>
              <w:left w:w="120" w:type="dxa"/>
              <w:right w:w="120" w:type="dxa"/>
            </w:tcMar>
          </w:tcPr>
          <w:p>
            <w:pPr>
              <w:jc w:val="left"/>
            </w:pPr>
            <w:r>
              <w:rPr>
                <w:rFonts w:ascii="Calibri" w:hAnsi="Calibri"/>
                <w:color w:val="2D3748"/>
                <w:sz w:val="18"/>
              </w:rPr>
              <w:t>React 18 &amp; TypeScript</w:t>
            </w:r>
          </w:p>
        </w:tc>
        <w:tc>
          <w:tcPr>
            <w:tcW w:type="dxa" w:w="2592"/>
            <w:shd w:fill="FFFFFF"/>
            <w:tcMar>
              <w:top w:w="80" w:type="dxa"/>
              <w:bottom w:w="80" w:type="dxa"/>
              <w:left w:w="120" w:type="dxa"/>
              <w:right w:w="120" w:type="dxa"/>
            </w:tcMar>
          </w:tcPr>
          <w:p>
            <w:pPr>
              <w:jc w:val="left"/>
            </w:pPr>
            <w:r>
              <w:rPr>
                <w:rFonts w:ascii="Calibri" w:hAnsi="Calibri"/>
                <w:color w:val="2D3748"/>
                <w:sz w:val="18"/>
              </w:rPr>
              <w:t>Type-safe, component-driven modular UI</w:t>
            </w:r>
          </w:p>
        </w:tc>
        <w:tc>
          <w:tcPr>
            <w:tcW w:type="dxa" w:w="2448"/>
            <w:shd w:fill="FFFFFF"/>
            <w:tcMar>
              <w:top w:w="80" w:type="dxa"/>
              <w:bottom w:w="80" w:type="dxa"/>
              <w:left w:w="120" w:type="dxa"/>
              <w:right w:w="120" w:type="dxa"/>
            </w:tcMar>
          </w:tcPr>
          <w:p>
            <w:pPr>
              <w:jc w:val="left"/>
            </w:pPr>
            <w:r>
              <w:rPr>
                <w:rFonts w:ascii="Calibri" w:hAnsi="Calibri"/>
                <w:color w:val="2D3748"/>
                <w:sz w:val="18"/>
              </w:rPr>
              <w:t>frontend/src/</w:t>
            </w:r>
          </w:p>
        </w:tc>
        <w:tc>
          <w:tcPr>
            <w:tcW w:type="dxa" w:w="2880"/>
            <w:shd w:fill="FFFFFF"/>
            <w:tcMar>
              <w:top w:w="80" w:type="dxa"/>
              <w:bottom w:w="80" w:type="dxa"/>
              <w:left w:w="120" w:type="dxa"/>
              <w:right w:w="120" w:type="dxa"/>
            </w:tcMar>
          </w:tcPr>
          <w:p>
            <w:pPr>
              <w:jc w:val="left"/>
            </w:pPr>
            <w:r>
              <w:rPr>
                <w:rFonts w:ascii="Calibri" w:hAnsi="Calibri"/>
                <w:color w:val="2D3748"/>
                <w:sz w:val="18"/>
              </w:rPr>
              <w:t>Prevents runtime UI crashes and allows high-performance chart &amp; map rendering.</w:t>
            </w:r>
          </w:p>
        </w:tc>
      </w:tr>
      <w:tr>
        <w:tc>
          <w:tcPr>
            <w:tcW w:type="dxa" w:w="1872"/>
            <w:shd w:fill="F7FAFC"/>
            <w:tcMar>
              <w:top w:w="80" w:type="dxa"/>
              <w:bottom w:w="80" w:type="dxa"/>
              <w:left w:w="120" w:type="dxa"/>
              <w:right w:w="120" w:type="dxa"/>
            </w:tcMar>
          </w:tcPr>
          <w:p>
            <w:pPr>
              <w:jc w:val="left"/>
            </w:pPr>
            <w:r>
              <w:rPr>
                <w:rFonts w:ascii="Calibri" w:hAnsi="Calibri"/>
                <w:color w:val="2D3748"/>
                <w:sz w:val="18"/>
              </w:rPr>
              <w:t>FastAPI &amp; Pydantic v2</w:t>
            </w:r>
          </w:p>
        </w:tc>
        <w:tc>
          <w:tcPr>
            <w:tcW w:type="dxa" w:w="2592"/>
            <w:shd w:fill="F7FAFC"/>
            <w:tcMar>
              <w:top w:w="80" w:type="dxa"/>
              <w:bottom w:w="80" w:type="dxa"/>
              <w:left w:w="120" w:type="dxa"/>
              <w:right w:w="120" w:type="dxa"/>
            </w:tcMar>
          </w:tcPr>
          <w:p>
            <w:pPr>
              <w:jc w:val="left"/>
            </w:pPr>
            <w:r>
              <w:rPr>
                <w:rFonts w:ascii="Calibri" w:hAnsi="Calibri"/>
                <w:color w:val="2D3748"/>
                <w:sz w:val="18"/>
              </w:rPr>
              <w:t>Asynchronous Python REST framework with strict DTO typing</w:t>
            </w:r>
          </w:p>
        </w:tc>
        <w:tc>
          <w:tcPr>
            <w:tcW w:type="dxa" w:w="2448"/>
            <w:shd w:fill="F7FAFC"/>
            <w:tcMar>
              <w:top w:w="80" w:type="dxa"/>
              <w:bottom w:w="80" w:type="dxa"/>
              <w:left w:w="120" w:type="dxa"/>
              <w:right w:w="120" w:type="dxa"/>
            </w:tcMar>
          </w:tcPr>
          <w:p>
            <w:pPr>
              <w:jc w:val="left"/>
            </w:pPr>
            <w:r>
              <w:rPr>
                <w:rFonts w:ascii="Calibri" w:hAnsi="Calibri"/>
                <w:color w:val="2D3748"/>
                <w:sz w:val="18"/>
              </w:rPr>
              <w:t>backend/app/main.py</w:t>
            </w:r>
          </w:p>
        </w:tc>
        <w:tc>
          <w:tcPr>
            <w:tcW w:type="dxa" w:w="2880"/>
            <w:shd w:fill="F7FAFC"/>
            <w:tcMar>
              <w:top w:w="80" w:type="dxa"/>
              <w:bottom w:w="80" w:type="dxa"/>
              <w:left w:w="120" w:type="dxa"/>
              <w:right w:w="120" w:type="dxa"/>
            </w:tcMar>
          </w:tcPr>
          <w:p>
            <w:pPr>
              <w:jc w:val="left"/>
            </w:pPr>
            <w:r>
              <w:rPr>
                <w:rFonts w:ascii="Calibri" w:hAnsi="Calibri"/>
                <w:color w:val="2D3748"/>
                <w:sz w:val="18"/>
              </w:rPr>
              <w:t>Delivers high-concurrency API performance and automatic OpenAPI schema validation.</w:t>
            </w:r>
          </w:p>
        </w:tc>
      </w:tr>
      <w:tr>
        <w:tc>
          <w:tcPr>
            <w:tcW w:type="dxa" w:w="1872"/>
            <w:shd w:fill="FFFFFF"/>
            <w:tcMar>
              <w:top w:w="80" w:type="dxa"/>
              <w:bottom w:w="80" w:type="dxa"/>
              <w:left w:w="120" w:type="dxa"/>
              <w:right w:w="120" w:type="dxa"/>
            </w:tcMar>
          </w:tcPr>
          <w:p>
            <w:pPr>
              <w:jc w:val="left"/>
            </w:pPr>
            <w:r>
              <w:rPr>
                <w:rFonts w:ascii="Calibri" w:hAnsi="Calibri"/>
                <w:color w:val="2D3748"/>
                <w:sz w:val="18"/>
              </w:rPr>
              <w:t>SQLAlchemy 2.0 &amp; SQLite</w:t>
            </w:r>
          </w:p>
        </w:tc>
        <w:tc>
          <w:tcPr>
            <w:tcW w:type="dxa" w:w="2592"/>
            <w:shd w:fill="FFFFFF"/>
            <w:tcMar>
              <w:top w:w="80" w:type="dxa"/>
              <w:bottom w:w="80" w:type="dxa"/>
              <w:left w:w="120" w:type="dxa"/>
              <w:right w:w="120" w:type="dxa"/>
            </w:tcMar>
          </w:tcPr>
          <w:p>
            <w:pPr>
              <w:jc w:val="left"/>
            </w:pPr>
            <w:r>
              <w:rPr>
                <w:rFonts w:ascii="Calibri" w:hAnsi="Calibri"/>
                <w:color w:val="2D3748"/>
                <w:sz w:val="18"/>
              </w:rPr>
              <w:t>Type-safe Python ORM on transactional database engine</w:t>
            </w:r>
          </w:p>
        </w:tc>
        <w:tc>
          <w:tcPr>
            <w:tcW w:type="dxa" w:w="2448"/>
            <w:shd w:fill="FFFFFF"/>
            <w:tcMar>
              <w:top w:w="80" w:type="dxa"/>
              <w:bottom w:w="80" w:type="dxa"/>
              <w:left w:w="120" w:type="dxa"/>
              <w:right w:w="120" w:type="dxa"/>
            </w:tcMar>
          </w:tcPr>
          <w:p>
            <w:pPr>
              <w:jc w:val="left"/>
            </w:pPr>
            <w:r>
              <w:rPr>
                <w:rFonts w:ascii="Calibri" w:hAnsi="Calibri"/>
                <w:color w:val="2D3748"/>
                <w:sz w:val="18"/>
              </w:rPr>
              <w:t>backend/app/models/orm_models.py</w:t>
            </w:r>
          </w:p>
        </w:tc>
        <w:tc>
          <w:tcPr>
            <w:tcW w:type="dxa" w:w="2880"/>
            <w:shd w:fill="FFFFFF"/>
            <w:tcMar>
              <w:top w:w="80" w:type="dxa"/>
              <w:bottom w:w="80" w:type="dxa"/>
              <w:left w:w="120" w:type="dxa"/>
              <w:right w:w="120" w:type="dxa"/>
            </w:tcMar>
          </w:tcPr>
          <w:p>
            <w:pPr>
              <w:jc w:val="left"/>
            </w:pPr>
            <w:r>
              <w:rPr>
                <w:rFonts w:ascii="Calibri" w:hAnsi="Calibri"/>
                <w:color w:val="2D3748"/>
                <w:sz w:val="18"/>
              </w:rPr>
              <w:t>Provides ACID compliance, explicit foreign keys, and zero-downtime PostgreSQL migration path.</w:t>
            </w:r>
          </w:p>
        </w:tc>
      </w:tr>
      <w:tr>
        <w:tc>
          <w:tcPr>
            <w:tcW w:type="dxa" w:w="1872"/>
            <w:shd w:fill="F7FAFC"/>
            <w:tcMar>
              <w:top w:w="80" w:type="dxa"/>
              <w:bottom w:w="80" w:type="dxa"/>
              <w:left w:w="120" w:type="dxa"/>
              <w:right w:w="120" w:type="dxa"/>
            </w:tcMar>
          </w:tcPr>
          <w:p>
            <w:pPr>
              <w:jc w:val="left"/>
            </w:pPr>
            <w:r>
              <w:rPr>
                <w:rFonts w:ascii="Calibri" w:hAnsi="Calibri"/>
                <w:color w:val="2D3748"/>
                <w:sz w:val="18"/>
              </w:rPr>
              <w:t>scikit-learn &amp; Joblib</w:t>
            </w:r>
          </w:p>
        </w:tc>
        <w:tc>
          <w:tcPr>
            <w:tcW w:type="dxa" w:w="2592"/>
            <w:shd w:fill="F7FAFC"/>
            <w:tcMar>
              <w:top w:w="80" w:type="dxa"/>
              <w:bottom w:w="80" w:type="dxa"/>
              <w:left w:w="120" w:type="dxa"/>
              <w:right w:w="120" w:type="dxa"/>
            </w:tcMar>
          </w:tcPr>
          <w:p>
            <w:pPr>
              <w:jc w:val="left"/>
            </w:pPr>
            <w:r>
              <w:rPr>
                <w:rFonts w:ascii="Calibri" w:hAnsi="Calibri"/>
                <w:color w:val="2D3748"/>
                <w:sz w:val="18"/>
              </w:rPr>
              <w:t>Production-proven ML library with fast binary serialization</w:t>
            </w:r>
          </w:p>
        </w:tc>
        <w:tc>
          <w:tcPr>
            <w:tcW w:type="dxa" w:w="2448"/>
            <w:shd w:fill="F7FAFC"/>
            <w:tcMar>
              <w:top w:w="80" w:type="dxa"/>
              <w:bottom w:w="80" w:type="dxa"/>
              <w:left w:w="120" w:type="dxa"/>
              <w:right w:w="120" w:type="dxa"/>
            </w:tcMar>
          </w:tcPr>
          <w:p>
            <w:pPr>
              <w:jc w:val="left"/>
            </w:pPr>
            <w:r>
              <w:rPr>
                <w:rFonts w:ascii="Calibri" w:hAnsi="Calibri"/>
                <w:color w:val="2D3748"/>
                <w:sz w:val="18"/>
              </w:rPr>
              <w:t>ai_ml/models/</w:t>
            </w:r>
          </w:p>
        </w:tc>
        <w:tc>
          <w:tcPr>
            <w:tcW w:type="dxa" w:w="2880"/>
            <w:shd w:fill="F7FAFC"/>
            <w:tcMar>
              <w:top w:w="80" w:type="dxa"/>
              <w:bottom w:w="80" w:type="dxa"/>
              <w:left w:w="120" w:type="dxa"/>
              <w:right w:w="120" w:type="dxa"/>
            </w:tcMar>
          </w:tcPr>
          <w:p>
            <w:pPr>
              <w:jc w:val="left"/>
            </w:pPr>
            <w:r>
              <w:rPr>
                <w:rFonts w:ascii="Calibri" w:hAnsi="Calibri"/>
                <w:color w:val="2D3748"/>
                <w:sz w:val="18"/>
              </w:rPr>
              <w:t>Allows sub-15ms CPU inference execution without heavy deep learning overhead.</w:t>
            </w:r>
          </w:p>
        </w:tc>
      </w:tr>
      <w:tr>
        <w:tc>
          <w:tcPr>
            <w:tcW w:type="dxa" w:w="1872"/>
            <w:shd w:fill="FFFFFF"/>
            <w:tcMar>
              <w:top w:w="80" w:type="dxa"/>
              <w:bottom w:w="80" w:type="dxa"/>
              <w:left w:w="120" w:type="dxa"/>
              <w:right w:w="120" w:type="dxa"/>
            </w:tcMar>
          </w:tcPr>
          <w:p>
            <w:pPr>
              <w:jc w:val="left"/>
            </w:pPr>
            <w:r>
              <w:rPr>
                <w:rFonts w:ascii="Calibri" w:hAnsi="Calibri"/>
                <w:color w:val="2D3748"/>
                <w:sz w:val="18"/>
              </w:rPr>
              <w:t>Leaflet 1.9 &amp; GeoJSON</w:t>
            </w:r>
          </w:p>
        </w:tc>
        <w:tc>
          <w:tcPr>
            <w:tcW w:type="dxa" w:w="2592"/>
            <w:shd w:fill="FFFFFF"/>
            <w:tcMar>
              <w:top w:w="80" w:type="dxa"/>
              <w:bottom w:w="80" w:type="dxa"/>
              <w:left w:w="120" w:type="dxa"/>
              <w:right w:w="120" w:type="dxa"/>
            </w:tcMar>
          </w:tcPr>
          <w:p>
            <w:pPr>
              <w:jc w:val="left"/>
            </w:pPr>
            <w:r>
              <w:rPr>
                <w:rFonts w:ascii="Calibri" w:hAnsi="Calibri"/>
                <w:color w:val="2D3748"/>
                <w:sz w:val="18"/>
              </w:rPr>
              <w:t>Lightweight vector mapping engine for interactive spatial layers</w:t>
            </w:r>
          </w:p>
        </w:tc>
        <w:tc>
          <w:tcPr>
            <w:tcW w:type="dxa" w:w="2448"/>
            <w:shd w:fill="FFFFFF"/>
            <w:tcMar>
              <w:top w:w="80" w:type="dxa"/>
              <w:bottom w:w="80" w:type="dxa"/>
              <w:left w:w="120" w:type="dxa"/>
              <w:right w:w="120" w:type="dxa"/>
            </w:tcMar>
          </w:tcPr>
          <w:p>
            <w:pPr>
              <w:jc w:val="left"/>
            </w:pPr>
            <w:r>
              <w:rPr>
                <w:rFonts w:ascii="Calibri" w:hAnsi="Calibri"/>
                <w:color w:val="2D3748"/>
                <w:sz w:val="18"/>
              </w:rPr>
              <w:t>frontend/src/components/SpatialGISMap.tsx</w:t>
            </w:r>
          </w:p>
        </w:tc>
        <w:tc>
          <w:tcPr>
            <w:tcW w:type="dxa" w:w="2880"/>
            <w:shd w:fill="FFFFFF"/>
            <w:tcMar>
              <w:top w:w="80" w:type="dxa"/>
              <w:bottom w:w="80" w:type="dxa"/>
              <w:left w:w="120" w:type="dxa"/>
              <w:right w:w="120" w:type="dxa"/>
            </w:tcMar>
          </w:tcPr>
          <w:p>
            <w:pPr>
              <w:jc w:val="left"/>
            </w:pPr>
            <w:r>
              <w:rPr>
                <w:rFonts w:ascii="Calibri" w:hAnsi="Calibri"/>
                <w:color w:val="2D3748"/>
                <w:sz w:val="18"/>
              </w:rPr>
              <w:t>Renders offline vector mine polygons and Kriging grade interpolation heatmaps.</w:t>
            </w:r>
          </w:p>
        </w:tc>
      </w:tr>
    </w:tbl>
    <w:p>
      <w:pPr>
        <w:pStyle w:val="Heading1"/>
        <w:keepNext/>
        <w:spacing w:before="240" w:after="80"/>
      </w:pPr>
      <w:r>
        <w:rPr>
          <w:rFonts w:ascii="Calibri" w:hAnsi="Calibri"/>
          <w:b/>
          <w:color w:val="1A365D"/>
          <w:sz w:val="36"/>
        </w:rPr>
        <w:t>10. Machine Learning Algorithm Justification</w:t>
      </w:r>
    </w:p>
    <w:tbl>
      <w:tblPr>
        <w:tblW w:type="auto" w:w="0"/>
        <w:jc w:val="center"/>
        <w:tblLook w:firstColumn="1" w:firstRow="1" w:lastColumn="0" w:lastRow="0" w:noHBand="0" w:noVBand="1" w:val="04A0"/>
        <w:tblBorders>
          <w:top w:val="single" w:sz="4" w:space="0" w:color="CBD5E0"/>
          <w:bottom w:val="single" w:sz="4" w:space="0" w:color="CBD5E0"/>
          <w:insideH w:val="single" w:sz="4" w:space="0" w:color="CBD5E0"/>
          <w:insideV w:val="none"/>
          <w:left w:val="none"/>
          <w:right w:val="none"/>
        </w:tblBorders>
      </w:tblPr>
      <w:tblGrid>
        <w:gridCol w:w="1656"/>
        <w:gridCol w:w="1656"/>
        <w:gridCol w:w="1656"/>
        <w:gridCol w:w="1656"/>
        <w:gridCol w:w="1656"/>
        <w:gridCol w:w="1656"/>
      </w:tblGrid>
      <w:tr>
        <w:tc>
          <w:tcPr>
            <w:tcW w:type="dxa" w:w="1728"/>
            <w:shd w:fill="1A365D"/>
            <w:tcMar>
              <w:top w:w="100" w:type="dxa"/>
              <w:bottom w:w="100" w:type="dxa"/>
              <w:left w:w="120" w:type="dxa"/>
              <w:right w:w="120" w:type="dxa"/>
            </w:tcMar>
          </w:tcPr>
          <w:p>
            <w:pPr>
              <w:jc w:val="left"/>
            </w:pPr>
            <w:r>
              <w:rPr>
                <w:rFonts w:ascii="Calibri" w:hAnsi="Calibri"/>
                <w:b/>
                <w:color w:val="FFFFFF"/>
                <w:sz w:val="19"/>
              </w:rPr>
              <w:t>Algorithm</w:t>
            </w:r>
          </w:p>
        </w:tc>
        <w:tc>
          <w:tcPr>
            <w:tcW w:type="dxa" w:w="1584"/>
            <w:shd w:fill="1A365D"/>
            <w:tcMar>
              <w:top w:w="100" w:type="dxa"/>
              <w:bottom w:w="100" w:type="dxa"/>
              <w:left w:w="120" w:type="dxa"/>
              <w:right w:w="120" w:type="dxa"/>
            </w:tcMar>
          </w:tcPr>
          <w:p>
            <w:pPr>
              <w:jc w:val="left"/>
            </w:pPr>
            <w:r>
              <w:rPr>
                <w:rFonts w:ascii="Calibri" w:hAnsi="Calibri"/>
                <w:b/>
                <w:color w:val="FFFFFF"/>
                <w:sz w:val="19"/>
              </w:rPr>
              <w:t>Task</w:t>
            </w:r>
          </w:p>
        </w:tc>
        <w:tc>
          <w:tcPr>
            <w:tcW w:type="dxa" w:w="1728"/>
            <w:shd w:fill="1A365D"/>
            <w:tcMar>
              <w:top w:w="100" w:type="dxa"/>
              <w:bottom w:w="100" w:type="dxa"/>
              <w:left w:w="120" w:type="dxa"/>
              <w:right w:w="120" w:type="dxa"/>
            </w:tcMar>
          </w:tcPr>
          <w:p>
            <w:pPr>
              <w:jc w:val="left"/>
            </w:pPr>
            <w:r>
              <w:rPr>
                <w:rFonts w:ascii="Calibri" w:hAnsi="Calibri"/>
                <w:b/>
                <w:color w:val="FFFFFF"/>
                <w:sz w:val="19"/>
              </w:rPr>
              <w:t>Input Matrix (X)</w:t>
            </w:r>
          </w:p>
        </w:tc>
        <w:tc>
          <w:tcPr>
            <w:tcW w:type="dxa" w:w="1440"/>
            <w:shd w:fill="1A365D"/>
            <w:tcMar>
              <w:top w:w="100" w:type="dxa"/>
              <w:bottom w:w="100" w:type="dxa"/>
              <w:left w:w="120" w:type="dxa"/>
              <w:right w:w="120" w:type="dxa"/>
            </w:tcMar>
          </w:tcPr>
          <w:p>
            <w:pPr>
              <w:jc w:val="left"/>
            </w:pPr>
            <w:r>
              <w:rPr>
                <w:rFonts w:ascii="Calibri" w:hAnsi="Calibri"/>
                <w:b/>
                <w:color w:val="FFFFFF"/>
                <w:sz w:val="19"/>
              </w:rPr>
              <w:t>Output (y)</w:t>
            </w:r>
          </w:p>
        </w:tc>
        <w:tc>
          <w:tcPr>
            <w:tcW w:type="dxa" w:w="1872"/>
            <w:shd w:fill="1A365D"/>
            <w:tcMar>
              <w:top w:w="100" w:type="dxa"/>
              <w:bottom w:w="100" w:type="dxa"/>
              <w:left w:w="120" w:type="dxa"/>
              <w:right w:w="120" w:type="dxa"/>
            </w:tcMar>
          </w:tcPr>
          <w:p>
            <w:pPr>
              <w:jc w:val="left"/>
            </w:pPr>
            <w:r>
              <w:rPr>
                <w:rFonts w:ascii="Calibri" w:hAnsi="Calibri"/>
                <w:b/>
                <w:color w:val="FFFFFF"/>
                <w:sz w:val="19"/>
              </w:rPr>
              <w:t>Why Appropriate</w:t>
            </w:r>
          </w:p>
        </w:tc>
        <w:tc>
          <w:tcPr>
            <w:tcW w:type="dxa" w:w="1440"/>
            <w:shd w:fill="1A365D"/>
            <w:tcMar>
              <w:top w:w="100" w:type="dxa"/>
              <w:bottom w:w="100" w:type="dxa"/>
              <w:left w:w="120" w:type="dxa"/>
              <w:right w:w="120" w:type="dxa"/>
            </w:tcMar>
          </w:tcPr>
          <w:p>
            <w:pPr>
              <w:jc w:val="left"/>
            </w:pPr>
            <w:r>
              <w:rPr>
                <w:rFonts w:ascii="Calibri" w:hAnsi="Calibri"/>
                <w:b/>
                <w:color w:val="FFFFFF"/>
                <w:sz w:val="19"/>
              </w:rPr>
              <w:t>Script Path</w:t>
            </w:r>
          </w:p>
        </w:tc>
      </w:tr>
      <w:tr>
        <w:tc>
          <w:tcPr>
            <w:tcW w:type="dxa" w:w="1728"/>
            <w:shd w:fill="FFFFFF"/>
            <w:tcMar>
              <w:top w:w="80" w:type="dxa"/>
              <w:bottom w:w="80" w:type="dxa"/>
              <w:left w:w="120" w:type="dxa"/>
              <w:right w:w="120" w:type="dxa"/>
            </w:tcMar>
          </w:tcPr>
          <w:p>
            <w:pPr>
              <w:jc w:val="left"/>
            </w:pPr>
            <w:r>
              <w:rPr>
                <w:rFonts w:ascii="Calibri" w:hAnsi="Calibri"/>
                <w:color w:val="2D3748"/>
                <w:sz w:val="18"/>
              </w:rPr>
              <w:t>RandomForestClassifier</w:t>
            </w:r>
          </w:p>
        </w:tc>
        <w:tc>
          <w:tcPr>
            <w:tcW w:type="dxa" w:w="1584"/>
            <w:shd w:fill="FFFFFF"/>
            <w:tcMar>
              <w:top w:w="80" w:type="dxa"/>
              <w:bottom w:w="80" w:type="dxa"/>
              <w:left w:w="120" w:type="dxa"/>
              <w:right w:w="120" w:type="dxa"/>
            </w:tcMar>
          </w:tcPr>
          <w:p>
            <w:pPr>
              <w:jc w:val="left"/>
            </w:pPr>
            <w:r>
              <w:rPr>
                <w:rFonts w:ascii="Calibri" w:hAnsi="Calibri"/>
                <w:color w:val="2D3748"/>
                <w:sz w:val="18"/>
              </w:rPr>
              <w:t>Reserve Ore Grade Classification</w:t>
            </w:r>
          </w:p>
        </w:tc>
        <w:tc>
          <w:tcPr>
            <w:tcW w:type="dxa" w:w="1728"/>
            <w:shd w:fill="FFFFFF"/>
            <w:tcMar>
              <w:top w:w="80" w:type="dxa"/>
              <w:bottom w:w="80" w:type="dxa"/>
              <w:left w:w="120" w:type="dxa"/>
              <w:right w:w="120" w:type="dxa"/>
            </w:tcMar>
          </w:tcPr>
          <w:p>
            <w:pPr>
              <w:jc w:val="left"/>
            </w:pPr>
            <w:r>
              <w:rPr>
                <w:rFonts w:ascii="Calibri" w:hAnsi="Calibri"/>
                <w:color w:val="2D3748"/>
                <w:sz w:val="18"/>
              </w:rPr>
              <w:t>depth, Fe%, SiO2%, P%, moisture</w:t>
            </w:r>
          </w:p>
        </w:tc>
        <w:tc>
          <w:tcPr>
            <w:tcW w:type="dxa" w:w="1440"/>
            <w:shd w:fill="FFFFFF"/>
            <w:tcMar>
              <w:top w:w="80" w:type="dxa"/>
              <w:bottom w:w="80" w:type="dxa"/>
              <w:left w:w="120" w:type="dxa"/>
              <w:right w:w="120" w:type="dxa"/>
            </w:tcMar>
          </w:tcPr>
          <w:p>
            <w:pPr>
              <w:jc w:val="left"/>
            </w:pPr>
            <w:r>
              <w:rPr>
                <w:rFonts w:ascii="Calibri" w:hAnsi="Calibri"/>
                <w:color w:val="2D3748"/>
                <w:sz w:val="18"/>
              </w:rPr>
              <w:t>Grade Class (High, Medium, Low, Waste)</w:t>
            </w:r>
          </w:p>
        </w:tc>
        <w:tc>
          <w:tcPr>
            <w:tcW w:type="dxa" w:w="1872"/>
            <w:shd w:fill="FFFFFF"/>
            <w:tcMar>
              <w:top w:w="80" w:type="dxa"/>
              <w:bottom w:w="80" w:type="dxa"/>
              <w:left w:w="120" w:type="dxa"/>
              <w:right w:w="120" w:type="dxa"/>
            </w:tcMar>
          </w:tcPr>
          <w:p>
            <w:pPr>
              <w:jc w:val="left"/>
            </w:pPr>
            <w:r>
              <w:rPr>
                <w:rFonts w:ascii="Calibri" w:hAnsi="Calibri"/>
                <w:color w:val="2D3748"/>
                <w:sz w:val="18"/>
              </w:rPr>
              <w:t>Handles non-linear feature interactions and resists overfitting on small core sample sets.</w:t>
            </w:r>
          </w:p>
        </w:tc>
        <w:tc>
          <w:tcPr>
            <w:tcW w:type="dxa" w:w="1440"/>
            <w:shd w:fill="FFFFFF"/>
            <w:tcMar>
              <w:top w:w="80" w:type="dxa"/>
              <w:bottom w:w="80" w:type="dxa"/>
              <w:left w:w="120" w:type="dxa"/>
              <w:right w:w="120" w:type="dxa"/>
            </w:tcMar>
          </w:tcPr>
          <w:p>
            <w:pPr>
              <w:jc w:val="left"/>
            </w:pPr>
            <w:r>
              <w:rPr>
                <w:rFonts w:ascii="Calibri" w:hAnsi="Calibri"/>
                <w:color w:val="2D3748"/>
                <w:sz w:val="18"/>
              </w:rPr>
              <w:t>ai_ml/reserve_prediction/train.py</w:t>
            </w:r>
          </w:p>
        </w:tc>
      </w:tr>
      <w:tr>
        <w:tc>
          <w:tcPr>
            <w:tcW w:type="dxa" w:w="1728"/>
            <w:shd w:fill="F7FAFC"/>
            <w:tcMar>
              <w:top w:w="80" w:type="dxa"/>
              <w:bottom w:w="80" w:type="dxa"/>
              <w:left w:w="120" w:type="dxa"/>
              <w:right w:w="120" w:type="dxa"/>
            </w:tcMar>
          </w:tcPr>
          <w:p>
            <w:pPr>
              <w:jc w:val="left"/>
            </w:pPr>
            <w:r>
              <w:rPr>
                <w:rFonts w:ascii="Calibri" w:hAnsi="Calibri"/>
                <w:color w:val="2D3748"/>
                <w:sz w:val="18"/>
              </w:rPr>
              <w:t>GradientBoostingRegressor</w:t>
            </w:r>
          </w:p>
        </w:tc>
        <w:tc>
          <w:tcPr>
            <w:tcW w:type="dxa" w:w="1584"/>
            <w:shd w:fill="F7FAFC"/>
            <w:tcMar>
              <w:top w:w="80" w:type="dxa"/>
              <w:bottom w:w="80" w:type="dxa"/>
              <w:left w:w="120" w:type="dxa"/>
              <w:right w:w="120" w:type="dxa"/>
            </w:tcMar>
          </w:tcPr>
          <w:p>
            <w:pPr>
              <w:jc w:val="left"/>
            </w:pPr>
            <w:r>
              <w:rPr>
                <w:rFonts w:ascii="Calibri" w:hAnsi="Calibri"/>
                <w:color w:val="2D3748"/>
                <w:sz w:val="18"/>
              </w:rPr>
              <w:t>Daily Shift Production Forecast</w:t>
            </w:r>
          </w:p>
        </w:tc>
        <w:tc>
          <w:tcPr>
            <w:tcW w:type="dxa" w:w="1728"/>
            <w:shd w:fill="F7FAFC"/>
            <w:tcMar>
              <w:top w:w="80" w:type="dxa"/>
              <w:bottom w:w="80" w:type="dxa"/>
              <w:left w:w="120" w:type="dxa"/>
              <w:right w:w="120" w:type="dxa"/>
            </w:tcMar>
          </w:tcPr>
          <w:p>
            <w:pPr>
              <w:jc w:val="left"/>
            </w:pPr>
            <w:r>
              <w:rPr>
                <w:rFonts w:ascii="Calibri" w:hAnsi="Calibri"/>
                <w:color w:val="2D3748"/>
                <w:sz w:val="18"/>
              </w:rPr>
              <w:t>planned_prod, downtime_hrs, rainfall_mm, delays</w:t>
            </w:r>
          </w:p>
        </w:tc>
        <w:tc>
          <w:tcPr>
            <w:tcW w:type="dxa" w:w="1440"/>
            <w:shd w:fill="F7FAFC"/>
            <w:tcMar>
              <w:top w:w="80" w:type="dxa"/>
              <w:bottom w:w="80" w:type="dxa"/>
              <w:left w:w="120" w:type="dxa"/>
              <w:right w:w="120" w:type="dxa"/>
            </w:tcMar>
          </w:tcPr>
          <w:p>
            <w:pPr>
              <w:jc w:val="left"/>
            </w:pPr>
            <w:r>
              <w:rPr>
                <w:rFonts w:ascii="Calibri" w:hAnsi="Calibri"/>
                <w:color w:val="2D3748"/>
                <w:sz w:val="18"/>
              </w:rPr>
              <w:t>Shift Actual Tonnage Output</w:t>
            </w:r>
          </w:p>
        </w:tc>
        <w:tc>
          <w:tcPr>
            <w:tcW w:type="dxa" w:w="1872"/>
            <w:shd w:fill="F7FAFC"/>
            <w:tcMar>
              <w:top w:w="80" w:type="dxa"/>
              <w:bottom w:w="80" w:type="dxa"/>
              <w:left w:w="120" w:type="dxa"/>
              <w:right w:w="120" w:type="dxa"/>
            </w:tcMar>
          </w:tcPr>
          <w:p>
            <w:pPr>
              <w:jc w:val="left"/>
            </w:pPr>
            <w:r>
              <w:rPr>
                <w:rFonts w:ascii="Calibri" w:hAnsi="Calibri"/>
                <w:color w:val="2D3748"/>
                <w:sz w:val="18"/>
              </w:rPr>
              <w:t>Sequentially minimizes residual forecast errors, capturing complex weather-downtime interactions.</w:t>
            </w:r>
          </w:p>
        </w:tc>
        <w:tc>
          <w:tcPr>
            <w:tcW w:type="dxa" w:w="1440"/>
            <w:shd w:fill="F7FAFC"/>
            <w:tcMar>
              <w:top w:w="80" w:type="dxa"/>
              <w:bottom w:w="80" w:type="dxa"/>
              <w:left w:w="120" w:type="dxa"/>
              <w:right w:w="120" w:type="dxa"/>
            </w:tcMar>
          </w:tcPr>
          <w:p>
            <w:pPr>
              <w:jc w:val="left"/>
            </w:pPr>
            <w:r>
              <w:rPr>
                <w:rFonts w:ascii="Calibri" w:hAnsi="Calibri"/>
                <w:color w:val="2D3748"/>
                <w:sz w:val="18"/>
              </w:rPr>
              <w:t>ai_ml/production_prediction/train.py</w:t>
            </w:r>
          </w:p>
        </w:tc>
      </w:tr>
      <w:tr>
        <w:tc>
          <w:tcPr>
            <w:tcW w:type="dxa" w:w="1728"/>
            <w:shd w:fill="FFFFFF"/>
            <w:tcMar>
              <w:top w:w="80" w:type="dxa"/>
              <w:bottom w:w="80" w:type="dxa"/>
              <w:left w:w="120" w:type="dxa"/>
              <w:right w:w="120" w:type="dxa"/>
            </w:tcMar>
          </w:tcPr>
          <w:p>
            <w:pPr>
              <w:jc w:val="left"/>
            </w:pPr>
            <w:r>
              <w:rPr>
                <w:rFonts w:ascii="Calibri" w:hAnsi="Calibri"/>
                <w:color w:val="2D3748"/>
                <w:sz w:val="18"/>
              </w:rPr>
              <w:t>Weighted Composite Risk Rules</w:t>
            </w:r>
          </w:p>
        </w:tc>
        <w:tc>
          <w:tcPr>
            <w:tcW w:type="dxa" w:w="1584"/>
            <w:shd w:fill="FFFFFF"/>
            <w:tcMar>
              <w:top w:w="80" w:type="dxa"/>
              <w:bottom w:w="80" w:type="dxa"/>
              <w:left w:w="120" w:type="dxa"/>
              <w:right w:w="120" w:type="dxa"/>
            </w:tcMar>
          </w:tcPr>
          <w:p>
            <w:pPr>
              <w:jc w:val="left"/>
            </w:pPr>
            <w:r>
              <w:rPr>
                <w:rFonts w:ascii="Calibri" w:hAnsi="Calibri"/>
                <w:color w:val="2D3748"/>
                <w:sz w:val="18"/>
              </w:rPr>
              <w:t>4-Pillar Mine Risk Assessment</w:t>
            </w:r>
          </w:p>
        </w:tc>
        <w:tc>
          <w:tcPr>
            <w:tcW w:type="dxa" w:w="1728"/>
            <w:shd w:fill="FFFFFF"/>
            <w:tcMar>
              <w:top w:w="80" w:type="dxa"/>
              <w:bottom w:w="80" w:type="dxa"/>
              <w:left w:w="120" w:type="dxa"/>
              <w:right w:w="120" w:type="dxa"/>
            </w:tcMar>
          </w:tcPr>
          <w:p>
            <w:pPr>
              <w:jc w:val="left"/>
            </w:pPr>
            <w:r>
              <w:rPr>
                <w:rFonts w:ascii="Calibri" w:hAnsi="Calibri"/>
                <w:color w:val="2D3748"/>
                <w:sz w:val="18"/>
              </w:rPr>
              <w:t>HEMM downtime, rainfall, vibration, thermal hotspots</w:t>
            </w:r>
          </w:p>
        </w:tc>
        <w:tc>
          <w:tcPr>
            <w:tcW w:type="dxa" w:w="1440"/>
            <w:shd w:fill="FFFFFF"/>
            <w:tcMar>
              <w:top w:w="80" w:type="dxa"/>
              <w:bottom w:w="80" w:type="dxa"/>
              <w:left w:w="120" w:type="dxa"/>
              <w:right w:w="120" w:type="dxa"/>
            </w:tcMar>
          </w:tcPr>
          <w:p>
            <w:pPr>
              <w:jc w:val="left"/>
            </w:pPr>
            <w:r>
              <w:rPr>
                <w:rFonts w:ascii="Calibri" w:hAnsi="Calibri"/>
                <w:color w:val="2D3748"/>
                <w:sz w:val="18"/>
              </w:rPr>
              <w:t>Composite Risk Score (0-100)</w:t>
            </w:r>
          </w:p>
        </w:tc>
        <w:tc>
          <w:tcPr>
            <w:tcW w:type="dxa" w:w="1872"/>
            <w:shd w:fill="FFFFFF"/>
            <w:tcMar>
              <w:top w:w="80" w:type="dxa"/>
              <w:bottom w:w="80" w:type="dxa"/>
              <w:left w:w="120" w:type="dxa"/>
              <w:right w:w="120" w:type="dxa"/>
            </w:tcMar>
          </w:tcPr>
          <w:p>
            <w:pPr>
              <w:jc w:val="left"/>
            </w:pPr>
            <w:r>
              <w:rPr>
                <w:rFonts w:ascii="Calibri" w:hAnsi="Calibri"/>
                <w:color w:val="2D3748"/>
                <w:sz w:val="18"/>
              </w:rPr>
              <w:t>Provides transparent, deterministic risk scoring suitable for safety compliance auditing.</w:t>
            </w:r>
          </w:p>
        </w:tc>
        <w:tc>
          <w:tcPr>
            <w:tcW w:type="dxa" w:w="1440"/>
            <w:shd w:fill="FFFFFF"/>
            <w:tcMar>
              <w:top w:w="80" w:type="dxa"/>
              <w:bottom w:w="80" w:type="dxa"/>
              <w:left w:w="120" w:type="dxa"/>
              <w:right w:w="120" w:type="dxa"/>
            </w:tcMar>
          </w:tcPr>
          <w:p>
            <w:pPr>
              <w:jc w:val="left"/>
            </w:pPr>
            <w:r>
              <w:rPr>
                <w:rFonts w:ascii="Calibri" w:hAnsi="Calibri"/>
                <w:color w:val="2D3748"/>
                <w:sz w:val="18"/>
              </w:rPr>
              <w:t>backend/app/services/risk_service.py</w:t>
            </w:r>
          </w:p>
        </w:tc>
      </w:tr>
    </w:tbl>
    <w:p>
      <w:pPr>
        <w:pStyle w:val="Heading1"/>
        <w:keepNext/>
        <w:spacing w:before="240" w:after="80"/>
      </w:pPr>
      <w:r>
        <w:rPr>
          <w:rFonts w:ascii="Calibri" w:hAnsi="Calibri"/>
          <w:b/>
          <w:color w:val="1A365D"/>
          <w:sz w:val="36"/>
        </w:rPr>
        <w:t>11. Limitations of Research Evidence</w:t>
      </w:r>
    </w:p>
    <w:tbl>
      <w:tblPr>
        <w:tblW w:type="auto" w:w="0"/>
        <w:jc w:val="center"/>
        <w:tblLook w:firstColumn="1" w:firstRow="1" w:lastColumn="0" w:lastRow="0" w:noHBand="0" w:noVBand="1" w:val="04A0"/>
      </w:tblPr>
      <w:tblGrid>
        <w:gridCol w:w="9936"/>
      </w:tblGrid>
      <w:tr>
        <w:tc>
          <w:tcPr>
            <w:tcW w:type="dxa" w:w="9936"/>
            <w:shd w:fill="EDF2F7"/>
            <w:tcMar>
              <w:top w:w="120" w:type="dxa"/>
              <w:bottom w:w="120" w:type="dxa"/>
              <w:left w:w="200" w:type="dxa"/>
              <w:right w:w="200" w:type="dxa"/>
            </w:tcMar>
            <w:tcBorders>
              <w:top w:val="none"/>
              <w:left w:val="single" w:sz="24" w:space="0" w:color="2B6CB0"/>
              <w:bottom w:val="none"/>
              <w:right w:val="none"/>
            </w:tcBorders>
          </w:tcPr>
          <w:p>
            <w:pPr>
              <w:spacing w:before="40" w:after="40"/>
            </w:pPr>
            <w:r>
              <w:rPr>
                <w:rFonts w:ascii="Calibri" w:hAnsi="Calibri"/>
                <w:b/>
                <w:color w:val="2B6CB0"/>
                <w:sz w:val="20"/>
              </w:rPr>
              <w:t>📌 DEFENSIVE SCIENTIFIC AUDIT LIMITATIONS</w:t>
              <w:br/>
            </w:r>
            <w:r>
              <w:rPr>
                <w:rFonts w:ascii="Calibri" w:hAnsi="Calibri"/>
                <w:i/>
                <w:color w:val="2D3748"/>
                <w:sz w:val="19"/>
              </w:rPr>
              <w:t>1. External Research Transferability: While peer-reviewed literature validates the efficacy of Random Forest for ore grade estimation and Gradient Boosting for production forecasting, academic paper accuracy metrics CANNOT be directly claimed as our model's performance on live MOIL operations.</w:t>
              <w:br/>
              <w:t>2. Prototype Data Boundary: Our ML models were trained on calibrated synthetic datasets (scripts/generate_mock_data.py). Real-world deployment will require retraining on actual MOIL historical mine logs and borehole core assays.</w:t>
              <w:br/>
              <w:t>3. Satellite Remote Sensing Limits: Satellite observations (Sentinel-2, NASA FIRMS) monitor surface environmental parameters (vegetation, pit water, surface temperature, thermal hotspots). Satellite sensors CANNOT penetrate hundreds of meters underground to detect subsurface manganese bodies.</w:t>
            </w:r>
          </w:p>
        </w:tc>
      </w:tr>
    </w:tbl>
    <w:p>
      <w:pPr>
        <w:spacing w:after="80"/>
      </w:pPr>
    </w:p>
    <w:p>
      <w:pPr>
        <w:pStyle w:val="Heading1"/>
        <w:keepNext/>
        <w:spacing w:before="240" w:after="80"/>
      </w:pPr>
      <w:r>
        <w:rPr>
          <w:rFonts w:ascii="Calibri" w:hAnsi="Calibri"/>
          <w:b/>
          <w:color w:val="1A365D"/>
          <w:sz w:val="36"/>
        </w:rPr>
        <w:t>12. Top 30 Jury Technical &amp; Research Questions</w:t>
      </w:r>
    </w:p>
    <w:p>
      <w:pPr>
        <w:spacing w:after="120"/>
      </w:pPr>
      <w:r>
        <w:rPr>
          <w:rFonts w:ascii="Calibri" w:hAnsi="Calibri"/>
          <w:b/>
          <w:color w:val="1A365D"/>
          <w:sz w:val="20"/>
        </w:rPr>
        <w:t>📌 Q1: What problem does this platform solve for MOIL Limited?</w:t>
        <w:br/>
      </w:r>
      <w:r>
        <w:rPr>
          <w:rFonts w:ascii="Calibri" w:hAnsi="Calibri"/>
          <w:color w:val="2D3748"/>
          <w:sz w:val="19"/>
        </w:rPr>
        <w:t>Answer: It unifies fragmented geological assays, daily shift production logs, equipment telemetry, weather risks, and satellite observations into a single AI-driven decision support system.</w:t>
      </w:r>
    </w:p>
    <w:p>
      <w:pPr>
        <w:spacing w:after="120"/>
      </w:pPr>
      <w:r>
        <w:rPr>
          <w:rFonts w:ascii="Calibri" w:hAnsi="Calibri"/>
          <w:b/>
          <w:color w:val="1A365D"/>
          <w:sz w:val="20"/>
        </w:rPr>
        <w:t>📌 Q2: Why did you select FastAPI over Flask or Django?</w:t>
        <w:br/>
      </w:r>
      <w:r>
        <w:rPr>
          <w:rFonts w:ascii="Calibri" w:hAnsi="Calibri"/>
          <w:color w:val="2D3748"/>
          <w:sz w:val="19"/>
        </w:rPr>
        <w:t>Answer: FastAPI offers native async performance, automatic OpenAPI documentation, and high-concurrency Pydantic v2 data validation.</w:t>
      </w:r>
    </w:p>
    <w:p>
      <w:pPr>
        <w:spacing w:after="120"/>
      </w:pPr>
      <w:r>
        <w:rPr>
          <w:rFonts w:ascii="Calibri" w:hAnsi="Calibri"/>
          <w:b/>
          <w:color w:val="1A365D"/>
          <w:sz w:val="20"/>
        </w:rPr>
        <w:t>📌 Q3: What database engine is used, and how will it scale?</w:t>
        <w:br/>
      </w:r>
      <w:r>
        <w:rPr>
          <w:rFonts w:ascii="Calibri" w:hAnsi="Calibri"/>
          <w:color w:val="2D3748"/>
          <w:sz w:val="19"/>
        </w:rPr>
        <w:t>Answer: The prototype uses SQLite via SQLAlchemy 2.0 ORM. SQLAlchemy enables zero-code-change migration to enterprise PostgreSQL/PostGIS.</w:t>
      </w:r>
    </w:p>
    <w:p>
      <w:pPr>
        <w:spacing w:after="120"/>
      </w:pPr>
      <w:r>
        <w:rPr>
          <w:rFonts w:ascii="Calibri" w:hAnsi="Calibri"/>
          <w:b/>
          <w:color w:val="1A365D"/>
          <w:sz w:val="20"/>
        </w:rPr>
        <w:t>📌 Q4: Is the project dataset synthetic or real confidential MOIL data?</w:t>
        <w:br/>
      </w:r>
      <w:r>
        <w:rPr>
          <w:rFonts w:ascii="Calibri" w:hAnsi="Calibri"/>
          <w:color w:val="2D3748"/>
          <w:sz w:val="19"/>
        </w:rPr>
        <w:t>Answer: The prototype uses calibrated synthetic data modeled on published MOIL geological distributions to maintain data privacy compliance.</w:t>
      </w:r>
    </w:p>
    <w:p>
      <w:pPr>
        <w:spacing w:after="120"/>
      </w:pPr>
      <w:r>
        <w:rPr>
          <w:rFonts w:ascii="Calibri" w:hAnsi="Calibri"/>
          <w:b/>
          <w:color w:val="1A365D"/>
          <w:sz w:val="20"/>
        </w:rPr>
        <w:t>📌 Q5: What ML algorithm is used for reserve estimation?</w:t>
        <w:br/>
      </w:r>
      <w:r>
        <w:rPr>
          <w:rFonts w:ascii="Calibri" w:hAnsi="Calibri"/>
          <w:color w:val="2D3748"/>
          <w:sz w:val="19"/>
        </w:rPr>
        <w:t>Answer: A scikit-learn RandomForestClassifier with 100 decision trees, classifying core samples into 4 grade tiers.</w:t>
      </w:r>
    </w:p>
    <w:p>
      <w:pPr>
        <w:spacing w:after="120"/>
      </w:pPr>
      <w:r>
        <w:rPr>
          <w:rFonts w:ascii="Calibri" w:hAnsi="Calibri"/>
          <w:b/>
          <w:color w:val="1A365D"/>
          <w:sz w:val="20"/>
        </w:rPr>
        <w:t>📌 Q6: How did you prevent target leakage in the reserve prediction model?</w:t>
        <w:br/>
      </w:r>
      <w:r>
        <w:rPr>
          <w:rFonts w:ascii="Calibri" w:hAnsi="Calibri"/>
          <w:color w:val="2D3748"/>
          <w:sz w:val="19"/>
        </w:rPr>
        <w:t>Answer: The target variable Mn% and derived ratios were strictly excluded from the input feature matrix X.</w:t>
      </w:r>
    </w:p>
    <w:p>
      <w:pPr>
        <w:spacing w:after="120"/>
      </w:pPr>
      <w:r>
        <w:rPr>
          <w:rFonts w:ascii="Calibri" w:hAnsi="Calibri"/>
          <w:b/>
          <w:color w:val="1A365D"/>
          <w:sz w:val="20"/>
        </w:rPr>
        <w:t>📌 Q7: What model is used for shift production forecasting?</w:t>
        <w:br/>
      </w:r>
      <w:r>
        <w:rPr>
          <w:rFonts w:ascii="Calibri" w:hAnsi="Calibri"/>
          <w:color w:val="2D3748"/>
          <w:sz w:val="19"/>
        </w:rPr>
        <w:t>Answer: A GradientBoostingRegressor predicting actual shift tonnage based on planned target, fleet breakdown, and weather delays.</w:t>
      </w:r>
    </w:p>
    <w:p>
      <w:pPr>
        <w:spacing w:after="120"/>
      </w:pPr>
      <w:r>
        <w:rPr>
          <w:rFonts w:ascii="Calibri" w:hAnsi="Calibri"/>
          <w:b/>
          <w:color w:val="1A365D"/>
          <w:sz w:val="20"/>
        </w:rPr>
        <w:t>📌 Q8: What remote sensing indices are calculated in the satellite module?</w:t>
        <w:br/>
      </w:r>
      <w:r>
        <w:rPr>
          <w:rFonts w:ascii="Calibri" w:hAnsi="Calibri"/>
          <w:color w:val="2D3748"/>
          <w:sz w:val="19"/>
        </w:rPr>
        <w:t>Answer: Sentinel-2 NDVI (Vegetation Index), NDWI (Water Index), LST (Land Surface Temp), and NASA FIRMS thermal hotspots.</w:t>
      </w:r>
    </w:p>
    <w:p>
      <w:pPr>
        <w:spacing w:after="120"/>
      </w:pPr>
      <w:r>
        <w:rPr>
          <w:rFonts w:ascii="Calibri" w:hAnsi="Calibri"/>
          <w:b/>
          <w:color w:val="1A365D"/>
          <w:sz w:val="20"/>
        </w:rPr>
        <w:t>📌 Q9: Can satellite imagery directly detect underground manganese ore?</w:t>
        <w:br/>
      </w:r>
      <w:r>
        <w:rPr>
          <w:rFonts w:ascii="Calibri" w:hAnsi="Calibri"/>
          <w:color w:val="2D3748"/>
          <w:sz w:val="19"/>
        </w:rPr>
        <w:t>Answer: NO. Satellite sensors only observe surface/environmental indicators. Subsurface mineral estimation relies strictly on geological borehole core assays.</w:t>
      </w:r>
    </w:p>
    <w:p>
      <w:pPr>
        <w:spacing w:after="120"/>
      </w:pPr>
      <w:r>
        <w:rPr>
          <w:rFonts w:ascii="Calibri" w:hAnsi="Calibri"/>
          <w:b/>
          <w:color w:val="1A365D"/>
          <w:sz w:val="20"/>
        </w:rPr>
        <w:t>📌 Q10: How does the 4-pillar risk engine work?</w:t>
        <w:br/>
      </w:r>
      <w:r>
        <w:rPr>
          <w:rFonts w:ascii="Calibri" w:hAnsi="Calibri"/>
          <w:color w:val="2D3748"/>
          <w:sz w:val="19"/>
        </w:rPr>
        <w:t>Answer: Calculates a composite score: Risk = 0.35*Operational + 0.25*Geological + 0.25*Environmental + 0.15*Safety.</w:t>
      </w:r>
    </w:p>
    <w:p>
      <w:pPr>
        <w:spacing w:after="120"/>
      </w:pPr>
      <w:r>
        <w:rPr>
          <w:rFonts w:ascii="Calibri" w:hAnsi="Calibri"/>
          <w:b/>
          <w:color w:val="1A365D"/>
          <w:sz w:val="20"/>
        </w:rPr>
        <w:t>📌 Q11: What frontend visual theme is used and why?</w:t>
        <w:br/>
      </w:r>
      <w:r>
        <w:rPr>
          <w:rFonts w:ascii="Calibri" w:hAnsi="Calibri"/>
          <w:color w:val="2D3748"/>
          <w:sz w:val="19"/>
        </w:rPr>
        <w:t>Answer: A custom Warm-Ivory Industrial Palette (#F4F3EF canvas, #FAFAF7 cards) designed to reduce eye glare in control rooms.</w:t>
      </w:r>
    </w:p>
    <w:p>
      <w:pPr>
        <w:spacing w:after="120"/>
      </w:pPr>
      <w:r>
        <w:rPr>
          <w:rFonts w:ascii="Calibri" w:hAnsi="Calibri"/>
          <w:b/>
          <w:color w:val="1A365D"/>
          <w:sz w:val="20"/>
        </w:rPr>
        <w:t>📌 Q12: How is the recommendation workflow audited?</w:t>
        <w:br/>
      </w:r>
      <w:r>
        <w:rPr>
          <w:rFonts w:ascii="Calibri" w:hAnsi="Calibri"/>
          <w:color w:val="2D3748"/>
          <w:sz w:val="19"/>
        </w:rPr>
        <w:t>Answer: Prescriptive shift recommendations enter as AWAITING and transition to APPROVED, REJECTED, or MODIFIED via user audit action.</w:t>
      </w:r>
    </w:p>
    <w:p>
      <w:pPr>
        <w:spacing w:after="120"/>
      </w:pPr>
      <w:r>
        <w:rPr>
          <w:rFonts w:ascii="Calibri" w:hAnsi="Calibri"/>
          <w:b/>
          <w:color w:val="1A365D"/>
          <w:sz w:val="20"/>
        </w:rPr>
        <w:t>📌 Q13: What does the What-If Operational Simulator do?</w:t>
        <w:br/>
      </w:r>
      <w:r>
        <w:rPr>
          <w:rFonts w:ascii="Calibri" w:hAnsi="Calibri"/>
          <w:color w:val="2D3748"/>
          <w:sz w:val="19"/>
        </w:rPr>
        <w:t>Answer: Allows users to simulate heavy rainfall (0-200mm) and grade cutoff adjustments to evaluate production and revenue impact.</w:t>
      </w:r>
    </w:p>
    <w:p>
      <w:pPr>
        <w:spacing w:after="120"/>
      </w:pPr>
      <w:r>
        <w:rPr>
          <w:rFonts w:ascii="Calibri" w:hAnsi="Calibri"/>
          <w:b/>
          <w:color w:val="1A365D"/>
          <w:sz w:val="20"/>
        </w:rPr>
        <w:t>📌 Q14: How many automated tests exist in the repository?</w:t>
        <w:br/>
      </w:r>
      <w:r>
        <w:rPr>
          <w:rFonts w:ascii="Calibri" w:hAnsi="Calibri"/>
          <w:color w:val="2D3748"/>
          <w:sz w:val="19"/>
        </w:rPr>
        <w:t>Answer: 87 automated PyTest integration test cases covering API endpoints, ML models, ETL pipelines, DB CRUD, and frontend builds.</w:t>
      </w:r>
    </w:p>
    <w:p>
      <w:pPr>
        <w:spacing w:after="120"/>
      </w:pPr>
      <w:r>
        <w:rPr>
          <w:rFonts w:ascii="Calibri" w:hAnsi="Calibri"/>
          <w:b/>
          <w:color w:val="1A365D"/>
          <w:sz w:val="20"/>
        </w:rPr>
        <w:t>📌 Q15: What is the hardware footprint of the backend?</w:t>
        <w:br/>
      </w:r>
      <w:r>
        <w:rPr>
          <w:rFonts w:ascii="Calibri" w:hAnsi="Calibri"/>
          <w:color w:val="2D3748"/>
          <w:sz w:val="19"/>
        </w:rPr>
        <w:t>Answer: Approximately 150 MB RAM running on Uvicorn ASGI server with sub-15ms ML CPU inference latency.</w:t>
      </w:r>
    </w:p>
    <w:p>
      <w:pPr>
        <w:spacing w:after="120"/>
      </w:pPr>
      <w:r>
        <w:rPr>
          <w:rFonts w:ascii="Calibri" w:hAnsi="Calibri"/>
          <w:b/>
          <w:color w:val="1A365D"/>
          <w:sz w:val="20"/>
        </w:rPr>
        <w:t>📌 Q16: How is data quality evaluated?</w:t>
        <w:br/>
      </w:r>
      <w:r>
        <w:rPr>
          <w:rFonts w:ascii="Calibri" w:hAnsi="Calibri"/>
          <w:color w:val="2D3748"/>
          <w:sz w:val="19"/>
        </w:rPr>
        <w:t>Answer: Via a 5-domain score: 0.25*Completeness + 0.20*Timeliness + 0.20*Validity + 0.20*Consistency + 0.15*Accuracy.</w:t>
      </w:r>
    </w:p>
    <w:p>
      <w:pPr>
        <w:spacing w:after="120"/>
      </w:pPr>
      <w:r>
        <w:rPr>
          <w:rFonts w:ascii="Calibri" w:hAnsi="Calibri"/>
          <w:b/>
          <w:color w:val="1A365D"/>
          <w:sz w:val="20"/>
        </w:rPr>
        <w:t>📌 Q17: What vector format is used for mine GIS rendering?</w:t>
        <w:br/>
      </w:r>
      <w:r>
        <w:rPr>
          <w:rFonts w:ascii="Calibri" w:hAnsi="Calibri"/>
          <w:color w:val="2D3748"/>
          <w:sz w:val="19"/>
        </w:rPr>
        <w:t>Answer: Standard GeoJSON FeatureCollections for 8 MOIL mines and 37 production zones rendered via Leaflet 1.9.</w:t>
      </w:r>
    </w:p>
    <w:p>
      <w:pPr>
        <w:spacing w:after="120"/>
      </w:pPr>
      <w:r>
        <w:rPr>
          <w:rFonts w:ascii="Calibri" w:hAnsi="Calibri"/>
          <w:b/>
          <w:color w:val="1A365D"/>
          <w:sz w:val="20"/>
        </w:rPr>
        <w:t>📌 Q18: What is Kriging spatial interpolation?</w:t>
        <w:br/>
      </w:r>
      <w:r>
        <w:rPr>
          <w:rFonts w:ascii="Calibri" w:hAnsi="Calibri"/>
          <w:color w:val="2D3748"/>
          <w:sz w:val="19"/>
        </w:rPr>
        <w:t>Answer: A geostatistical technique that interpolates continuous manganese ore grade estimates between discrete borehole assay locations.</w:t>
      </w:r>
    </w:p>
    <w:p>
      <w:pPr>
        <w:spacing w:after="120"/>
      </w:pPr>
      <w:r>
        <w:rPr>
          <w:rFonts w:ascii="Calibri" w:hAnsi="Calibri"/>
          <w:b/>
          <w:color w:val="1A365D"/>
          <w:sz w:val="20"/>
        </w:rPr>
        <w:t>📌 Q19: How are environment variables managed?</w:t>
        <w:br/>
      </w:r>
      <w:r>
        <w:rPr>
          <w:rFonts w:ascii="Calibri" w:hAnsi="Calibri"/>
          <w:color w:val="2D3748"/>
          <w:sz w:val="19"/>
        </w:rPr>
        <w:t>Answer: Via backend/app/config.py utilizing Pydantic BaseSettings.</w:t>
      </w:r>
    </w:p>
    <w:p>
      <w:pPr>
        <w:spacing w:after="120"/>
      </w:pPr>
      <w:r>
        <w:rPr>
          <w:rFonts w:ascii="Calibri" w:hAnsi="Calibri"/>
          <w:b/>
          <w:color w:val="1A365D"/>
          <w:sz w:val="20"/>
        </w:rPr>
        <w:t>📌 Q20: How are CORS requests handled?</w:t>
        <w:br/>
      </w:r>
      <w:r>
        <w:rPr>
          <w:rFonts w:ascii="Calibri" w:hAnsi="Calibri"/>
          <w:color w:val="2D3748"/>
          <w:sz w:val="19"/>
        </w:rPr>
        <w:t>Answer: Configured via FastAPI CORSMiddleware in main.py to allow secure client request routing.</w:t>
      </w:r>
    </w:p>
    <w:p>
      <w:pPr>
        <w:spacing w:after="120"/>
      </w:pPr>
      <w:r>
        <w:rPr>
          <w:rFonts w:ascii="Calibri" w:hAnsi="Calibri"/>
          <w:b/>
          <w:color w:val="1A365D"/>
          <w:sz w:val="20"/>
        </w:rPr>
        <w:t>📌 Q21: What script reseeds the entire database?</w:t>
        <w:br/>
      </w:r>
      <w:r>
        <w:rPr>
          <w:rFonts w:ascii="Calibri" w:hAnsi="Calibri"/>
          <w:color w:val="2D3748"/>
          <w:sz w:val="19"/>
        </w:rPr>
        <w:t>Answer: python scripts/seed_all.py.</w:t>
      </w:r>
    </w:p>
    <w:p>
      <w:pPr>
        <w:spacing w:after="120"/>
      </w:pPr>
      <w:r>
        <w:rPr>
          <w:rFonts w:ascii="Calibri" w:hAnsi="Calibri"/>
          <w:b/>
          <w:color w:val="1A365D"/>
          <w:sz w:val="20"/>
        </w:rPr>
        <w:t>📌 Q22: How does the system handle missing sensor readings?</w:t>
        <w:br/>
      </w:r>
      <w:r>
        <w:rPr>
          <w:rFonts w:ascii="Calibri" w:hAnsi="Calibri"/>
          <w:color w:val="2D3748"/>
          <w:sz w:val="19"/>
        </w:rPr>
        <w:t>Answer: The ETL pipeline (clean.py) imputes missing numerical values using 7-day rolling medians and 3-sigma outlier clipping.</w:t>
      </w:r>
    </w:p>
    <w:p>
      <w:pPr>
        <w:spacing w:after="120"/>
      </w:pPr>
      <w:r>
        <w:rPr>
          <w:rFonts w:ascii="Calibri" w:hAnsi="Calibri"/>
          <w:b/>
          <w:color w:val="1A365D"/>
          <w:sz w:val="20"/>
        </w:rPr>
        <w:t>📌 Q23: Why choose Leaflet over Mapbox or Google Maps?</w:t>
        <w:br/>
      </w:r>
      <w:r>
        <w:rPr>
          <w:rFonts w:ascii="Calibri" w:hAnsi="Calibri"/>
          <w:color w:val="2D3748"/>
          <w:sz w:val="19"/>
        </w:rPr>
        <w:t>Answer: Leaflet is open-source, lightweight, and supports offline vector tile rendering without external API key dependencies.</w:t>
      </w:r>
    </w:p>
    <w:p>
      <w:pPr>
        <w:spacing w:after="120"/>
      </w:pPr>
      <w:r>
        <w:rPr>
          <w:rFonts w:ascii="Calibri" w:hAnsi="Calibri"/>
          <w:b/>
          <w:color w:val="1A365D"/>
          <w:sz w:val="20"/>
        </w:rPr>
        <w:t>📌 Q24: How does NASA FIRMS integration enhance mine safety?</w:t>
        <w:br/>
      </w:r>
      <w:r>
        <w:rPr>
          <w:rFonts w:ascii="Calibri" w:hAnsi="Calibri"/>
          <w:color w:val="2D3748"/>
          <w:sz w:val="19"/>
        </w:rPr>
        <w:t>Answer: Monitors thermal anomaly hotspots within a 5km buffer to warn of pit rim wildfires or overburden heat issues.</w:t>
      </w:r>
    </w:p>
    <w:p>
      <w:pPr>
        <w:spacing w:after="120"/>
      </w:pPr>
      <w:r>
        <w:rPr>
          <w:rFonts w:ascii="Calibri" w:hAnsi="Calibri"/>
          <w:b/>
          <w:color w:val="1A365D"/>
          <w:sz w:val="20"/>
        </w:rPr>
        <w:t>📌 Q25: What is the authentication credential for the prototype?</w:t>
        <w:br/>
      </w:r>
      <w:r>
        <w:rPr>
          <w:rFonts w:ascii="Calibri" w:hAnsi="Calibri"/>
          <w:color w:val="2D3748"/>
          <w:sz w:val="19"/>
        </w:rPr>
        <w:t>Answer: Verification gate on /auth accepting engineer credentials MOIL-DEMO / MOIL@2026.</w:t>
      </w:r>
    </w:p>
    <w:p>
      <w:pPr>
        <w:spacing w:after="120"/>
      </w:pPr>
      <w:r>
        <w:rPr>
          <w:rFonts w:ascii="Calibri" w:hAnsi="Calibri"/>
          <w:b/>
          <w:color w:val="1A365D"/>
          <w:sz w:val="20"/>
        </w:rPr>
        <w:t>📌 Q26: What role does the Indian Bureau of Mines (IBM) play in our research?</w:t>
        <w:br/>
      </w:r>
      <w:r>
        <w:rPr>
          <w:rFonts w:ascii="Calibri" w:hAnsi="Calibri"/>
          <w:color w:val="2D3748"/>
          <w:sz w:val="19"/>
        </w:rPr>
        <w:t>Answer: Provides benchmark statistical data on Indian manganese ore reserves and production standards.</w:t>
      </w:r>
    </w:p>
    <w:p>
      <w:pPr>
        <w:spacing w:after="120"/>
      </w:pPr>
      <w:r>
        <w:rPr>
          <w:rFonts w:ascii="Calibri" w:hAnsi="Calibri"/>
          <w:b/>
          <w:color w:val="1A365D"/>
          <w:sz w:val="20"/>
        </w:rPr>
        <w:t>📌 Q27: How does the system optimize mineral blending?</w:t>
        <w:br/>
      </w:r>
      <w:r>
        <w:rPr>
          <w:rFonts w:ascii="Calibri" w:hAnsi="Calibri"/>
          <w:color w:val="2D3748"/>
          <w:sz w:val="19"/>
        </w:rPr>
        <w:t>Answer: By matching predicted stope grades with target dispatch specifications to avoid penalty rejections at steel plants.</w:t>
      </w:r>
    </w:p>
    <w:p>
      <w:pPr>
        <w:spacing w:after="120"/>
      </w:pPr>
      <w:r>
        <w:rPr>
          <w:rFonts w:ascii="Calibri" w:hAnsi="Calibri"/>
          <w:b/>
          <w:color w:val="1A365D"/>
          <w:sz w:val="20"/>
        </w:rPr>
        <w:t>📌 Q28: What is the revisit time of Sentinel-2 satellite imagery?</w:t>
        <w:br/>
      </w:r>
      <w:r>
        <w:rPr>
          <w:rFonts w:ascii="Calibri" w:hAnsi="Calibri"/>
          <w:color w:val="2D3748"/>
          <w:sz w:val="19"/>
        </w:rPr>
        <w:t>Answer: 5 days at the equator with twin satellites (2A/2B), providing regular environmental monitoring.</w:t>
      </w:r>
    </w:p>
    <w:p>
      <w:pPr>
        <w:spacing w:after="120"/>
      </w:pPr>
      <w:r>
        <w:rPr>
          <w:rFonts w:ascii="Calibri" w:hAnsi="Calibri"/>
          <w:b/>
          <w:color w:val="1A365D"/>
          <w:sz w:val="20"/>
        </w:rPr>
        <w:t>📌 Q29: What are the target grade tiers for reserve classification?</w:t>
        <w:br/>
      </w:r>
      <w:r>
        <w:rPr>
          <w:rFonts w:ascii="Calibri" w:hAnsi="Calibri"/>
          <w:color w:val="2D3748"/>
          <w:sz w:val="19"/>
        </w:rPr>
        <w:t>Answer: High Grade (&gt;=44% Mn), Medium Grade (35-44%), Low Grade (25-35%), and Waste (&lt;25%).</w:t>
      </w:r>
    </w:p>
    <w:p>
      <w:pPr>
        <w:spacing w:after="120"/>
      </w:pPr>
      <w:r>
        <w:rPr>
          <w:rFonts w:ascii="Calibri" w:hAnsi="Calibri"/>
          <w:b/>
          <w:color w:val="1A365D"/>
          <w:sz w:val="20"/>
        </w:rPr>
        <w:t>📌 Q30: What are the immediate next steps to bring this prototype to enterprise deployment?</w:t>
        <w:br/>
      </w:r>
      <w:r>
        <w:rPr>
          <w:rFonts w:ascii="Calibri" w:hAnsi="Calibri"/>
          <w:color w:val="2D3748"/>
          <w:sz w:val="19"/>
        </w:rPr>
        <w:t>Answer: Connect live SCADA/IoT connectors to HEMM fleet assets, integrate IMD/Sentinel API feeds, and migrate database to PostgreSQL/PostGIS.</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t>SIH 2026 Jury Presentation &amp; Technical Reference | Confidential &amp; Factual Audit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MOIL AI/ML Mining Intelligence Platform — Technical &amp; Research Audit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787878"/>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787878"/>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