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>
          <w:b w:val="1"/>
          <w:bCs w:val="1"/>
        </w:rPr>
      </w:pPr>
      <w:bookmarkStart w:colFirst="0" w:colLast="0" w:name="_f1jcusywhfgy" w:id="0"/>
      <w:bookmarkEnd w:id="0"/>
      <w:r w:rsidDel="00000000" w:rsidR="00000000" w:rsidRPr="00000000">
        <w:rPr>
          <w:rtl w:val="0"/>
        </w:rPr>
        <w:t xml:space="preserve">Free Brand Identity Scorecard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spacing w:after="240" w:before="240" w:lineRule="auto"/>
        <w:rPr/>
      </w:pPr>
      <w:bookmarkStart w:colFirst="0" w:colLast="0" w:name="_ivbfrmqhe2i5" w:id="1"/>
      <w:bookmarkEnd w:id="1"/>
      <w:r w:rsidDel="00000000" w:rsidR="00000000" w:rsidRPr="00000000">
        <w:rPr>
          <w:rtl w:val="0"/>
        </w:rPr>
        <w:t xml:space="preserve">Is Your Brand Helping or Hurting?</w:t>
        <w:br w:type="textWrapping"/>
        <w:t xml:space="preserve">Evaluate your logo, tone, visuals, and more in under 10 minutes.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jw0q7nbh5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 &amp; How to Use This Scorecard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brand identity is more than a logo—it’s every interaction your audience has with you. This quick 10-minute audit helps you spot strengths and weaknesses across key brand elements. For each category: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</w:t>
      </w:r>
      <w:r w:rsidDel="00000000" w:rsidR="00000000" w:rsidRPr="00000000">
        <w:rPr>
          <w:rtl w:val="0"/>
        </w:rPr>
        <w:t xml:space="preserve"> the “Why It Matters” note.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each question (✔ Strong / ⚠ Needs Improvement / ✖ Weak).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 jot down** any “Action Items” for ⚠ or ✖ ratings.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Calculate</w:t>
      </w:r>
      <w:r w:rsidDel="00000000" w:rsidR="00000000" w:rsidRPr="00000000">
        <w:rPr>
          <w:rtl w:val="0"/>
        </w:rPr>
        <w:t xml:space="preserve"> your total score at the end to gauge overall health.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1xwygsim7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Logo &amp; Visual Elements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36.0563380281696"/>
        <w:gridCol w:w="971.5591184904706"/>
        <w:gridCol w:w="1993.0581916697038"/>
        <w:gridCol w:w="862.5992173513523"/>
        <w:gridCol w:w="1162.2389454839274"/>
        <w:tblGridChange w:id="0">
          <w:tblGrid>
            <w:gridCol w:w="4036.0563380281696"/>
            <w:gridCol w:w="971.5591184904706"/>
            <w:gridCol w:w="1993.0581916697038"/>
            <w:gridCol w:w="862.5992173513523"/>
            <w:gridCol w:w="1162.2389454839274"/>
          </w:tblGrid>
        </w:tblGridChange>
      </w:tblGrid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 Strong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⚠ Needs Improvement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✖ 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2.1 Is your logo scalable (works in favicon to billboard sizes)?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2.2 Are your brand colors used consistently across assets?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2.3 Do you have a clear, downloadable brand asset pack?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2.4 Are typography choices legible and aligned with brand tone?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2.5 Do your imagery and icon styles feel cohesive?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A flexible, consistent visual system builds recognition and trust.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1vu6iaohr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Tone of Voice &amp; Messaging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6.362054441839"/>
        <w:gridCol w:w="929.2967962128794"/>
        <w:gridCol w:w="1840.460972011849"/>
        <w:gridCol w:w="834.1005390398527"/>
        <w:gridCol w:w="1065.2914493172032"/>
        <w:tblGridChange w:id="0">
          <w:tblGrid>
            <w:gridCol w:w="4356.362054441839"/>
            <w:gridCol w:w="929.2967962128794"/>
            <w:gridCol w:w="1840.460972011849"/>
            <w:gridCol w:w="834.1005390398527"/>
            <w:gridCol w:w="1065.2914493172032"/>
          </w:tblGrid>
        </w:tblGridChange>
      </w:tblGrid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 Strong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⚠ Needs Improvement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✖ 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3.1 Is your brand voice clearly defined in a style guide?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3.2 Does your messaging speak directly to your ideal audience’s needs?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3.3 Are headlines and taglines concise, memorable, and on-brand?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3.4 Do all customer-facing communications (emails, ads, social posts) use consistent tone?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3.5 Is jargon minimized in favor of clear, benefit-focused language?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Cohesive brand voice fosters emotional connection and clarity.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9kzadytee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Website &amp; Digital Presence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84.3727482331915"/>
        <w:gridCol w:w="970.0951921441765"/>
        <w:gridCol w:w="1962.8561598057402"/>
        <w:gridCol w:w="861.2994696607175"/>
        <w:gridCol w:w="1146.8882411797974"/>
        <w:tblGridChange w:id="0">
          <w:tblGrid>
            <w:gridCol w:w="4084.3727482331915"/>
            <w:gridCol w:w="970.0951921441765"/>
            <w:gridCol w:w="1962.8561598057402"/>
            <w:gridCol w:w="861.2994696607175"/>
            <w:gridCol w:w="1146.8882411797974"/>
          </w:tblGrid>
        </w:tblGridChange>
      </w:tblGrid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 Strong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⚠ Needs Improvement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✖ 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4.1 Does your website’s look &amp; feel match your brand guidelines?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4.2 Are your logo, colors, and typography consistent online?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4.3 Is your About page on-brand, telling your story authentically?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4.4 Do your social profiles use cohesive visuals and bios?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4.5 Are your key brand messages front and center on the homepage?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Digital consistency builds credibility and reduces confusion.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mbt8vzy5w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Collateral &amp; Offline Touchpoints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32.543773051439"/>
        <w:gridCol w:w="955.0566660611759"/>
        <w:gridCol w:w="1946.324011404292"/>
        <w:gridCol w:w="860.0036329460825"/>
        <w:gridCol w:w="1131.5837275606348"/>
        <w:tblGridChange w:id="0">
          <w:tblGrid>
            <w:gridCol w:w="4132.543773051439"/>
            <w:gridCol w:w="955.0566660611759"/>
            <w:gridCol w:w="1946.324011404292"/>
            <w:gridCol w:w="860.0036329460825"/>
            <w:gridCol w:w="1131.5837275606348"/>
          </w:tblGrid>
        </w:tblGridChange>
      </w:tblGrid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 Strong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⚠ Needs Improvement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✖ 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5.1 Are print materials (business cards, brochures) on-brand quality?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5.2 Is signage and packaging consistently branded and legible?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5.3 Do you have branded templates for presentations and proposals?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5.4 Are offline ads and event booths reflective of your digital identity?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5.5 Does your customer service script align with your brand personality?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Cohesive offline branding leaves a lasting professional impression.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vdmgukz7g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Audience Perception &amp; Differentiation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99.218433950138"/>
        <w:gridCol w:w="967.1805345813998"/>
        <w:gridCol w:w="1956.958745204421"/>
        <w:gridCol w:w="858.7116895816166"/>
        <w:gridCol w:w="1143.4424077060473"/>
        <w:tblGridChange w:id="0">
          <w:tblGrid>
            <w:gridCol w:w="4099.218433950138"/>
            <w:gridCol w:w="967.1805345813998"/>
            <w:gridCol w:w="1956.958745204421"/>
            <w:gridCol w:w="858.7116895816166"/>
            <w:gridCol w:w="1143.4424077060473"/>
          </w:tblGrid>
        </w:tblGridChange>
      </w:tblGrid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 Strong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⚠ Needs Improvement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✖ 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6.1 Do you have documented brand positioning against competitors?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6.2 Are your unique value propositions (UVPs) clearly articulated?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6.3 Have you tested your brand with focus groups or surveys?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6.4 Do you monitor social sentiment and brand mentions online?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6.5 Is your brand easily distinguishable in a crowded market?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Knowing how you’re seen helps you sharpen differentiation and messaging.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bo2ptchur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Scoring &amp; Next Steps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Tally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your ✔, ⚠, and ✖ marks.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✔ = 2 points, ⚠ = 1 point, ✖ = 0 points; maximum = 70.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56–70: Healthy Brand Identity</w:t>
      </w:r>
    </w:p>
    <w:p w:rsidR="00000000" w:rsidDel="00000000" w:rsidP="00000000" w:rsidRDefault="00000000" w:rsidRPr="00000000" w14:paraId="000000B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35–55: Needs Refinement</w:t>
      </w:r>
    </w:p>
    <w:p w:rsidR="00000000" w:rsidDel="00000000" w:rsidP="00000000" w:rsidRDefault="00000000" w:rsidRPr="00000000" w14:paraId="000000B6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&lt;35: Urgent Overhaul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Steps: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Prioritize items scoring 0 or 1 point.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30-, 60-, and 90-day action plan.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Re-audit quarterly to track improvements.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gqq35hfna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Credits &amp; Next Steps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Created by the brand experts at </w:t>
      </w: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Marketing Mojito</w:t>
        </w:r>
      </w:hyperlink>
      <w:r w:rsidDel="00000000" w:rsidR="00000000" w:rsidRPr="00000000">
        <w:rPr>
          <w:i w:val="1"/>
          <w:iCs w:val="1"/>
          <w:rtl w:val="0"/>
        </w:rPr>
        <w:t xml:space="preserve">. For a full audit and brand workshop, visit our </w:t>
      </w:r>
      <w:hyperlink r:id="rId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Branding Services</w:t>
        </w:r>
      </w:hyperlink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Made with ❤️ by Marketing Mojito</w:t>
        <w:br w:type="textWrapping"/>
      </w:r>
      <w:r w:rsidDel="00000000" w:rsidR="00000000" w:rsidRPr="00000000">
        <w:rPr>
          <w:rtl w:val="0"/>
        </w:rPr>
        <w:t xml:space="preserve">🌐 marketingmojito.com 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📧hello@marketingmojito.com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📸 @marketingmojito 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🔗 linkedin.com/company/marketing-mojito 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📘 facebook.com/marketingmojito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4648200</wp:posOffset>
          </wp:positionH>
          <wp:positionV relativeFrom="paragraph">
            <wp:posOffset>-342899</wp:posOffset>
          </wp:positionV>
          <wp:extent cx="1871663" cy="1053976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1663" cy="1053976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-161924</wp:posOffset>
          </wp:positionH>
          <wp:positionV relativeFrom="paragraph">
            <wp:posOffset>-333374</wp:posOffset>
          </wp:positionV>
          <wp:extent cx="1785938" cy="98992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85938" cy="98992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marketingmojito.com/" TargetMode="External"/><Relationship Id="rId7" Type="http://schemas.openxmlformats.org/officeDocument/2006/relationships/hyperlink" Target="https://marketingmojito.com/services/branding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