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D5DEE" w14:textId="77777777" w:rsidR="00791D12" w:rsidRDefault="00000000">
      <w:pPr>
        <w:spacing w:after="120"/>
        <w:jc w:val="center"/>
      </w:pPr>
      <w:r>
        <w:rPr>
          <w:b/>
          <w:bCs/>
          <w:sz w:val="28"/>
          <w:szCs w:val="28"/>
        </w:rPr>
        <w:t>Factory-to-Customer Shipping Route Efficiency Analysis for Nassau Candy Distributor</w:t>
      </w:r>
    </w:p>
    <w:p w14:paraId="37391E3F" w14:textId="77777777" w:rsidR="00791D12" w:rsidRDefault="00000000">
      <w:pPr>
        <w:jc w:val="center"/>
      </w:pPr>
      <w:r>
        <w:rPr>
          <w:sz w:val="22"/>
          <w:szCs w:val="22"/>
        </w:rPr>
        <w:t>Om Ahir</w:t>
      </w:r>
    </w:p>
    <w:p w14:paraId="254A25DD" w14:textId="2431E9F8" w:rsidR="00791D12" w:rsidRDefault="00000000">
      <w:pPr>
        <w:jc w:val="center"/>
      </w:pPr>
      <w:r>
        <w:rPr>
          <w:i/>
          <w:iCs/>
        </w:rPr>
        <w:t xml:space="preserve">Data </w:t>
      </w:r>
      <w:r w:rsidR="00E63831">
        <w:rPr>
          <w:i/>
          <w:iCs/>
        </w:rPr>
        <w:t>Science</w:t>
      </w:r>
      <w:r>
        <w:rPr>
          <w:i/>
          <w:iCs/>
        </w:rPr>
        <w:t xml:space="preserve"> Intern, Nassau Candy Distributor</w:t>
      </w:r>
    </w:p>
    <w:p w14:paraId="289B53FF" w14:textId="77777777" w:rsidR="00791D12" w:rsidRDefault="00000000">
      <w:pPr>
        <w:spacing w:after="240"/>
        <w:jc w:val="center"/>
      </w:pPr>
      <w:r>
        <w:t>Email: omahir7447@gmail.com</w:t>
      </w:r>
    </w:p>
    <w:p w14:paraId="69F226C4" w14:textId="77777777" w:rsidR="00791D12" w:rsidRDefault="00000000">
      <w:pPr>
        <w:spacing w:after="100"/>
        <w:jc w:val="both"/>
      </w:pPr>
      <w:r>
        <w:rPr>
          <w:b/>
          <w:bCs/>
          <w:i/>
          <w:iCs/>
        </w:rPr>
        <w:t>Abstract—</w:t>
      </w:r>
      <w:r>
        <w:rPr>
          <w:i/>
          <w:iCs/>
        </w:rPr>
        <w:t xml:space="preserve"> This paper presents a comprehensive exploratory data analysis (EDA) of shipping route efficiency for Nassau Candy Distributor, a major confectionery supplier operating across the United States. </w:t>
      </w:r>
      <w:proofErr w:type="spellStart"/>
      <w:r>
        <w:rPr>
          <w:i/>
          <w:iCs/>
        </w:rPr>
        <w:t>Analyzing</w:t>
      </w:r>
      <w:proofErr w:type="spellEnd"/>
      <w:r>
        <w:rPr>
          <w:i/>
          <w:iCs/>
        </w:rPr>
        <w:t xml:space="preserve"> 10,194 shipment records spanning multiple product divisions—including Chocolate, Candy, Snacks, and Beverages—we evaluate route performance using a composite Route Efficiency Score derived from shipping lead times, delay frequency, and cost-per-ship-day metrics. Our analysis reveals significant regional disparities: the Interior region exhibits the highest average shipping days while maintaining moderate efficiency, whereas coastal regions demonstrate lower lead times but higher cost per unit. Ship mode analysis identifies Standard Class as the dominant but least efficient mode, accounting for approximately 60% of orders yet exhibiting the highest delay rates. We discover that routes serving Texas, California, and New York—the three highest-volume destination states—present distinct optimization opportunities. Seasonal trend analysis uncovers Q4 shipping bottlenecks correlated with holiday demand surges. Based on these findings, we propose six actionable recommendations including regional warehouse redistribution, dynamic ship mode allocation, and SLA-based routing protocols. Implementation of these strategies is projected to reduce average lead times by 15–20% and improve the overall on-time delivery rate from its current baseline to above 85%.</w:t>
      </w:r>
    </w:p>
    <w:p w14:paraId="09C611D6" w14:textId="77777777" w:rsidR="00791D12" w:rsidRDefault="00000000">
      <w:pPr>
        <w:spacing w:after="100"/>
        <w:jc w:val="both"/>
      </w:pPr>
      <w:r>
        <w:rPr>
          <w:b/>
          <w:bCs/>
          <w:i/>
          <w:iCs/>
        </w:rPr>
        <w:t>Keywords—</w:t>
      </w:r>
      <w:r>
        <w:rPr>
          <w:i/>
          <w:iCs/>
        </w:rPr>
        <w:t xml:space="preserve"> supply chain analytics, shipping route optimization, exploratory data analysis, logistics efficiency, last-mile delivery, Nassau Candy</w:t>
      </w:r>
    </w:p>
    <w:p w14:paraId="0EA6F00C" w14:textId="77777777" w:rsidR="00791D12" w:rsidRDefault="00000000">
      <w:pPr>
        <w:spacing w:before="240" w:after="120"/>
        <w:jc w:val="center"/>
      </w:pPr>
      <w:r>
        <w:rPr>
          <w:b/>
          <w:bCs/>
        </w:rPr>
        <w:t>I. INTRODUCTION</w:t>
      </w:r>
    </w:p>
    <w:p w14:paraId="3553C3C4" w14:textId="77777777" w:rsidR="00791D12" w:rsidRDefault="00000000">
      <w:pPr>
        <w:spacing w:after="120"/>
        <w:ind w:firstLine="230"/>
        <w:jc w:val="both"/>
      </w:pPr>
      <w:r>
        <w:t>The efficiency of shipping routes in consumer goods distribution directly impacts customer satisfaction, operational costs, and competitive positioning. In the confectionery industry, where products are often temperature-sensitive and seasonal demand fluctuations are pronounced, optimizing factory-to-customer logistics is particularly critical [1].</w:t>
      </w:r>
    </w:p>
    <w:p w14:paraId="698A1403" w14:textId="77777777" w:rsidR="00791D12" w:rsidRDefault="00000000">
      <w:pPr>
        <w:spacing w:after="120"/>
        <w:ind w:firstLine="230"/>
        <w:jc w:val="both"/>
      </w:pPr>
      <w:r>
        <w:t>Nassau Candy Distributor, headquartered in the northeastern United States, serves customers across all 50 states through a centralized factory-to-customer distribution model. Despite its established market presence, the company faces challenges common to many mid-size distributors: inconsistent lead times across geographic regions, suboptimal ship mode utilization, and limited visibility into route-level performance metrics.</w:t>
      </w:r>
    </w:p>
    <w:p w14:paraId="712EA0D0" w14:textId="77777777" w:rsidR="00791D12" w:rsidRDefault="00000000">
      <w:pPr>
        <w:spacing w:after="120"/>
        <w:ind w:firstLine="230"/>
        <w:jc w:val="both"/>
      </w:pPr>
      <w:r>
        <w:t>This study addresses three core objectives:</w:t>
      </w:r>
    </w:p>
    <w:p w14:paraId="24DC30B8" w14:textId="77777777" w:rsidR="00791D12" w:rsidRDefault="00000000">
      <w:pPr>
        <w:spacing w:after="80"/>
        <w:ind w:left="260" w:hanging="260"/>
      </w:pPr>
      <w:r>
        <w:rPr>
          <w:b/>
          <w:bCs/>
        </w:rPr>
        <w:t xml:space="preserve">1) </w:t>
      </w:r>
      <w:r>
        <w:t>Quantify route-level shipping efficiency across regions, states, and cities using a composite Route Efficiency Score that integrates lead time, delay incidence, and cost metrics.</w:t>
      </w:r>
    </w:p>
    <w:p w14:paraId="2E45BEB6" w14:textId="77777777" w:rsidR="00791D12" w:rsidRDefault="00000000">
      <w:pPr>
        <w:spacing w:after="80"/>
        <w:ind w:left="260" w:hanging="260"/>
      </w:pPr>
      <w:r>
        <w:rPr>
          <w:b/>
          <w:bCs/>
        </w:rPr>
        <w:t xml:space="preserve">2) </w:t>
      </w:r>
      <w:r>
        <w:t>Identify systemic bottlenecks in the factory-to-customer supply chain, including geographic hotspots with disproportionately high delay rates and underperforming ship mode configurations.</w:t>
      </w:r>
    </w:p>
    <w:p w14:paraId="44B22AFA" w14:textId="77777777" w:rsidR="00791D12" w:rsidRDefault="00000000">
      <w:pPr>
        <w:spacing w:after="80"/>
        <w:ind w:left="260" w:hanging="260"/>
      </w:pPr>
      <w:r>
        <w:rPr>
          <w:b/>
          <w:bCs/>
        </w:rPr>
        <w:t xml:space="preserve">3) </w:t>
      </w:r>
      <w:r>
        <w:t>Formulate data-driven recommendations for route optimization, ship mode rebalancing, and strategic warehouse placement to improve overall delivery performance.</w:t>
      </w:r>
    </w:p>
    <w:p w14:paraId="02279104" w14:textId="77777777" w:rsidR="00791D12" w:rsidRDefault="00000000">
      <w:pPr>
        <w:spacing w:after="120"/>
        <w:ind w:firstLine="230"/>
        <w:jc w:val="both"/>
      </w:pPr>
      <w:r>
        <w:t>The remainder of this paper is organized as follows: Section II reviews related literature on supply chain analytics and route optimization. Section III describes the dataset and methodology. Section IV presents the exploratory data analysis. Section V summarizes key findings, and Section VI offers actionable recommendations. Section VII concludes with limitations and future research directions.</w:t>
      </w:r>
    </w:p>
    <w:p w14:paraId="42F2F1E9" w14:textId="77777777" w:rsidR="00791D12" w:rsidRDefault="00000000">
      <w:pPr>
        <w:spacing w:before="240" w:after="120"/>
        <w:jc w:val="center"/>
      </w:pPr>
      <w:r>
        <w:rPr>
          <w:b/>
          <w:bCs/>
        </w:rPr>
        <w:t>II. LITERATURE REVIEW</w:t>
      </w:r>
    </w:p>
    <w:p w14:paraId="7D375EF8" w14:textId="77777777" w:rsidR="00791D12" w:rsidRDefault="00000000">
      <w:pPr>
        <w:spacing w:after="120"/>
        <w:ind w:firstLine="230"/>
        <w:jc w:val="both"/>
      </w:pPr>
      <w:r>
        <w:t>Supply chain route optimization has been extensively studied in operations research and logistics literature. Chopra and Meindl [2] establish that transportation costs typically account for 30–40% of total supply chain expenditures, making route efficiency a primary lever for cost reduction. Their framework for network design decisions—including facility location and transportation mode selection—directly informs our analytical approach.</w:t>
      </w:r>
    </w:p>
    <w:p w14:paraId="50435371" w14:textId="77777777" w:rsidR="00791D12" w:rsidRDefault="00000000">
      <w:pPr>
        <w:spacing w:after="120"/>
        <w:ind w:firstLine="230"/>
        <w:jc w:val="both"/>
      </w:pPr>
      <w:r>
        <w:t>Recent advances in data-driven supply chain management have shifted focus from purely mathematical optimization models toward exploratory analytics that leverage large-scale shipment data. Waller and Fawcett [3] argue that descriptive and diagnostic analytics provide the foundational insights necessary before prescriptive optimization can be effectively applied. Our study aligns with this philosophy by conducting thorough EDA before formulating recommendations.</w:t>
      </w:r>
    </w:p>
    <w:p w14:paraId="41E4FFED" w14:textId="77777777" w:rsidR="00791D12" w:rsidRDefault="00000000">
      <w:pPr>
        <w:spacing w:after="120"/>
        <w:ind w:firstLine="230"/>
        <w:jc w:val="both"/>
      </w:pPr>
      <w:r>
        <w:t xml:space="preserve">In the context of last-mile delivery—the final leg from distribution </w:t>
      </w:r>
      <w:proofErr w:type="spellStart"/>
      <w:r>
        <w:t>center</w:t>
      </w:r>
      <w:proofErr w:type="spellEnd"/>
      <w:r>
        <w:t xml:space="preserve"> to customer—Mangiaracina et al. [4] identify geographic density, delivery time windows, and transportation mode as the three dominant factors influencing cost and performance. Their finding that urban deliveries cost 30–50% less per unit than rural deliveries </w:t>
      </w:r>
      <w:proofErr w:type="gramStart"/>
      <w:r>
        <w:t>resonates</w:t>
      </w:r>
      <w:proofErr w:type="gramEnd"/>
      <w:r>
        <w:t xml:space="preserve"> with patterns observed in our dataset, where rural Interior region routes exhibit higher lead times than coastal metropolitan corridors.</w:t>
      </w:r>
    </w:p>
    <w:p w14:paraId="093AF3D4" w14:textId="77777777" w:rsidR="00791D12" w:rsidRDefault="00000000">
      <w:pPr>
        <w:spacing w:after="120"/>
        <w:ind w:firstLine="230"/>
        <w:jc w:val="both"/>
      </w:pPr>
      <w:r>
        <w:t>The concept of shipping mode optimization has been explored by Simchi-Levi et al. [5], who demonstrate that dynamic mode selection—adjusting the transportation method based on order urgency, destination distance, and shipment volume—can reduce logistics costs by 10–15% without compromising service levels. Our analysis of Nassau Candy's four ship modes (Same Day, First Class, Second Class, Standard Class) builds on this framework.</w:t>
      </w:r>
    </w:p>
    <w:p w14:paraId="35A8BF7E" w14:textId="77777777" w:rsidR="00791D12" w:rsidRDefault="00000000">
      <w:pPr>
        <w:spacing w:after="120"/>
        <w:ind w:firstLine="230"/>
        <w:jc w:val="both"/>
      </w:pPr>
      <w:r>
        <w:t xml:space="preserve">Performance measurement in logistics has evolved beyond simple on-time delivery metrics. Gunasekaran et al. [6] propose a balanced scorecard approach incorporating cost, quality, flexibility, and time dimensions. Our Route Efficiency Score, which combines lead time, delay frequency, and cost efficiency </w:t>
      </w:r>
      <w:r>
        <w:lastRenderedPageBreak/>
        <w:t>into a single composite metric, reflects this multi-dimensional evaluation philosophy.</w:t>
      </w:r>
    </w:p>
    <w:p w14:paraId="25C71672" w14:textId="77777777" w:rsidR="00791D12" w:rsidRDefault="00000000">
      <w:pPr>
        <w:spacing w:after="120"/>
        <w:ind w:firstLine="230"/>
        <w:jc w:val="both"/>
      </w:pPr>
      <w:r>
        <w:t>Seasonal demand patterns in the confectionery industry have been documented by Quelch and Harding [7], who note that holiday seasons (Q4 and Valentine's Day in Q1) can increase shipping volumes by 200–300% over baseline levels. Managing these demand surges without degrading delivery performance requires proactive capacity planning and route pre-optimization, a challenge our temporal analysis directly addresses.</w:t>
      </w:r>
    </w:p>
    <w:p w14:paraId="61B4ECCD" w14:textId="77777777" w:rsidR="00791D12" w:rsidRDefault="00000000">
      <w:pPr>
        <w:spacing w:after="120"/>
        <w:ind w:firstLine="230"/>
        <w:jc w:val="both"/>
      </w:pPr>
      <w:r>
        <w:t>Geographic Information Systems (GIS) and spatial analytics have become increasingly important in logistics optimization. Miller and Shaw [8] demonstrate that spatial clustering of delivery destinations can reveal natural routing inefficiencies invisible to tabular analysis alone. Our choropleth mapping of state-level shipping performance follows this spatial analytics tradition.</w:t>
      </w:r>
    </w:p>
    <w:p w14:paraId="74ED690F" w14:textId="77777777" w:rsidR="00791D12" w:rsidRDefault="00000000">
      <w:pPr>
        <w:spacing w:before="240" w:after="120"/>
        <w:jc w:val="center"/>
      </w:pPr>
      <w:r>
        <w:rPr>
          <w:b/>
          <w:bCs/>
        </w:rPr>
        <w:t>III. DATASET AND METHODOLOGY</w:t>
      </w:r>
    </w:p>
    <w:p w14:paraId="52E45690" w14:textId="77777777" w:rsidR="00791D12" w:rsidRDefault="00000000">
      <w:pPr>
        <w:spacing w:before="160" w:after="100"/>
      </w:pPr>
      <w:r>
        <w:rPr>
          <w:b/>
          <w:bCs/>
          <w:i/>
          <w:iCs/>
        </w:rPr>
        <w:t>A. Data Description</w:t>
      </w:r>
    </w:p>
    <w:p w14:paraId="1CD9C4BB" w14:textId="77777777" w:rsidR="00791D12" w:rsidRDefault="00000000">
      <w:pPr>
        <w:spacing w:after="120"/>
        <w:ind w:firstLine="230"/>
        <w:jc w:val="both"/>
      </w:pPr>
      <w:r>
        <w:t>The dataset comprises 10,194 shipment records from Nassau Candy Distributor, covering orders placed across the United States. The raw dataset contains 18 attributes, which were expanded to 41 features through preprocessing and feature engineering. Table I summarizes the key feature categories.</w:t>
      </w:r>
    </w:p>
    <w:p w14:paraId="695CFB6B" w14:textId="77777777" w:rsidR="00791D12" w:rsidRDefault="00000000">
      <w:pPr>
        <w:spacing w:before="120" w:after="60"/>
        <w:jc w:val="center"/>
      </w:pPr>
      <w:r>
        <w:rPr>
          <w:b/>
          <w:bCs/>
          <w:sz w:val="16"/>
          <w:szCs w:val="16"/>
        </w:rPr>
        <w:t>TABLE I. DATASET FEATURE SUMMARY</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6"/>
        <w:gridCol w:w="796"/>
        <w:gridCol w:w="2918"/>
      </w:tblGrid>
      <w:tr w:rsidR="00791D12" w14:paraId="19D4B26D" w14:textId="77777777" w:rsidTr="008B179E">
        <w:tblPrEx>
          <w:tblCellMar>
            <w:top w:w="0" w:type="dxa"/>
            <w:bottom w:w="0" w:type="dxa"/>
          </w:tblCellMar>
        </w:tblPrEx>
        <w:trPr>
          <w:trHeight w:val="185"/>
        </w:trPr>
        <w:tc>
          <w:tcPr>
            <w:tcW w:w="1326" w:type="dxa"/>
            <w:shd w:val="clear" w:color="auto" w:fill="D9D9D9"/>
          </w:tcPr>
          <w:p w14:paraId="2F262EA2" w14:textId="77777777" w:rsidR="00791D12" w:rsidRDefault="00000000">
            <w:r>
              <w:rPr>
                <w:b/>
                <w:bCs/>
                <w:sz w:val="16"/>
                <w:szCs w:val="16"/>
              </w:rPr>
              <w:t>Category</w:t>
            </w:r>
          </w:p>
        </w:tc>
        <w:tc>
          <w:tcPr>
            <w:tcW w:w="796" w:type="dxa"/>
            <w:shd w:val="clear" w:color="auto" w:fill="D9D9D9"/>
          </w:tcPr>
          <w:p w14:paraId="66D7D2DE" w14:textId="77777777" w:rsidR="00791D12" w:rsidRDefault="00000000">
            <w:r>
              <w:rPr>
                <w:b/>
                <w:bCs/>
                <w:sz w:val="16"/>
                <w:szCs w:val="16"/>
              </w:rPr>
              <w:t>Count</w:t>
            </w:r>
          </w:p>
        </w:tc>
        <w:tc>
          <w:tcPr>
            <w:tcW w:w="2918" w:type="dxa"/>
            <w:shd w:val="clear" w:color="auto" w:fill="D9D9D9"/>
          </w:tcPr>
          <w:p w14:paraId="00C17C93" w14:textId="77777777" w:rsidR="00791D12" w:rsidRDefault="00000000">
            <w:r>
              <w:rPr>
                <w:b/>
                <w:bCs/>
                <w:sz w:val="16"/>
                <w:szCs w:val="16"/>
              </w:rPr>
              <w:t>Key Features</w:t>
            </w:r>
          </w:p>
        </w:tc>
      </w:tr>
      <w:tr w:rsidR="00791D12" w14:paraId="456205E8" w14:textId="77777777" w:rsidTr="008B179E">
        <w:tblPrEx>
          <w:tblCellMar>
            <w:top w:w="0" w:type="dxa"/>
            <w:bottom w:w="0" w:type="dxa"/>
          </w:tblCellMar>
        </w:tblPrEx>
        <w:trPr>
          <w:trHeight w:val="383"/>
        </w:trPr>
        <w:tc>
          <w:tcPr>
            <w:tcW w:w="1326" w:type="dxa"/>
          </w:tcPr>
          <w:p w14:paraId="0FCDBAB8" w14:textId="77777777" w:rsidR="00791D12" w:rsidRDefault="00000000">
            <w:r>
              <w:rPr>
                <w:sz w:val="16"/>
                <w:szCs w:val="16"/>
              </w:rPr>
              <w:t>Order Info</w:t>
            </w:r>
          </w:p>
        </w:tc>
        <w:tc>
          <w:tcPr>
            <w:tcW w:w="796" w:type="dxa"/>
          </w:tcPr>
          <w:p w14:paraId="6280EFE2" w14:textId="77777777" w:rsidR="00791D12" w:rsidRDefault="00000000">
            <w:r>
              <w:rPr>
                <w:sz w:val="16"/>
                <w:szCs w:val="16"/>
              </w:rPr>
              <w:t>6</w:t>
            </w:r>
          </w:p>
        </w:tc>
        <w:tc>
          <w:tcPr>
            <w:tcW w:w="2918" w:type="dxa"/>
          </w:tcPr>
          <w:p w14:paraId="077F9ACB" w14:textId="77777777" w:rsidR="00791D12" w:rsidRDefault="00000000">
            <w:r>
              <w:rPr>
                <w:sz w:val="16"/>
                <w:szCs w:val="16"/>
              </w:rPr>
              <w:t>Order ID, Order Date, Ship Date, Customer ID, Ship Mode, Row ID</w:t>
            </w:r>
          </w:p>
        </w:tc>
      </w:tr>
      <w:tr w:rsidR="00791D12" w14:paraId="6D134483" w14:textId="77777777" w:rsidTr="008B179E">
        <w:tblPrEx>
          <w:tblCellMar>
            <w:top w:w="0" w:type="dxa"/>
            <w:bottom w:w="0" w:type="dxa"/>
          </w:tblCellMar>
        </w:tblPrEx>
        <w:trPr>
          <w:trHeight w:val="371"/>
        </w:trPr>
        <w:tc>
          <w:tcPr>
            <w:tcW w:w="1326" w:type="dxa"/>
          </w:tcPr>
          <w:p w14:paraId="5C897CE8" w14:textId="77777777" w:rsidR="00791D12" w:rsidRDefault="00000000">
            <w:r>
              <w:rPr>
                <w:sz w:val="16"/>
                <w:szCs w:val="16"/>
              </w:rPr>
              <w:t>Geographic</w:t>
            </w:r>
          </w:p>
        </w:tc>
        <w:tc>
          <w:tcPr>
            <w:tcW w:w="796" w:type="dxa"/>
          </w:tcPr>
          <w:p w14:paraId="2189B224" w14:textId="77777777" w:rsidR="00791D12" w:rsidRDefault="00000000">
            <w:r>
              <w:rPr>
                <w:sz w:val="16"/>
                <w:szCs w:val="16"/>
              </w:rPr>
              <w:t>5</w:t>
            </w:r>
          </w:p>
        </w:tc>
        <w:tc>
          <w:tcPr>
            <w:tcW w:w="2918" w:type="dxa"/>
          </w:tcPr>
          <w:p w14:paraId="3A83CB19" w14:textId="77777777" w:rsidR="00791D12" w:rsidRDefault="00000000">
            <w:r>
              <w:rPr>
                <w:sz w:val="16"/>
                <w:szCs w:val="16"/>
              </w:rPr>
              <w:t>Country, City, State/Province, Postal Code, Region</w:t>
            </w:r>
          </w:p>
        </w:tc>
      </w:tr>
      <w:tr w:rsidR="00791D12" w14:paraId="428B8FB1" w14:textId="77777777" w:rsidTr="008B179E">
        <w:tblPrEx>
          <w:tblCellMar>
            <w:top w:w="0" w:type="dxa"/>
            <w:bottom w:w="0" w:type="dxa"/>
          </w:tblCellMar>
        </w:tblPrEx>
        <w:trPr>
          <w:trHeight w:val="185"/>
        </w:trPr>
        <w:tc>
          <w:tcPr>
            <w:tcW w:w="1326" w:type="dxa"/>
          </w:tcPr>
          <w:p w14:paraId="17384BE8" w14:textId="77777777" w:rsidR="00791D12" w:rsidRDefault="00000000">
            <w:r>
              <w:rPr>
                <w:sz w:val="16"/>
                <w:szCs w:val="16"/>
              </w:rPr>
              <w:t>Product</w:t>
            </w:r>
          </w:p>
        </w:tc>
        <w:tc>
          <w:tcPr>
            <w:tcW w:w="796" w:type="dxa"/>
          </w:tcPr>
          <w:p w14:paraId="65C4AF90" w14:textId="77777777" w:rsidR="00791D12" w:rsidRDefault="00000000">
            <w:r>
              <w:rPr>
                <w:sz w:val="16"/>
                <w:szCs w:val="16"/>
              </w:rPr>
              <w:t>4</w:t>
            </w:r>
          </w:p>
        </w:tc>
        <w:tc>
          <w:tcPr>
            <w:tcW w:w="2918" w:type="dxa"/>
          </w:tcPr>
          <w:p w14:paraId="45900E90" w14:textId="77777777" w:rsidR="00791D12" w:rsidRDefault="00000000">
            <w:r>
              <w:rPr>
                <w:sz w:val="16"/>
                <w:szCs w:val="16"/>
              </w:rPr>
              <w:t>Product ID, Product Name, Division, Units</w:t>
            </w:r>
          </w:p>
        </w:tc>
      </w:tr>
      <w:tr w:rsidR="00791D12" w14:paraId="538B523C" w14:textId="77777777" w:rsidTr="008B179E">
        <w:tblPrEx>
          <w:tblCellMar>
            <w:top w:w="0" w:type="dxa"/>
            <w:bottom w:w="0" w:type="dxa"/>
          </w:tblCellMar>
        </w:tblPrEx>
        <w:trPr>
          <w:trHeight w:val="383"/>
        </w:trPr>
        <w:tc>
          <w:tcPr>
            <w:tcW w:w="1326" w:type="dxa"/>
          </w:tcPr>
          <w:p w14:paraId="7F1449EC" w14:textId="77777777" w:rsidR="00791D12" w:rsidRDefault="00000000">
            <w:r>
              <w:rPr>
                <w:sz w:val="16"/>
                <w:szCs w:val="16"/>
              </w:rPr>
              <w:t>Financial</w:t>
            </w:r>
          </w:p>
        </w:tc>
        <w:tc>
          <w:tcPr>
            <w:tcW w:w="796" w:type="dxa"/>
          </w:tcPr>
          <w:p w14:paraId="4864CDA8" w14:textId="77777777" w:rsidR="00791D12" w:rsidRDefault="00000000">
            <w:r>
              <w:rPr>
                <w:sz w:val="16"/>
                <w:szCs w:val="16"/>
              </w:rPr>
              <w:t>5</w:t>
            </w:r>
          </w:p>
        </w:tc>
        <w:tc>
          <w:tcPr>
            <w:tcW w:w="2918" w:type="dxa"/>
          </w:tcPr>
          <w:p w14:paraId="5E3287A9" w14:textId="77777777" w:rsidR="00791D12" w:rsidRDefault="00000000">
            <w:r>
              <w:rPr>
                <w:sz w:val="16"/>
                <w:szCs w:val="16"/>
              </w:rPr>
              <w:t>Sales, Gross Profit, Cost, Profit Margin (%), Revenue Per Unit</w:t>
            </w:r>
          </w:p>
        </w:tc>
      </w:tr>
      <w:tr w:rsidR="00791D12" w14:paraId="1A2148BA" w14:textId="77777777" w:rsidTr="008B179E">
        <w:tblPrEx>
          <w:tblCellMar>
            <w:top w:w="0" w:type="dxa"/>
            <w:bottom w:w="0" w:type="dxa"/>
          </w:tblCellMar>
        </w:tblPrEx>
        <w:trPr>
          <w:trHeight w:val="569"/>
        </w:trPr>
        <w:tc>
          <w:tcPr>
            <w:tcW w:w="1326" w:type="dxa"/>
          </w:tcPr>
          <w:p w14:paraId="22DE9A98" w14:textId="77777777" w:rsidR="00791D12" w:rsidRDefault="00000000">
            <w:r>
              <w:rPr>
                <w:sz w:val="16"/>
                <w:szCs w:val="16"/>
              </w:rPr>
              <w:t>Shipping Perf.</w:t>
            </w:r>
          </w:p>
        </w:tc>
        <w:tc>
          <w:tcPr>
            <w:tcW w:w="796" w:type="dxa"/>
          </w:tcPr>
          <w:p w14:paraId="50DD880B" w14:textId="77777777" w:rsidR="00791D12" w:rsidRDefault="00000000">
            <w:r>
              <w:rPr>
                <w:sz w:val="16"/>
                <w:szCs w:val="16"/>
              </w:rPr>
              <w:t>8</w:t>
            </w:r>
          </w:p>
        </w:tc>
        <w:tc>
          <w:tcPr>
            <w:tcW w:w="2918" w:type="dxa"/>
          </w:tcPr>
          <w:p w14:paraId="5DB8EB21" w14:textId="77777777" w:rsidR="00791D12" w:rsidRDefault="00000000">
            <w:r>
              <w:rPr>
                <w:sz w:val="16"/>
                <w:szCs w:val="16"/>
              </w:rPr>
              <w:t>Shipping Days, Delay Flag, Delay Status, Route Efficiency Score, Lead Time Category, Delay Bucket</w:t>
            </w:r>
          </w:p>
        </w:tc>
      </w:tr>
      <w:tr w:rsidR="00791D12" w14:paraId="46D33E01" w14:textId="77777777" w:rsidTr="008B179E">
        <w:tblPrEx>
          <w:tblCellMar>
            <w:top w:w="0" w:type="dxa"/>
            <w:bottom w:w="0" w:type="dxa"/>
          </w:tblCellMar>
        </w:tblPrEx>
        <w:trPr>
          <w:trHeight w:val="557"/>
        </w:trPr>
        <w:tc>
          <w:tcPr>
            <w:tcW w:w="1326" w:type="dxa"/>
          </w:tcPr>
          <w:p w14:paraId="09EFC517" w14:textId="77777777" w:rsidR="00791D12" w:rsidRDefault="00000000">
            <w:r>
              <w:rPr>
                <w:sz w:val="16"/>
                <w:szCs w:val="16"/>
              </w:rPr>
              <w:t>Derived Routes</w:t>
            </w:r>
          </w:p>
        </w:tc>
        <w:tc>
          <w:tcPr>
            <w:tcW w:w="796" w:type="dxa"/>
          </w:tcPr>
          <w:p w14:paraId="4E68BBB3" w14:textId="77777777" w:rsidR="00791D12" w:rsidRDefault="00000000">
            <w:r>
              <w:rPr>
                <w:sz w:val="16"/>
                <w:szCs w:val="16"/>
              </w:rPr>
              <w:t>6</w:t>
            </w:r>
          </w:p>
        </w:tc>
        <w:tc>
          <w:tcPr>
            <w:tcW w:w="2918" w:type="dxa"/>
          </w:tcPr>
          <w:p w14:paraId="22F5B2A6" w14:textId="77777777" w:rsidR="00791D12" w:rsidRDefault="00000000">
            <w:r>
              <w:rPr>
                <w:sz w:val="16"/>
                <w:szCs w:val="16"/>
              </w:rPr>
              <w:t xml:space="preserve">Route, </w:t>
            </w:r>
            <w:proofErr w:type="spellStart"/>
            <w:r>
              <w:rPr>
                <w:sz w:val="16"/>
                <w:szCs w:val="16"/>
              </w:rPr>
              <w:t>Route_Region_State</w:t>
            </w:r>
            <w:proofErr w:type="spellEnd"/>
            <w:r>
              <w:rPr>
                <w:sz w:val="16"/>
                <w:szCs w:val="16"/>
              </w:rPr>
              <w:t xml:space="preserve">, </w:t>
            </w:r>
            <w:proofErr w:type="spellStart"/>
            <w:r>
              <w:rPr>
                <w:sz w:val="16"/>
                <w:szCs w:val="16"/>
              </w:rPr>
              <w:t>Route_Factory_to_Region</w:t>
            </w:r>
            <w:proofErr w:type="spellEnd"/>
            <w:r>
              <w:rPr>
                <w:sz w:val="16"/>
                <w:szCs w:val="16"/>
              </w:rPr>
              <w:t xml:space="preserve">, </w:t>
            </w:r>
            <w:proofErr w:type="spellStart"/>
            <w:r>
              <w:rPr>
                <w:sz w:val="16"/>
                <w:szCs w:val="16"/>
              </w:rPr>
              <w:t>Route_Factory_to_State</w:t>
            </w:r>
            <w:proofErr w:type="spellEnd"/>
            <w:r>
              <w:rPr>
                <w:sz w:val="16"/>
                <w:szCs w:val="16"/>
              </w:rPr>
              <w:t>, etc.</w:t>
            </w:r>
          </w:p>
        </w:tc>
      </w:tr>
      <w:tr w:rsidR="00791D12" w14:paraId="6187BD16" w14:textId="77777777" w:rsidTr="008B179E">
        <w:tblPrEx>
          <w:tblCellMar>
            <w:top w:w="0" w:type="dxa"/>
            <w:bottom w:w="0" w:type="dxa"/>
          </w:tblCellMar>
        </w:tblPrEx>
        <w:trPr>
          <w:trHeight w:val="383"/>
        </w:trPr>
        <w:tc>
          <w:tcPr>
            <w:tcW w:w="1326" w:type="dxa"/>
          </w:tcPr>
          <w:p w14:paraId="30FE92F1" w14:textId="77777777" w:rsidR="00791D12" w:rsidRDefault="00000000">
            <w:r>
              <w:rPr>
                <w:sz w:val="16"/>
                <w:szCs w:val="16"/>
              </w:rPr>
              <w:t>Cost Efficiency</w:t>
            </w:r>
          </w:p>
        </w:tc>
        <w:tc>
          <w:tcPr>
            <w:tcW w:w="796" w:type="dxa"/>
          </w:tcPr>
          <w:p w14:paraId="3157F494" w14:textId="77777777" w:rsidR="00791D12" w:rsidRDefault="00000000">
            <w:r>
              <w:rPr>
                <w:sz w:val="16"/>
                <w:szCs w:val="16"/>
              </w:rPr>
              <w:t>3</w:t>
            </w:r>
          </w:p>
        </w:tc>
        <w:tc>
          <w:tcPr>
            <w:tcW w:w="2918" w:type="dxa"/>
          </w:tcPr>
          <w:p w14:paraId="164EA11E" w14:textId="77777777" w:rsidR="00791D12" w:rsidRDefault="00000000">
            <w:r>
              <w:rPr>
                <w:sz w:val="16"/>
                <w:szCs w:val="16"/>
              </w:rPr>
              <w:t>Cost Per Unit, Cost Per Ship Day, Sales Per Ship Day</w:t>
            </w:r>
          </w:p>
        </w:tc>
      </w:tr>
    </w:tbl>
    <w:p w14:paraId="2F6DCFE2" w14:textId="77777777" w:rsidR="00791D12" w:rsidRDefault="00000000">
      <w:pPr>
        <w:spacing w:before="160" w:after="100"/>
      </w:pPr>
      <w:r>
        <w:rPr>
          <w:b/>
          <w:bCs/>
          <w:i/>
          <w:iCs/>
        </w:rPr>
        <w:t>B. Data Preprocessing</w:t>
      </w:r>
    </w:p>
    <w:p w14:paraId="22CCD13E" w14:textId="77777777" w:rsidR="00791D12" w:rsidRDefault="00000000">
      <w:pPr>
        <w:spacing w:after="120"/>
        <w:ind w:firstLine="230"/>
        <w:jc w:val="both"/>
      </w:pPr>
      <w:r>
        <w:t>The preprocessing pipeline involved the following steps:</w:t>
      </w:r>
    </w:p>
    <w:p w14:paraId="2683FD95" w14:textId="77777777" w:rsidR="00791D12" w:rsidRDefault="00000000">
      <w:pPr>
        <w:spacing w:after="80"/>
        <w:ind w:left="260" w:hanging="260"/>
      </w:pPr>
      <w:r>
        <w:rPr>
          <w:b/>
          <w:bCs/>
        </w:rPr>
        <w:t xml:space="preserve">1) </w:t>
      </w:r>
      <w:r>
        <w:t>Date Parsing: Order Date and Ship Date columns were converted to datetime format, and Shipping Days was computed as the difference between the two.</w:t>
      </w:r>
    </w:p>
    <w:p w14:paraId="30A4109A" w14:textId="77777777" w:rsidR="00791D12" w:rsidRDefault="00000000">
      <w:pPr>
        <w:spacing w:after="80"/>
        <w:ind w:left="260" w:hanging="260"/>
      </w:pPr>
      <w:r>
        <w:rPr>
          <w:b/>
          <w:bCs/>
        </w:rPr>
        <w:t xml:space="preserve">2) </w:t>
      </w:r>
      <w:r>
        <w:t>Feature Engineering: We constructed several derived features.</w:t>
      </w:r>
    </w:p>
    <w:p w14:paraId="211DA4C3" w14:textId="77777777" w:rsidR="00791D12" w:rsidRDefault="00000000">
      <w:pPr>
        <w:spacing w:after="80"/>
        <w:ind w:left="230" w:hanging="130"/>
      </w:pPr>
      <w:r>
        <w:t>• Route Efficiency Score: A composite metric (0–30 scale) incorporating normalized lead time, delay incidence, and cost-per-ship-day ratios.</w:t>
      </w:r>
    </w:p>
    <w:p w14:paraId="094684E4" w14:textId="77777777" w:rsidR="00791D12" w:rsidRDefault="00000000">
      <w:pPr>
        <w:spacing w:after="80"/>
        <w:ind w:left="230" w:hanging="130"/>
      </w:pPr>
      <w:r>
        <w:t>• Delay Flag: Binary indicator (0/1) based on whether shipping days exceed a mode-specific SLA threshold.</w:t>
      </w:r>
    </w:p>
    <w:p w14:paraId="7164CD35" w14:textId="77777777" w:rsidR="00791D12" w:rsidRDefault="00000000">
      <w:pPr>
        <w:spacing w:after="80"/>
        <w:ind w:left="230" w:hanging="130"/>
      </w:pPr>
      <w:r>
        <w:t>• Lead Time Category: Categorical binning of shipping days into bands (e.g., "Fast," "Moderate," "Slow," "Very Slow").</w:t>
      </w:r>
    </w:p>
    <w:p w14:paraId="432154CD" w14:textId="77777777" w:rsidR="00791D12" w:rsidRDefault="00000000">
      <w:pPr>
        <w:spacing w:after="80"/>
        <w:ind w:left="230" w:hanging="130"/>
      </w:pPr>
      <w:r>
        <w:t>• Profit Margin (%): Computed as (Gross Profit / Sales) × 100.</w:t>
      </w:r>
    </w:p>
    <w:p w14:paraId="70BF21B3" w14:textId="77777777" w:rsidR="00791D12" w:rsidRDefault="00000000">
      <w:pPr>
        <w:spacing w:after="80"/>
        <w:ind w:left="230" w:hanging="130"/>
      </w:pPr>
      <w:r>
        <w:t>• Cost Per Unit: Cost / Units for per-unit cost analysis.</w:t>
      </w:r>
    </w:p>
    <w:p w14:paraId="6F7CB913" w14:textId="77777777" w:rsidR="00791D12" w:rsidRDefault="00000000">
      <w:pPr>
        <w:spacing w:after="80"/>
        <w:ind w:left="260" w:hanging="260"/>
      </w:pPr>
      <w:r>
        <w:rPr>
          <w:b/>
          <w:bCs/>
        </w:rPr>
        <w:t xml:space="preserve">3) </w:t>
      </w:r>
      <w:r>
        <w:t xml:space="preserve">Route Construction: Hierarchical route identifiers were generated at three levels: </w:t>
      </w:r>
      <w:proofErr w:type="spellStart"/>
      <w:r>
        <w:t>Factory→Region</w:t>
      </w:r>
      <w:proofErr w:type="spellEnd"/>
      <w:r>
        <w:t xml:space="preserve">, </w:t>
      </w:r>
      <w:proofErr w:type="spellStart"/>
      <w:r>
        <w:t>Factory→State</w:t>
      </w:r>
      <w:proofErr w:type="spellEnd"/>
      <w:r>
        <w:t xml:space="preserve">, and </w:t>
      </w:r>
      <w:proofErr w:type="spellStart"/>
      <w:r>
        <w:t>Factory→State→City</w:t>
      </w:r>
      <w:proofErr w:type="spellEnd"/>
      <w:r>
        <w:t>.</w:t>
      </w:r>
    </w:p>
    <w:p w14:paraId="1ED50138" w14:textId="77777777" w:rsidR="00791D12" w:rsidRDefault="00000000">
      <w:pPr>
        <w:spacing w:after="80"/>
        <w:ind w:left="260" w:hanging="260"/>
      </w:pPr>
      <w:r>
        <w:rPr>
          <w:b/>
          <w:bCs/>
        </w:rPr>
        <w:t xml:space="preserve">4) </w:t>
      </w:r>
      <w:r>
        <w:t>Temporal Features: Order Year, Month, Quarter, and Month Name were extracted to enable seasonal analysis.</w:t>
      </w:r>
    </w:p>
    <w:p w14:paraId="6C9C89CC" w14:textId="77777777" w:rsidR="00791D12" w:rsidRDefault="00000000">
      <w:pPr>
        <w:spacing w:before="160" w:after="100"/>
      </w:pPr>
      <w:r>
        <w:rPr>
          <w:b/>
          <w:bCs/>
          <w:i/>
          <w:iCs/>
        </w:rPr>
        <w:t>C. Analytical Methodology</w:t>
      </w:r>
    </w:p>
    <w:p w14:paraId="4C5F49C0" w14:textId="77777777" w:rsidR="00791D12" w:rsidRDefault="00000000">
      <w:pPr>
        <w:spacing w:after="120"/>
        <w:ind w:firstLine="230"/>
        <w:jc w:val="both"/>
      </w:pPr>
      <w:r>
        <w:t>Our analysis follows a structured EDA framework:</w:t>
      </w:r>
    </w:p>
    <w:p w14:paraId="7E9D214A" w14:textId="77777777" w:rsidR="00791D12" w:rsidRDefault="00000000">
      <w:pPr>
        <w:spacing w:after="80"/>
        <w:ind w:left="260" w:hanging="260"/>
      </w:pPr>
      <w:r>
        <w:rPr>
          <w:b/>
          <w:bCs/>
        </w:rPr>
        <w:t xml:space="preserve">1) </w:t>
      </w:r>
      <w:r>
        <w:t>Univariate Analysis: Distribution profiling of shipping days, efficiency scores, and financial metrics.</w:t>
      </w:r>
    </w:p>
    <w:p w14:paraId="6D130C37" w14:textId="77777777" w:rsidR="00791D12" w:rsidRDefault="00000000">
      <w:pPr>
        <w:spacing w:after="80"/>
        <w:ind w:left="260" w:hanging="260"/>
      </w:pPr>
      <w:r>
        <w:rPr>
          <w:b/>
          <w:bCs/>
        </w:rPr>
        <w:t xml:space="preserve">2) </w:t>
      </w:r>
      <w:r>
        <w:t>Bivariate &amp; Multivariate Analysis: Cross-tabulation of shipping performance against geographic, temporal, and ship mode dimensions.</w:t>
      </w:r>
    </w:p>
    <w:p w14:paraId="0EC88F65" w14:textId="77777777" w:rsidR="00791D12" w:rsidRDefault="00000000">
      <w:pPr>
        <w:spacing w:after="80"/>
        <w:ind w:left="260" w:hanging="260"/>
      </w:pPr>
      <w:r>
        <w:rPr>
          <w:b/>
          <w:bCs/>
        </w:rPr>
        <w:t xml:space="preserve">3) </w:t>
      </w:r>
      <w:r>
        <w:t>Geographic Visualization: Choropleth mapping of state-level metrics to identify spatial patterns.</w:t>
      </w:r>
    </w:p>
    <w:p w14:paraId="3F31E172" w14:textId="77777777" w:rsidR="00791D12" w:rsidRDefault="00000000">
      <w:pPr>
        <w:spacing w:after="80"/>
        <w:ind w:left="260" w:hanging="260"/>
      </w:pPr>
      <w:r>
        <w:rPr>
          <w:b/>
          <w:bCs/>
        </w:rPr>
        <w:t xml:space="preserve">4) </w:t>
      </w:r>
      <w:r>
        <w:t>Trend Analysis: Time-series decomposition of shipping volume and lead times to detect seasonal patterns.</w:t>
      </w:r>
    </w:p>
    <w:p w14:paraId="77A29E63" w14:textId="77777777" w:rsidR="00791D12" w:rsidRDefault="00000000">
      <w:pPr>
        <w:spacing w:after="80"/>
        <w:ind w:left="260" w:hanging="260"/>
      </w:pPr>
      <w:r>
        <w:rPr>
          <w:b/>
          <w:bCs/>
        </w:rPr>
        <w:t xml:space="preserve">5) </w:t>
      </w:r>
      <w:r>
        <w:t>Comparative Benchmarking: Ship mode and regional performance comparison against dataset-wide baselines.</w:t>
      </w:r>
    </w:p>
    <w:p w14:paraId="34A34336" w14:textId="77777777" w:rsidR="00791D12" w:rsidRDefault="00000000">
      <w:pPr>
        <w:spacing w:after="120"/>
        <w:ind w:firstLine="230"/>
        <w:jc w:val="both"/>
      </w:pPr>
      <w:r>
        <w:t xml:space="preserve">All analyses were conducted using Python (Pandas, </w:t>
      </w:r>
      <w:proofErr w:type="spellStart"/>
      <w:r>
        <w:t>Plotly</w:t>
      </w:r>
      <w:proofErr w:type="spellEnd"/>
      <w:r>
        <w:t xml:space="preserve">) with an interactive </w:t>
      </w:r>
      <w:proofErr w:type="spellStart"/>
      <w:r>
        <w:t>Streamlit</w:t>
      </w:r>
      <w:proofErr w:type="spellEnd"/>
      <w:r>
        <w:t xml:space="preserve"> dashboard for dynamic exploration.</w:t>
      </w:r>
    </w:p>
    <w:p w14:paraId="76564335" w14:textId="77777777" w:rsidR="00791D12" w:rsidRDefault="00000000">
      <w:pPr>
        <w:spacing w:before="240" w:after="120"/>
        <w:jc w:val="center"/>
      </w:pPr>
      <w:r>
        <w:rPr>
          <w:b/>
          <w:bCs/>
        </w:rPr>
        <w:t>IV. EXPLORATORY DATA ANALYSIS</w:t>
      </w:r>
    </w:p>
    <w:p w14:paraId="665D4B3A" w14:textId="77777777" w:rsidR="00791D12" w:rsidRDefault="00000000">
      <w:pPr>
        <w:spacing w:before="160" w:after="100"/>
      </w:pPr>
      <w:r>
        <w:rPr>
          <w:b/>
          <w:bCs/>
          <w:i/>
          <w:iCs/>
        </w:rPr>
        <w:t>A. Regional Performance Analysis</w:t>
      </w:r>
    </w:p>
    <w:p w14:paraId="241BDD65" w14:textId="77777777" w:rsidR="00791D12" w:rsidRDefault="00000000">
      <w:pPr>
        <w:spacing w:after="120"/>
        <w:ind w:firstLine="230"/>
        <w:jc w:val="both"/>
      </w:pPr>
      <w:r>
        <w:t>The dataset spans four primary regions: Interior, Atlantic, Pacific, and Border. Table II presents the regional performance summary.</w:t>
      </w:r>
    </w:p>
    <w:p w14:paraId="5C091FB1" w14:textId="77777777" w:rsidR="00791D12" w:rsidRDefault="00000000">
      <w:pPr>
        <w:spacing w:before="120" w:after="60"/>
        <w:jc w:val="center"/>
      </w:pPr>
      <w:r>
        <w:rPr>
          <w:b/>
          <w:bCs/>
          <w:sz w:val="16"/>
          <w:szCs w:val="16"/>
        </w:rPr>
        <w:t>TABLE II. REGIONAL SHIPPING PERFORMANCE SUMMARY</w:t>
      </w:r>
    </w:p>
    <w:tbl>
      <w:tblPr>
        <w:tblW w:w="5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300"/>
        <w:gridCol w:w="1300"/>
        <w:gridCol w:w="1800"/>
      </w:tblGrid>
      <w:tr w:rsidR="00791D12" w14:paraId="59BA1807" w14:textId="77777777">
        <w:tblPrEx>
          <w:tblCellMar>
            <w:top w:w="0" w:type="dxa"/>
            <w:bottom w:w="0" w:type="dxa"/>
          </w:tblCellMar>
        </w:tblPrEx>
        <w:tc>
          <w:tcPr>
            <w:tcW w:w="1300" w:type="dxa"/>
            <w:shd w:val="clear" w:color="auto" w:fill="D9D9D9"/>
          </w:tcPr>
          <w:p w14:paraId="6511A563" w14:textId="77777777" w:rsidR="00791D12" w:rsidRDefault="00000000">
            <w:r>
              <w:rPr>
                <w:b/>
                <w:bCs/>
                <w:sz w:val="16"/>
                <w:szCs w:val="16"/>
              </w:rPr>
              <w:t>Region</w:t>
            </w:r>
          </w:p>
        </w:tc>
        <w:tc>
          <w:tcPr>
            <w:tcW w:w="1300" w:type="dxa"/>
            <w:shd w:val="clear" w:color="auto" w:fill="D9D9D9"/>
          </w:tcPr>
          <w:p w14:paraId="7102A9DE" w14:textId="77777777" w:rsidR="00791D12" w:rsidRDefault="00000000">
            <w:r>
              <w:rPr>
                <w:b/>
                <w:bCs/>
                <w:sz w:val="16"/>
                <w:szCs w:val="16"/>
              </w:rPr>
              <w:t>Orders</w:t>
            </w:r>
          </w:p>
        </w:tc>
        <w:tc>
          <w:tcPr>
            <w:tcW w:w="1300" w:type="dxa"/>
            <w:shd w:val="clear" w:color="auto" w:fill="D9D9D9"/>
          </w:tcPr>
          <w:p w14:paraId="0E3BA0DD" w14:textId="77777777" w:rsidR="00791D12" w:rsidRDefault="00000000">
            <w:proofErr w:type="spellStart"/>
            <w:r>
              <w:rPr>
                <w:b/>
                <w:bCs/>
                <w:sz w:val="16"/>
                <w:szCs w:val="16"/>
              </w:rPr>
              <w:t>Avg</w:t>
            </w:r>
            <w:proofErr w:type="spellEnd"/>
            <w:r>
              <w:rPr>
                <w:b/>
                <w:bCs/>
                <w:sz w:val="16"/>
                <w:szCs w:val="16"/>
              </w:rPr>
              <w:t xml:space="preserve"> Days</w:t>
            </w:r>
          </w:p>
        </w:tc>
        <w:tc>
          <w:tcPr>
            <w:tcW w:w="1800" w:type="dxa"/>
            <w:shd w:val="clear" w:color="auto" w:fill="D9D9D9"/>
          </w:tcPr>
          <w:p w14:paraId="2096F177" w14:textId="77777777" w:rsidR="00791D12" w:rsidRDefault="00000000">
            <w:r>
              <w:rPr>
                <w:b/>
                <w:bCs/>
                <w:sz w:val="16"/>
                <w:szCs w:val="16"/>
              </w:rPr>
              <w:t>Efficiency / On-Time %</w:t>
            </w:r>
          </w:p>
        </w:tc>
      </w:tr>
      <w:tr w:rsidR="00791D12" w14:paraId="10FB13AD" w14:textId="77777777">
        <w:tblPrEx>
          <w:tblCellMar>
            <w:top w:w="0" w:type="dxa"/>
            <w:bottom w:w="0" w:type="dxa"/>
          </w:tblCellMar>
        </w:tblPrEx>
        <w:tc>
          <w:tcPr>
            <w:tcW w:w="1300" w:type="dxa"/>
          </w:tcPr>
          <w:p w14:paraId="5338AE6A" w14:textId="77777777" w:rsidR="00791D12" w:rsidRDefault="00000000">
            <w:r>
              <w:rPr>
                <w:sz w:val="16"/>
                <w:szCs w:val="16"/>
              </w:rPr>
              <w:t>Interior</w:t>
            </w:r>
          </w:p>
        </w:tc>
        <w:tc>
          <w:tcPr>
            <w:tcW w:w="1300" w:type="dxa"/>
          </w:tcPr>
          <w:p w14:paraId="40880B99" w14:textId="77777777" w:rsidR="00791D12" w:rsidRDefault="00000000">
            <w:r>
              <w:rPr>
                <w:sz w:val="16"/>
                <w:szCs w:val="16"/>
              </w:rPr>
              <w:t>High</w:t>
            </w:r>
          </w:p>
        </w:tc>
        <w:tc>
          <w:tcPr>
            <w:tcW w:w="1300" w:type="dxa"/>
          </w:tcPr>
          <w:p w14:paraId="3E31C66C" w14:textId="77777777" w:rsidR="00791D12" w:rsidRDefault="00000000">
            <w:r>
              <w:rPr>
                <w:sz w:val="16"/>
                <w:szCs w:val="16"/>
              </w:rPr>
              <w:t>Highest</w:t>
            </w:r>
          </w:p>
        </w:tc>
        <w:tc>
          <w:tcPr>
            <w:tcW w:w="1800" w:type="dxa"/>
          </w:tcPr>
          <w:p w14:paraId="1695EEE9" w14:textId="77777777" w:rsidR="00791D12" w:rsidRDefault="00000000">
            <w:r>
              <w:rPr>
                <w:sz w:val="16"/>
                <w:szCs w:val="16"/>
              </w:rPr>
              <w:t>Moderate / Lowest</w:t>
            </w:r>
          </w:p>
        </w:tc>
      </w:tr>
      <w:tr w:rsidR="00791D12" w14:paraId="5240C844" w14:textId="77777777">
        <w:tblPrEx>
          <w:tblCellMar>
            <w:top w:w="0" w:type="dxa"/>
            <w:bottom w:w="0" w:type="dxa"/>
          </w:tblCellMar>
        </w:tblPrEx>
        <w:tc>
          <w:tcPr>
            <w:tcW w:w="1300" w:type="dxa"/>
          </w:tcPr>
          <w:p w14:paraId="0B2E7BB7" w14:textId="77777777" w:rsidR="00791D12" w:rsidRDefault="00000000">
            <w:r>
              <w:rPr>
                <w:sz w:val="16"/>
                <w:szCs w:val="16"/>
              </w:rPr>
              <w:t>Atlantic</w:t>
            </w:r>
          </w:p>
        </w:tc>
        <w:tc>
          <w:tcPr>
            <w:tcW w:w="1300" w:type="dxa"/>
          </w:tcPr>
          <w:p w14:paraId="114CC0DF" w14:textId="77777777" w:rsidR="00791D12" w:rsidRDefault="00000000">
            <w:r>
              <w:rPr>
                <w:sz w:val="16"/>
                <w:szCs w:val="16"/>
              </w:rPr>
              <w:t>Moderate</w:t>
            </w:r>
          </w:p>
        </w:tc>
        <w:tc>
          <w:tcPr>
            <w:tcW w:w="1300" w:type="dxa"/>
          </w:tcPr>
          <w:p w14:paraId="488FF6FD" w14:textId="77777777" w:rsidR="00791D12" w:rsidRDefault="00000000">
            <w:r>
              <w:rPr>
                <w:sz w:val="16"/>
                <w:szCs w:val="16"/>
              </w:rPr>
              <w:t>Moderate</w:t>
            </w:r>
          </w:p>
        </w:tc>
        <w:tc>
          <w:tcPr>
            <w:tcW w:w="1800" w:type="dxa"/>
          </w:tcPr>
          <w:p w14:paraId="560328CB" w14:textId="77777777" w:rsidR="00791D12" w:rsidRDefault="00000000">
            <w:r>
              <w:rPr>
                <w:sz w:val="16"/>
                <w:szCs w:val="16"/>
              </w:rPr>
              <w:t>High / Moderate</w:t>
            </w:r>
          </w:p>
        </w:tc>
      </w:tr>
      <w:tr w:rsidR="00791D12" w14:paraId="57EEC262" w14:textId="77777777">
        <w:tblPrEx>
          <w:tblCellMar>
            <w:top w:w="0" w:type="dxa"/>
            <w:bottom w:w="0" w:type="dxa"/>
          </w:tblCellMar>
        </w:tblPrEx>
        <w:tc>
          <w:tcPr>
            <w:tcW w:w="1300" w:type="dxa"/>
          </w:tcPr>
          <w:p w14:paraId="1A4FAE59" w14:textId="77777777" w:rsidR="00791D12" w:rsidRDefault="00000000">
            <w:r>
              <w:rPr>
                <w:sz w:val="16"/>
                <w:szCs w:val="16"/>
              </w:rPr>
              <w:t>Pacific</w:t>
            </w:r>
          </w:p>
        </w:tc>
        <w:tc>
          <w:tcPr>
            <w:tcW w:w="1300" w:type="dxa"/>
          </w:tcPr>
          <w:p w14:paraId="7DE05768" w14:textId="77777777" w:rsidR="00791D12" w:rsidRDefault="00000000">
            <w:r>
              <w:rPr>
                <w:sz w:val="16"/>
                <w:szCs w:val="16"/>
              </w:rPr>
              <w:t>Moderate</w:t>
            </w:r>
          </w:p>
        </w:tc>
        <w:tc>
          <w:tcPr>
            <w:tcW w:w="1300" w:type="dxa"/>
          </w:tcPr>
          <w:p w14:paraId="22863123" w14:textId="77777777" w:rsidR="00791D12" w:rsidRDefault="00000000">
            <w:r>
              <w:rPr>
                <w:sz w:val="16"/>
                <w:szCs w:val="16"/>
              </w:rPr>
              <w:t>Low</w:t>
            </w:r>
          </w:p>
        </w:tc>
        <w:tc>
          <w:tcPr>
            <w:tcW w:w="1800" w:type="dxa"/>
          </w:tcPr>
          <w:p w14:paraId="1117C50A" w14:textId="77777777" w:rsidR="00791D12" w:rsidRDefault="00000000">
            <w:r>
              <w:rPr>
                <w:sz w:val="16"/>
                <w:szCs w:val="16"/>
              </w:rPr>
              <w:t>High / High</w:t>
            </w:r>
          </w:p>
        </w:tc>
      </w:tr>
      <w:tr w:rsidR="00791D12" w14:paraId="5FD0E3DC" w14:textId="77777777">
        <w:tblPrEx>
          <w:tblCellMar>
            <w:top w:w="0" w:type="dxa"/>
            <w:bottom w:w="0" w:type="dxa"/>
          </w:tblCellMar>
        </w:tblPrEx>
        <w:tc>
          <w:tcPr>
            <w:tcW w:w="1300" w:type="dxa"/>
          </w:tcPr>
          <w:p w14:paraId="7DA41AD1" w14:textId="77777777" w:rsidR="00791D12" w:rsidRDefault="00000000">
            <w:r>
              <w:rPr>
                <w:sz w:val="16"/>
                <w:szCs w:val="16"/>
              </w:rPr>
              <w:t>Border</w:t>
            </w:r>
          </w:p>
        </w:tc>
        <w:tc>
          <w:tcPr>
            <w:tcW w:w="1300" w:type="dxa"/>
          </w:tcPr>
          <w:p w14:paraId="1BA5AF60" w14:textId="77777777" w:rsidR="00791D12" w:rsidRDefault="00000000">
            <w:r>
              <w:rPr>
                <w:sz w:val="16"/>
                <w:szCs w:val="16"/>
              </w:rPr>
              <w:t>Low</w:t>
            </w:r>
          </w:p>
        </w:tc>
        <w:tc>
          <w:tcPr>
            <w:tcW w:w="1300" w:type="dxa"/>
          </w:tcPr>
          <w:p w14:paraId="3E45BBA2" w14:textId="77777777" w:rsidR="00791D12" w:rsidRDefault="00000000">
            <w:r>
              <w:rPr>
                <w:sz w:val="16"/>
                <w:szCs w:val="16"/>
              </w:rPr>
              <w:t>Variable</w:t>
            </w:r>
          </w:p>
        </w:tc>
        <w:tc>
          <w:tcPr>
            <w:tcW w:w="1800" w:type="dxa"/>
          </w:tcPr>
          <w:p w14:paraId="143C13D1" w14:textId="77777777" w:rsidR="00791D12" w:rsidRDefault="00000000">
            <w:r>
              <w:rPr>
                <w:sz w:val="16"/>
                <w:szCs w:val="16"/>
              </w:rPr>
              <w:t>Variable / Variable</w:t>
            </w:r>
          </w:p>
        </w:tc>
      </w:tr>
    </w:tbl>
    <w:p w14:paraId="6BC24BD5" w14:textId="77777777" w:rsidR="00791D12" w:rsidRDefault="00000000">
      <w:pPr>
        <w:spacing w:after="120"/>
        <w:ind w:firstLine="230"/>
        <w:jc w:val="both"/>
      </w:pPr>
      <w:r>
        <w:t>The Interior region consistently exhibits the longest average shipping days, attributable to greater geographic distance from Nassau Candy's northeastern factory location and lower infrastructure density in rural corridors. In contrast, Pacific and Atlantic regions benefit from established logistics corridors and higher population density in destination cities.</w:t>
      </w:r>
    </w:p>
    <w:p w14:paraId="17E40D36" w14:textId="77777777" w:rsidR="00791D12" w:rsidRDefault="00000000">
      <w:pPr>
        <w:spacing w:before="160" w:after="100"/>
      </w:pPr>
      <w:r>
        <w:rPr>
          <w:b/>
          <w:bCs/>
          <w:i/>
          <w:iCs/>
        </w:rPr>
        <w:t>B. Ship Mode Analysis</w:t>
      </w:r>
    </w:p>
    <w:p w14:paraId="22DB9A93" w14:textId="77777777" w:rsidR="00791D12" w:rsidRDefault="00000000">
      <w:pPr>
        <w:spacing w:after="120"/>
        <w:ind w:firstLine="230"/>
        <w:jc w:val="both"/>
      </w:pPr>
      <w:r>
        <w:t>Nassau Candy offers four ship modes: Same Day, First Class, Second Class, and Standard Class. Our analysis reveals a significant performance hierarchy:</w:t>
      </w:r>
    </w:p>
    <w:p w14:paraId="5DC5B797" w14:textId="77777777" w:rsidR="00791D12" w:rsidRDefault="00000000">
      <w:pPr>
        <w:spacing w:after="80"/>
        <w:ind w:left="230" w:hanging="130"/>
      </w:pPr>
      <w:r>
        <w:t>• Same Day: Lowest average lead time but highest cost per unit. Used for premium/urgent orders, comprising the smallest share of total shipments.</w:t>
      </w:r>
    </w:p>
    <w:p w14:paraId="052112EC" w14:textId="77777777" w:rsidR="00791D12" w:rsidRDefault="00000000">
      <w:pPr>
        <w:spacing w:after="80"/>
        <w:ind w:left="230" w:hanging="130"/>
      </w:pPr>
      <w:r>
        <w:t>• First Class: Strong balance of speed and cost efficiency, with the highest on-time delivery rates.</w:t>
      </w:r>
    </w:p>
    <w:p w14:paraId="60DF8CE6" w14:textId="77777777" w:rsidR="00791D12" w:rsidRDefault="00000000">
      <w:pPr>
        <w:spacing w:after="80"/>
        <w:ind w:left="230" w:hanging="130"/>
      </w:pPr>
      <w:r>
        <w:lastRenderedPageBreak/>
        <w:t>• Second Class: Moderate performance across all metrics.</w:t>
      </w:r>
    </w:p>
    <w:p w14:paraId="7B2D30FD" w14:textId="77777777" w:rsidR="00791D12" w:rsidRDefault="00000000">
      <w:pPr>
        <w:spacing w:after="80"/>
        <w:ind w:left="230" w:hanging="130"/>
      </w:pPr>
      <w:r>
        <w:t>• Standard Class: Highest average shipping days, highest delay rates, but lowest cost per unit. Accounts for approximately 60% of all orders.</w:t>
      </w:r>
    </w:p>
    <w:p w14:paraId="0FBD4729" w14:textId="77777777" w:rsidR="00791D12" w:rsidRDefault="00000000">
      <w:pPr>
        <w:spacing w:after="120"/>
        <w:ind w:firstLine="230"/>
        <w:jc w:val="both"/>
      </w:pPr>
      <w:r>
        <w:t>The dominance of Standard Class creates a systemic drag on overall delivery performance metrics. While cost-effective on a per-unit basis, the elevated delay rate of Standard Class shipments disproportionately impacts customer satisfaction scores.</w:t>
      </w:r>
    </w:p>
    <w:p w14:paraId="6B5F9D13" w14:textId="77777777" w:rsidR="00791D12" w:rsidRDefault="00000000">
      <w:pPr>
        <w:spacing w:before="160" w:after="100"/>
      </w:pPr>
      <w:r>
        <w:rPr>
          <w:b/>
          <w:bCs/>
          <w:i/>
          <w:iCs/>
        </w:rPr>
        <w:t>C. Lead Time Distribution</w:t>
      </w:r>
    </w:p>
    <w:p w14:paraId="4E19D00C" w14:textId="77777777" w:rsidR="00791D12" w:rsidRDefault="00000000">
      <w:pPr>
        <w:spacing w:after="120"/>
        <w:ind w:firstLine="230"/>
        <w:jc w:val="both"/>
      </w:pPr>
      <w:r>
        <w:t>The distribution of shipping days is heavily right-skewed, with a long tail extending beyond 900 days for certain orders. This extreme variance suggests data quality issues or exceptional circumstances (e.g., backordered items, supply chain disruptions). The Lead Time Category breakdown reveals:</w:t>
      </w:r>
    </w:p>
    <w:p w14:paraId="4F4F36CC" w14:textId="77777777" w:rsidR="00791D12" w:rsidRDefault="00000000">
      <w:pPr>
        <w:spacing w:after="80"/>
        <w:ind w:left="230" w:hanging="130"/>
      </w:pPr>
      <w:r>
        <w:t xml:space="preserve">• Orders categorized as "Very Slow (&gt;2.5 Years)" warrant further investigation, as they may represent data anomalies or systemic </w:t>
      </w:r>
      <w:proofErr w:type="spellStart"/>
      <w:r>
        <w:t>fulfillment</w:t>
      </w:r>
      <w:proofErr w:type="spellEnd"/>
      <w:r>
        <w:t xml:space="preserve"> failures.</w:t>
      </w:r>
    </w:p>
    <w:p w14:paraId="2CF6132B" w14:textId="77777777" w:rsidR="00791D12" w:rsidRDefault="00000000">
      <w:pPr>
        <w:spacing w:after="80"/>
        <w:ind w:left="230" w:hanging="130"/>
      </w:pPr>
      <w:r>
        <w:t>• The median shipping time is significantly lower than the mean, confirming the right-skew and indicating that a minority of severely delayed orders inflate aggregate metrics.</w:t>
      </w:r>
    </w:p>
    <w:p w14:paraId="774A110A" w14:textId="77777777" w:rsidR="00791D12" w:rsidRDefault="00000000">
      <w:pPr>
        <w:spacing w:before="160" w:after="100"/>
      </w:pPr>
      <w:r>
        <w:rPr>
          <w:b/>
          <w:bCs/>
          <w:i/>
          <w:iCs/>
        </w:rPr>
        <w:t>D. Geographic Hotspot Analysis</w:t>
      </w:r>
    </w:p>
    <w:p w14:paraId="6F7CA437" w14:textId="77777777" w:rsidR="00791D12" w:rsidRDefault="00000000">
      <w:pPr>
        <w:spacing w:after="120"/>
        <w:ind w:firstLine="230"/>
        <w:jc w:val="both"/>
      </w:pPr>
      <w:r>
        <w:t>Choropleth mapping reveals distinct geographic patterns:</w:t>
      </w:r>
    </w:p>
    <w:p w14:paraId="1BB4CE4A" w14:textId="77777777" w:rsidR="00791D12" w:rsidRDefault="00000000">
      <w:pPr>
        <w:spacing w:after="80"/>
        <w:ind w:left="230" w:hanging="130"/>
      </w:pPr>
      <w:r>
        <w:t>• High-volume states (Texas, California, New York) show moderate efficiency scores, suggesting that while logistics infrastructure exists, volume-related congestion impacts lead times.</w:t>
      </w:r>
    </w:p>
    <w:p w14:paraId="025AAD8D" w14:textId="77777777" w:rsidR="00791D12" w:rsidRDefault="00000000">
      <w:pPr>
        <w:spacing w:after="80"/>
        <w:ind w:left="230" w:hanging="130"/>
      </w:pPr>
      <w:r>
        <w:t>• Low-volume states exhibit higher variance in efficiency scores, with some achieving excellent performance (likely due to simpler routing) and others showing poor performance (due to infrequent service).</w:t>
      </w:r>
    </w:p>
    <w:p w14:paraId="6BC0A454" w14:textId="77777777" w:rsidR="00791D12" w:rsidRDefault="00000000">
      <w:pPr>
        <w:spacing w:after="80"/>
        <w:ind w:left="230" w:hanging="130"/>
      </w:pPr>
      <w:r>
        <w:t>• States in the Southeast corridor (Georgia, Florida, North Carolina) demonstrate above-average delay rates despite moderate distances, potentially indicating carrier capacity constraints.</w:t>
      </w:r>
    </w:p>
    <w:p w14:paraId="586D2DDE" w14:textId="77777777" w:rsidR="00791D12" w:rsidRDefault="00000000">
      <w:pPr>
        <w:spacing w:before="160" w:after="100"/>
      </w:pPr>
      <w:r>
        <w:rPr>
          <w:b/>
          <w:bCs/>
          <w:i/>
          <w:iCs/>
        </w:rPr>
        <w:t>E. Delay Pattern Analysis</w:t>
      </w:r>
    </w:p>
    <w:p w14:paraId="6F857816" w14:textId="77777777" w:rsidR="00791D12" w:rsidRDefault="00000000">
      <w:pPr>
        <w:spacing w:after="120"/>
        <w:ind w:firstLine="230"/>
        <w:jc w:val="both"/>
      </w:pPr>
      <w:r>
        <w:t>Binary delay analysis (On-Time vs. Delayed) reveals that delay incidence is not uniformly distributed:</w:t>
      </w:r>
    </w:p>
    <w:p w14:paraId="6E5CC70B" w14:textId="77777777" w:rsidR="00791D12" w:rsidRDefault="00000000">
      <w:pPr>
        <w:spacing w:after="80"/>
        <w:ind w:left="230" w:hanging="130"/>
      </w:pPr>
      <w:r>
        <w:t>• Delay rates are highest for Standard Class shipments to Interior region destinations—a compound effect of slower base speed and longer distances.</w:t>
      </w:r>
    </w:p>
    <w:p w14:paraId="784CF64A" w14:textId="77777777" w:rsidR="00791D12" w:rsidRDefault="00000000">
      <w:pPr>
        <w:spacing w:after="80"/>
        <w:ind w:left="230" w:hanging="130"/>
      </w:pPr>
      <w:r>
        <w:t>• First Class and Same Day modes maintain consistently low delay rates regardless of destination region, suggesting that premium modes have built-in schedule buffers.</w:t>
      </w:r>
    </w:p>
    <w:p w14:paraId="3B917A7B" w14:textId="77777777" w:rsidR="00791D12" w:rsidRDefault="00000000">
      <w:pPr>
        <w:spacing w:after="80"/>
        <w:ind w:left="230" w:hanging="130"/>
      </w:pPr>
      <w:r>
        <w:t>• The Delay Bucket feature shows a bimodal distribution, with most orders falling into either "0–5 days" or "100+ days" buckets, indicating a clear separation between normally processed and problematic orders.</w:t>
      </w:r>
    </w:p>
    <w:p w14:paraId="5714956D" w14:textId="77777777" w:rsidR="00791D12" w:rsidRDefault="00000000">
      <w:pPr>
        <w:spacing w:before="160" w:after="100"/>
      </w:pPr>
      <w:r>
        <w:rPr>
          <w:b/>
          <w:bCs/>
          <w:i/>
          <w:iCs/>
        </w:rPr>
        <w:t>F. Profitability and Cost Efficiency</w:t>
      </w:r>
    </w:p>
    <w:p w14:paraId="4BB56125" w14:textId="77777777" w:rsidR="00791D12" w:rsidRDefault="00000000">
      <w:pPr>
        <w:spacing w:after="120"/>
        <w:ind w:firstLine="230"/>
        <w:jc w:val="both"/>
      </w:pPr>
      <w:r>
        <w:t>Financial analysis across shipping routes reveals:</w:t>
      </w:r>
    </w:p>
    <w:p w14:paraId="085CAD86" w14:textId="77777777" w:rsidR="00791D12" w:rsidRDefault="00000000">
      <w:pPr>
        <w:spacing w:after="80"/>
        <w:ind w:left="230" w:hanging="130"/>
      </w:pPr>
      <w:r>
        <w:t>• Profit Margin (%) is relatively stable across regions (mean ≈ 55–65%), suggesting that pricing strategies effectively account for variable shipping costs.</w:t>
      </w:r>
    </w:p>
    <w:p w14:paraId="6679A26D" w14:textId="77777777" w:rsidR="00791D12" w:rsidRDefault="00000000">
      <w:pPr>
        <w:spacing w:after="80"/>
        <w:ind w:left="230" w:hanging="130"/>
      </w:pPr>
      <w:r>
        <w:t>• Cost Per Ship Day decreases with longer shipping durations, a mathematical artifact that does not necessarily indicate efficiency—it merely reflects that slower routes spread fixed costs over more days.</w:t>
      </w:r>
    </w:p>
    <w:p w14:paraId="63592B01" w14:textId="77777777" w:rsidR="00791D12" w:rsidRDefault="00000000">
      <w:pPr>
        <w:spacing w:after="80"/>
        <w:ind w:left="230" w:hanging="130"/>
      </w:pPr>
      <w:r>
        <w:t>• Revenue Per Unit varies significantly by Division, with Chocolate products commanding the highest per-unit revenue, followed by Specialty Candy.</w:t>
      </w:r>
    </w:p>
    <w:p w14:paraId="6ED3A56B" w14:textId="77777777" w:rsidR="00791D12" w:rsidRDefault="00000000">
      <w:pPr>
        <w:spacing w:after="80"/>
        <w:ind w:left="230" w:hanging="130"/>
      </w:pPr>
      <w:r>
        <w:t xml:space="preserve">• Sales Per Ship Day is highest for Same Day and </w:t>
      </w:r>
      <w:proofErr w:type="gramStart"/>
      <w:r>
        <w:t>First Class</w:t>
      </w:r>
      <w:proofErr w:type="gramEnd"/>
      <w:r>
        <w:t xml:space="preserve"> modes, indicating that premium shipping correlates with higher-value orders.</w:t>
      </w:r>
    </w:p>
    <w:p w14:paraId="487DF4D4" w14:textId="77777777" w:rsidR="00791D12" w:rsidRDefault="00000000">
      <w:pPr>
        <w:spacing w:before="240" w:after="120"/>
        <w:jc w:val="center"/>
      </w:pPr>
      <w:r>
        <w:rPr>
          <w:b/>
          <w:bCs/>
        </w:rPr>
        <w:t>V. KEY FINDINGS AND INSIGHTS</w:t>
      </w:r>
    </w:p>
    <w:p w14:paraId="232645B4" w14:textId="77777777" w:rsidR="00791D12" w:rsidRDefault="00000000">
      <w:pPr>
        <w:spacing w:after="120"/>
        <w:ind w:firstLine="230"/>
        <w:jc w:val="both"/>
      </w:pPr>
      <w:r>
        <w:t>Based on the comprehensive EDA, we identify the following critical findings:</w:t>
      </w:r>
    </w:p>
    <w:p w14:paraId="0E4CD852" w14:textId="77777777" w:rsidR="00791D12" w:rsidRDefault="00000000">
      <w:pPr>
        <w:spacing w:after="80"/>
        <w:ind w:left="260" w:hanging="260"/>
      </w:pPr>
      <w:r>
        <w:rPr>
          <w:b/>
          <w:bCs/>
        </w:rPr>
        <w:t xml:space="preserve">1) </w:t>
      </w:r>
      <w:r>
        <w:t>Regional Disparity: The Interior region's average shipping days exceed other regions by 20–35%, creating a two-tier delivery experience that disadvantages customers in states like Texas, Oklahoma, and Kansas.</w:t>
      </w:r>
    </w:p>
    <w:p w14:paraId="351371AB" w14:textId="77777777" w:rsidR="00791D12" w:rsidRDefault="00000000">
      <w:pPr>
        <w:spacing w:after="80"/>
        <w:ind w:left="260" w:hanging="260"/>
      </w:pPr>
      <w:r>
        <w:rPr>
          <w:b/>
          <w:bCs/>
        </w:rPr>
        <w:t xml:space="preserve">2) </w:t>
      </w:r>
      <w:r>
        <w:t>Standard Class Bottleneck: While cost-effective, Standard Class is responsible for a disproportionate share of delays. Approximately 60% of all orders use Standard Class, yet it accounts for an outsized percentage of delayed shipments.</w:t>
      </w:r>
    </w:p>
    <w:p w14:paraId="45FC8995" w14:textId="77777777" w:rsidR="00791D12" w:rsidRDefault="00000000">
      <w:pPr>
        <w:spacing w:after="80"/>
        <w:ind w:left="260" w:hanging="260"/>
      </w:pPr>
      <w:r>
        <w:rPr>
          <w:b/>
          <w:bCs/>
        </w:rPr>
        <w:t xml:space="preserve">3) </w:t>
      </w:r>
      <w:r>
        <w:t xml:space="preserve">Extreme Lead Time Outliers: A subset of orders exhibits shipping days exceeding 900 days (2.5+ years), indicating either data quality issues or severe </w:t>
      </w:r>
      <w:proofErr w:type="spellStart"/>
      <w:r>
        <w:t>fulfillment</w:t>
      </w:r>
      <w:proofErr w:type="spellEnd"/>
      <w:r>
        <w:t xml:space="preserve"> failures that require operational investigation.</w:t>
      </w:r>
    </w:p>
    <w:p w14:paraId="0436F884" w14:textId="77777777" w:rsidR="00791D12" w:rsidRDefault="00000000">
      <w:pPr>
        <w:spacing w:after="80"/>
        <w:ind w:left="260" w:hanging="260"/>
      </w:pPr>
      <w:r>
        <w:rPr>
          <w:b/>
          <w:bCs/>
        </w:rPr>
        <w:t xml:space="preserve">4) </w:t>
      </w:r>
      <w:r>
        <w:t>Ship Mode–Region Interaction: The combination of Standard Class shipping and Interior region destinations creates a compounding effect that produces the worst delivery performance in the entire network.</w:t>
      </w:r>
    </w:p>
    <w:p w14:paraId="4BE89C32" w14:textId="77777777" w:rsidR="00791D12" w:rsidRDefault="00000000">
      <w:pPr>
        <w:spacing w:after="80"/>
        <w:ind w:left="260" w:hanging="260"/>
      </w:pPr>
      <w:r>
        <w:rPr>
          <w:b/>
          <w:bCs/>
        </w:rPr>
        <w:t xml:space="preserve">5) </w:t>
      </w:r>
      <w:r>
        <w:t>High-Volume State Congestion: Texas, California, and New York—collectively representing a significant share of orders—show signs of volume-related congestion that degrades route efficiency scores.</w:t>
      </w:r>
    </w:p>
    <w:p w14:paraId="35BD0581" w14:textId="77777777" w:rsidR="00791D12" w:rsidRDefault="00000000">
      <w:pPr>
        <w:spacing w:after="80"/>
        <w:ind w:left="260" w:hanging="260"/>
      </w:pPr>
      <w:r>
        <w:rPr>
          <w:b/>
          <w:bCs/>
        </w:rPr>
        <w:t xml:space="preserve">6) </w:t>
      </w:r>
      <w:r>
        <w:t>Seasonal Q4 Surge: Holiday season (October–December) shows increased order volumes and correspondingly higher delay rates, indicating insufficient capacity planning for seasonal demand spikes.</w:t>
      </w:r>
    </w:p>
    <w:p w14:paraId="2F88E973" w14:textId="77777777" w:rsidR="00791D12" w:rsidRDefault="00000000">
      <w:pPr>
        <w:spacing w:after="80"/>
        <w:ind w:left="260" w:hanging="260"/>
      </w:pPr>
      <w:r>
        <w:rPr>
          <w:b/>
          <w:bCs/>
        </w:rPr>
        <w:t xml:space="preserve">7) </w:t>
      </w:r>
      <w:r>
        <w:t xml:space="preserve">Cost–Speed </w:t>
      </w:r>
      <w:proofErr w:type="spellStart"/>
      <w:r>
        <w:t>Tradeoff</w:t>
      </w:r>
      <w:proofErr w:type="spellEnd"/>
      <w:r>
        <w:t xml:space="preserve">: The data confirms a clear </w:t>
      </w:r>
      <w:proofErr w:type="spellStart"/>
      <w:r>
        <w:t>tradeoff</w:t>
      </w:r>
      <w:proofErr w:type="spellEnd"/>
      <w:r>
        <w:t xml:space="preserve"> between shipping cost and delivery speed, but the marginal cost of upgrading from Standard to Second Class is relatively small compared to the efficiency gains achieved.</w:t>
      </w:r>
    </w:p>
    <w:p w14:paraId="3270B479" w14:textId="77777777" w:rsidR="00791D12" w:rsidRDefault="00000000">
      <w:pPr>
        <w:spacing w:after="80"/>
        <w:ind w:left="260" w:hanging="260"/>
      </w:pPr>
      <w:r>
        <w:rPr>
          <w:b/>
          <w:bCs/>
        </w:rPr>
        <w:t xml:space="preserve">8) </w:t>
      </w:r>
      <w:r>
        <w:t>Division-Level Revenue Patterns: Chocolate division products generate the highest revenue per unit, suggesting that premium shipping investments should prioritize these high-margin items.</w:t>
      </w:r>
    </w:p>
    <w:p w14:paraId="28C85BAD" w14:textId="77777777" w:rsidR="00791D12" w:rsidRDefault="00000000">
      <w:pPr>
        <w:spacing w:before="240" w:after="120"/>
        <w:jc w:val="center"/>
      </w:pPr>
      <w:r>
        <w:rPr>
          <w:b/>
          <w:bCs/>
        </w:rPr>
        <w:t>VI. RECOMMENDATIONS</w:t>
      </w:r>
    </w:p>
    <w:p w14:paraId="2971CDE5" w14:textId="77777777" w:rsidR="00791D12" w:rsidRDefault="00000000">
      <w:pPr>
        <w:spacing w:before="160" w:after="100"/>
      </w:pPr>
      <w:r>
        <w:rPr>
          <w:b/>
          <w:bCs/>
          <w:i/>
          <w:iCs/>
        </w:rPr>
        <w:t>A. Regional Warehouse Strategy</w:t>
      </w:r>
    </w:p>
    <w:p w14:paraId="0DF4A010" w14:textId="77777777" w:rsidR="00791D12" w:rsidRDefault="00000000">
      <w:pPr>
        <w:spacing w:after="120"/>
        <w:ind w:firstLine="230"/>
        <w:jc w:val="both"/>
      </w:pPr>
      <w:r>
        <w:lastRenderedPageBreak/>
        <w:t xml:space="preserve">Establish a secondary distribution </w:t>
      </w:r>
      <w:proofErr w:type="spellStart"/>
      <w:r>
        <w:t>center</w:t>
      </w:r>
      <w:proofErr w:type="spellEnd"/>
      <w:r>
        <w:t xml:space="preserve"> in the Interior region (e.g., Dallas–Fort Worth or Kansas City metropolitan area) to reduce average shipping distances for the highest-lead-time routes. GIS analysis suggests this could reduce Interior region lead times by 25–35%.</w:t>
      </w:r>
    </w:p>
    <w:p w14:paraId="7CAD3F6E" w14:textId="77777777" w:rsidR="00791D12" w:rsidRDefault="00000000">
      <w:pPr>
        <w:spacing w:before="160" w:after="100"/>
      </w:pPr>
      <w:r>
        <w:rPr>
          <w:b/>
          <w:bCs/>
          <w:i/>
          <w:iCs/>
        </w:rPr>
        <w:t>B. Dynamic Ship Mode Allocation</w:t>
      </w:r>
    </w:p>
    <w:p w14:paraId="1D6752F4" w14:textId="77777777" w:rsidR="00791D12" w:rsidRDefault="00000000">
      <w:pPr>
        <w:spacing w:after="120"/>
        <w:ind w:firstLine="230"/>
        <w:jc w:val="both"/>
      </w:pPr>
      <w:r>
        <w:t>Implement a rule-based system that automatically upgrades Standard Class shipments to Second Class when:</w:t>
      </w:r>
    </w:p>
    <w:p w14:paraId="1FE61503" w14:textId="77777777" w:rsidR="00791D12" w:rsidRDefault="00000000">
      <w:pPr>
        <w:spacing w:after="80"/>
        <w:ind w:left="230" w:hanging="130"/>
      </w:pPr>
      <w:r>
        <w:t>• The destination is in a high-delay-rate state</w:t>
      </w:r>
    </w:p>
    <w:p w14:paraId="58C0DAAC" w14:textId="77777777" w:rsidR="00791D12" w:rsidRDefault="00000000">
      <w:pPr>
        <w:spacing w:after="80"/>
        <w:ind w:left="230" w:hanging="130"/>
      </w:pPr>
      <w:r>
        <w:t>• The order value exceeds a profitability threshold</w:t>
      </w:r>
    </w:p>
    <w:p w14:paraId="7991D65E" w14:textId="77777777" w:rsidR="00791D12" w:rsidRDefault="00000000">
      <w:pPr>
        <w:spacing w:after="80"/>
        <w:ind w:left="230" w:hanging="130"/>
      </w:pPr>
      <w:r>
        <w:t>• Historical route data indicates a delay probability above 30%</w:t>
      </w:r>
    </w:p>
    <w:p w14:paraId="6AD9C4D7" w14:textId="77777777" w:rsidR="00791D12" w:rsidRDefault="00000000">
      <w:pPr>
        <w:spacing w:after="120"/>
        <w:ind w:firstLine="230"/>
        <w:jc w:val="both"/>
      </w:pPr>
      <w:r>
        <w:t>This targeted upgrade strategy would improve on-time rates with minimal cost impact, as the Standard-to-Second Class cost differential is modest.</w:t>
      </w:r>
    </w:p>
    <w:p w14:paraId="3F614D23" w14:textId="77777777" w:rsidR="00791D12" w:rsidRDefault="00000000">
      <w:pPr>
        <w:spacing w:before="160" w:after="100"/>
      </w:pPr>
      <w:r>
        <w:rPr>
          <w:b/>
          <w:bCs/>
          <w:i/>
          <w:iCs/>
        </w:rPr>
        <w:t>C. SLA-Based Routing Protocol</w:t>
      </w:r>
    </w:p>
    <w:p w14:paraId="12D91A40" w14:textId="77777777" w:rsidR="00791D12" w:rsidRDefault="00000000">
      <w:pPr>
        <w:spacing w:after="120"/>
        <w:ind w:firstLine="230"/>
        <w:jc w:val="both"/>
      </w:pPr>
      <w:r>
        <w:t>Define explicit Service Level Agreement (SLA) targets for each Region × Ship Mode combination, and implement automated alerts when rolling 30-day performance falls below SLA thresholds. Suggested SLA targets:</w:t>
      </w:r>
    </w:p>
    <w:p w14:paraId="2DD0B742" w14:textId="77777777" w:rsidR="00791D12" w:rsidRDefault="00000000">
      <w:pPr>
        <w:spacing w:before="120" w:after="60"/>
        <w:jc w:val="center"/>
      </w:pPr>
      <w:r>
        <w:rPr>
          <w:b/>
          <w:bCs/>
          <w:sz w:val="16"/>
          <w:szCs w:val="16"/>
        </w:rPr>
        <w:t>TABLE III. PROPOSED SLA TARGETS BY SHIP MODE</w:t>
      </w:r>
    </w:p>
    <w:tbl>
      <w:tblPr>
        <w:tblW w:w="4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300"/>
        <w:gridCol w:w="1600"/>
      </w:tblGrid>
      <w:tr w:rsidR="00791D12" w14:paraId="040FCE9E" w14:textId="77777777">
        <w:tblPrEx>
          <w:tblCellMar>
            <w:top w:w="0" w:type="dxa"/>
            <w:bottom w:w="0" w:type="dxa"/>
          </w:tblCellMar>
        </w:tblPrEx>
        <w:tc>
          <w:tcPr>
            <w:tcW w:w="1800" w:type="dxa"/>
            <w:shd w:val="clear" w:color="auto" w:fill="D9D9D9"/>
          </w:tcPr>
          <w:p w14:paraId="3B1326AF" w14:textId="77777777" w:rsidR="00791D12" w:rsidRDefault="00000000">
            <w:r>
              <w:rPr>
                <w:b/>
                <w:bCs/>
                <w:sz w:val="16"/>
                <w:szCs w:val="16"/>
              </w:rPr>
              <w:t>Ship Mode</w:t>
            </w:r>
          </w:p>
        </w:tc>
        <w:tc>
          <w:tcPr>
            <w:tcW w:w="1300" w:type="dxa"/>
            <w:shd w:val="clear" w:color="auto" w:fill="D9D9D9"/>
          </w:tcPr>
          <w:p w14:paraId="68BFDAE4" w14:textId="77777777" w:rsidR="00791D12" w:rsidRDefault="00000000">
            <w:r>
              <w:rPr>
                <w:b/>
                <w:bCs/>
                <w:sz w:val="16"/>
                <w:szCs w:val="16"/>
              </w:rPr>
              <w:t>Max Days</w:t>
            </w:r>
          </w:p>
        </w:tc>
        <w:tc>
          <w:tcPr>
            <w:tcW w:w="1600" w:type="dxa"/>
            <w:shd w:val="clear" w:color="auto" w:fill="D9D9D9"/>
          </w:tcPr>
          <w:p w14:paraId="233D5C6F" w14:textId="77777777" w:rsidR="00791D12" w:rsidRDefault="00000000">
            <w:r>
              <w:rPr>
                <w:b/>
                <w:bCs/>
                <w:sz w:val="16"/>
                <w:szCs w:val="16"/>
              </w:rPr>
              <w:t>On-Time Target</w:t>
            </w:r>
          </w:p>
        </w:tc>
      </w:tr>
      <w:tr w:rsidR="00791D12" w14:paraId="0DBADE2A" w14:textId="77777777">
        <w:tblPrEx>
          <w:tblCellMar>
            <w:top w:w="0" w:type="dxa"/>
            <w:bottom w:w="0" w:type="dxa"/>
          </w:tblCellMar>
        </w:tblPrEx>
        <w:tc>
          <w:tcPr>
            <w:tcW w:w="1800" w:type="dxa"/>
          </w:tcPr>
          <w:p w14:paraId="6D763107" w14:textId="77777777" w:rsidR="00791D12" w:rsidRDefault="00000000">
            <w:r>
              <w:rPr>
                <w:sz w:val="16"/>
                <w:szCs w:val="16"/>
              </w:rPr>
              <w:t>Same Day</w:t>
            </w:r>
          </w:p>
        </w:tc>
        <w:tc>
          <w:tcPr>
            <w:tcW w:w="1300" w:type="dxa"/>
          </w:tcPr>
          <w:p w14:paraId="6A43CB22" w14:textId="77777777" w:rsidR="00791D12" w:rsidRDefault="00000000">
            <w:r>
              <w:rPr>
                <w:sz w:val="16"/>
                <w:szCs w:val="16"/>
              </w:rPr>
              <w:t>1</w:t>
            </w:r>
          </w:p>
        </w:tc>
        <w:tc>
          <w:tcPr>
            <w:tcW w:w="1600" w:type="dxa"/>
          </w:tcPr>
          <w:p w14:paraId="45D4BF47" w14:textId="77777777" w:rsidR="00791D12" w:rsidRDefault="00000000">
            <w:r>
              <w:rPr>
                <w:sz w:val="16"/>
                <w:szCs w:val="16"/>
              </w:rPr>
              <w:t>99%</w:t>
            </w:r>
          </w:p>
        </w:tc>
      </w:tr>
      <w:tr w:rsidR="00791D12" w14:paraId="40CB1DC7" w14:textId="77777777">
        <w:tblPrEx>
          <w:tblCellMar>
            <w:top w:w="0" w:type="dxa"/>
            <w:bottom w:w="0" w:type="dxa"/>
          </w:tblCellMar>
        </w:tblPrEx>
        <w:tc>
          <w:tcPr>
            <w:tcW w:w="1800" w:type="dxa"/>
          </w:tcPr>
          <w:p w14:paraId="54E99CCA" w14:textId="77777777" w:rsidR="00791D12" w:rsidRDefault="00000000">
            <w:r>
              <w:rPr>
                <w:sz w:val="16"/>
                <w:szCs w:val="16"/>
              </w:rPr>
              <w:t>First Class</w:t>
            </w:r>
          </w:p>
        </w:tc>
        <w:tc>
          <w:tcPr>
            <w:tcW w:w="1300" w:type="dxa"/>
          </w:tcPr>
          <w:p w14:paraId="2130DFAE" w14:textId="77777777" w:rsidR="00791D12" w:rsidRDefault="00000000">
            <w:r>
              <w:rPr>
                <w:sz w:val="16"/>
                <w:szCs w:val="16"/>
              </w:rPr>
              <w:t>3</w:t>
            </w:r>
          </w:p>
        </w:tc>
        <w:tc>
          <w:tcPr>
            <w:tcW w:w="1600" w:type="dxa"/>
          </w:tcPr>
          <w:p w14:paraId="6B01D812" w14:textId="77777777" w:rsidR="00791D12" w:rsidRDefault="00000000">
            <w:r>
              <w:rPr>
                <w:sz w:val="16"/>
                <w:szCs w:val="16"/>
              </w:rPr>
              <w:t>95%</w:t>
            </w:r>
          </w:p>
        </w:tc>
      </w:tr>
      <w:tr w:rsidR="00791D12" w14:paraId="570BBB62" w14:textId="77777777">
        <w:tblPrEx>
          <w:tblCellMar>
            <w:top w:w="0" w:type="dxa"/>
            <w:bottom w:w="0" w:type="dxa"/>
          </w:tblCellMar>
        </w:tblPrEx>
        <w:tc>
          <w:tcPr>
            <w:tcW w:w="1800" w:type="dxa"/>
          </w:tcPr>
          <w:p w14:paraId="4B424338" w14:textId="77777777" w:rsidR="00791D12" w:rsidRDefault="00000000">
            <w:r>
              <w:rPr>
                <w:sz w:val="16"/>
                <w:szCs w:val="16"/>
              </w:rPr>
              <w:t>Second Class</w:t>
            </w:r>
          </w:p>
        </w:tc>
        <w:tc>
          <w:tcPr>
            <w:tcW w:w="1300" w:type="dxa"/>
          </w:tcPr>
          <w:p w14:paraId="481992B6" w14:textId="77777777" w:rsidR="00791D12" w:rsidRDefault="00000000">
            <w:r>
              <w:rPr>
                <w:sz w:val="16"/>
                <w:szCs w:val="16"/>
              </w:rPr>
              <w:t>5</w:t>
            </w:r>
          </w:p>
        </w:tc>
        <w:tc>
          <w:tcPr>
            <w:tcW w:w="1600" w:type="dxa"/>
          </w:tcPr>
          <w:p w14:paraId="181E2204" w14:textId="77777777" w:rsidR="00791D12" w:rsidRDefault="00000000">
            <w:r>
              <w:rPr>
                <w:sz w:val="16"/>
                <w:szCs w:val="16"/>
              </w:rPr>
              <w:t>90%</w:t>
            </w:r>
          </w:p>
        </w:tc>
      </w:tr>
      <w:tr w:rsidR="00791D12" w14:paraId="174CC47C" w14:textId="77777777">
        <w:tblPrEx>
          <w:tblCellMar>
            <w:top w:w="0" w:type="dxa"/>
            <w:bottom w:w="0" w:type="dxa"/>
          </w:tblCellMar>
        </w:tblPrEx>
        <w:tc>
          <w:tcPr>
            <w:tcW w:w="1800" w:type="dxa"/>
          </w:tcPr>
          <w:p w14:paraId="782086D3" w14:textId="77777777" w:rsidR="00791D12" w:rsidRDefault="00000000">
            <w:r>
              <w:rPr>
                <w:sz w:val="16"/>
                <w:szCs w:val="16"/>
              </w:rPr>
              <w:t>Standard Class</w:t>
            </w:r>
          </w:p>
        </w:tc>
        <w:tc>
          <w:tcPr>
            <w:tcW w:w="1300" w:type="dxa"/>
          </w:tcPr>
          <w:p w14:paraId="12E13FE5" w14:textId="77777777" w:rsidR="00791D12" w:rsidRDefault="00000000">
            <w:r>
              <w:rPr>
                <w:sz w:val="16"/>
                <w:szCs w:val="16"/>
              </w:rPr>
              <w:t>7</w:t>
            </w:r>
          </w:p>
        </w:tc>
        <w:tc>
          <w:tcPr>
            <w:tcW w:w="1600" w:type="dxa"/>
          </w:tcPr>
          <w:p w14:paraId="665CF5C0" w14:textId="77777777" w:rsidR="00791D12" w:rsidRDefault="00000000">
            <w:r>
              <w:rPr>
                <w:sz w:val="16"/>
                <w:szCs w:val="16"/>
              </w:rPr>
              <w:t>85%</w:t>
            </w:r>
          </w:p>
        </w:tc>
      </w:tr>
    </w:tbl>
    <w:p w14:paraId="771A7494" w14:textId="77777777" w:rsidR="00791D12" w:rsidRDefault="00000000">
      <w:pPr>
        <w:spacing w:before="160" w:after="100"/>
      </w:pPr>
      <w:r>
        <w:rPr>
          <w:b/>
          <w:bCs/>
          <w:i/>
          <w:iCs/>
        </w:rPr>
        <w:t>D. Seasonal Capacity Pre-Planning</w:t>
      </w:r>
    </w:p>
    <w:p w14:paraId="4CF7400F" w14:textId="77777777" w:rsidR="00791D12" w:rsidRDefault="00000000">
      <w:pPr>
        <w:spacing w:after="120"/>
        <w:ind w:firstLine="230"/>
        <w:jc w:val="both"/>
      </w:pPr>
      <w:r>
        <w:t>Implement proactive capacity scaling for Q4 (October–December) by:</w:t>
      </w:r>
    </w:p>
    <w:p w14:paraId="446167AD" w14:textId="77777777" w:rsidR="00791D12" w:rsidRDefault="00000000">
      <w:pPr>
        <w:spacing w:after="80"/>
        <w:ind w:left="230" w:hanging="130"/>
      </w:pPr>
      <w:r>
        <w:t>• Securing additional carrier contracts 60 days before peak season</w:t>
      </w:r>
    </w:p>
    <w:p w14:paraId="67D324B9" w14:textId="77777777" w:rsidR="00791D12" w:rsidRDefault="00000000">
      <w:pPr>
        <w:spacing w:after="80"/>
        <w:ind w:left="230" w:hanging="130"/>
      </w:pPr>
      <w:r>
        <w:t>• Pre-positioning inventory for high-demand products (Chocolate division) closer to high-volume states</w:t>
      </w:r>
    </w:p>
    <w:p w14:paraId="2A34B4FC" w14:textId="77777777" w:rsidR="00791D12" w:rsidRDefault="00000000">
      <w:pPr>
        <w:spacing w:after="80"/>
        <w:ind w:left="230" w:hanging="130"/>
      </w:pPr>
      <w:r>
        <w:t>• Offering incentives for early ordering to smooth demand curves</w:t>
      </w:r>
    </w:p>
    <w:p w14:paraId="430FF0FA" w14:textId="77777777" w:rsidR="00791D12" w:rsidRDefault="00000000">
      <w:pPr>
        <w:spacing w:before="160" w:after="100"/>
      </w:pPr>
      <w:r>
        <w:rPr>
          <w:b/>
          <w:bCs/>
          <w:i/>
          <w:iCs/>
        </w:rPr>
        <w:t>E. Data Quality Remediation</w:t>
      </w:r>
    </w:p>
    <w:p w14:paraId="559C80F5" w14:textId="77777777" w:rsidR="00791D12" w:rsidRDefault="00000000">
      <w:pPr>
        <w:spacing w:after="120"/>
        <w:ind w:firstLine="230"/>
        <w:jc w:val="both"/>
      </w:pPr>
      <w:r>
        <w:t>Investigate and resolve the extreme lead time outliers (&gt;900 days). Implement automated data validation at order entry to flag implausible Ship Date values and prevent accumulation of data quality issues.</w:t>
      </w:r>
    </w:p>
    <w:p w14:paraId="700C248C" w14:textId="77777777" w:rsidR="00791D12" w:rsidRDefault="00000000">
      <w:pPr>
        <w:spacing w:before="160" w:after="100"/>
      </w:pPr>
      <w:r>
        <w:rPr>
          <w:b/>
          <w:bCs/>
          <w:i/>
          <w:iCs/>
        </w:rPr>
        <w:t>F. Premium Shipping for High-Value Products</w:t>
      </w:r>
    </w:p>
    <w:p w14:paraId="1CE2FE21" w14:textId="77777777" w:rsidR="00791D12" w:rsidRDefault="00000000">
      <w:pPr>
        <w:spacing w:after="120"/>
        <w:ind w:firstLine="230"/>
        <w:jc w:val="both"/>
      </w:pPr>
      <w:r>
        <w:t>For Chocolate division orders (highest revenue per unit), default to First Class shipping for destinations beyond 500 miles from the factory. The incremental shipping cost is offset by improved customer satisfaction and repeat purchase rates for these high-margin products.</w:t>
      </w:r>
    </w:p>
    <w:p w14:paraId="4B3C07C9" w14:textId="77777777" w:rsidR="00791D12" w:rsidRDefault="00000000">
      <w:pPr>
        <w:spacing w:before="240" w:after="120"/>
        <w:jc w:val="center"/>
      </w:pPr>
      <w:r>
        <w:rPr>
          <w:b/>
          <w:bCs/>
        </w:rPr>
        <w:t>VII. CONCLUSION</w:t>
      </w:r>
    </w:p>
    <w:p w14:paraId="59039504" w14:textId="77777777" w:rsidR="00791D12" w:rsidRDefault="00000000">
      <w:pPr>
        <w:spacing w:after="120"/>
        <w:ind w:firstLine="230"/>
        <w:jc w:val="both"/>
      </w:pPr>
      <w:r>
        <w:t xml:space="preserve">This study presents a comprehensive exploratory data analysis of Nassau Candy Distributor's factory-to-customer </w:t>
      </w:r>
      <w:r>
        <w:t>shipping routes, examining 10,194 shipment records across 41 engineered features. Our analysis reveals significant performance disparities across geographic regions, ship modes, and product divisions, with the Interior region and Standard Class ship mode emerging as primary bottleneck areas.</w:t>
      </w:r>
    </w:p>
    <w:p w14:paraId="7978A2FA" w14:textId="77777777" w:rsidR="00791D12" w:rsidRDefault="00000000">
      <w:pPr>
        <w:spacing w:after="120"/>
        <w:ind w:firstLine="230"/>
        <w:jc w:val="both"/>
      </w:pPr>
      <w:r>
        <w:t>The six recommendations proposed—regional warehouse strategy, dynamic ship mode allocation, SLA-based routing, seasonal capacity planning, data quality remediation, and premium shipping for high-value products—represent a holistic improvement strategy. Conservative estimates suggest these measures could reduce average lead times by 15–20% and improve the system-wide on-time delivery rate to above 85%.</w:t>
      </w:r>
    </w:p>
    <w:p w14:paraId="24113992" w14:textId="77777777" w:rsidR="00791D12" w:rsidRDefault="00000000">
      <w:pPr>
        <w:spacing w:before="160" w:after="100"/>
      </w:pPr>
      <w:r>
        <w:rPr>
          <w:b/>
          <w:bCs/>
          <w:i/>
          <w:iCs/>
        </w:rPr>
        <w:t>A. Limitations</w:t>
      </w:r>
    </w:p>
    <w:p w14:paraId="43DA6D7B" w14:textId="77777777" w:rsidR="00791D12" w:rsidRDefault="00000000">
      <w:pPr>
        <w:spacing w:after="80"/>
        <w:ind w:left="230" w:hanging="130"/>
      </w:pPr>
      <w:r>
        <w:t>• The analysis is based on historical shipment data and does not account for real-time carrier performance variations.</w:t>
      </w:r>
    </w:p>
    <w:p w14:paraId="2DA6E08D" w14:textId="77777777" w:rsidR="00791D12" w:rsidRDefault="00000000">
      <w:pPr>
        <w:spacing w:after="80"/>
        <w:ind w:left="230" w:hanging="130"/>
      </w:pPr>
      <w:r>
        <w:t>• Geographic analysis is limited to state-level granularity; ZIP code-level analysis could reveal more actionable last-mile insights.</w:t>
      </w:r>
    </w:p>
    <w:p w14:paraId="76014508" w14:textId="77777777" w:rsidR="00791D12" w:rsidRDefault="00000000">
      <w:pPr>
        <w:spacing w:after="80"/>
        <w:ind w:left="230" w:hanging="130"/>
      </w:pPr>
      <w:r>
        <w:t>• The Route Efficiency Score is a constructed composite metric whose weighting scheme may not perfectly align with Nassau Candy's business priorities.</w:t>
      </w:r>
    </w:p>
    <w:p w14:paraId="29C22C82" w14:textId="77777777" w:rsidR="00791D12" w:rsidRDefault="00000000">
      <w:pPr>
        <w:spacing w:after="80"/>
        <w:ind w:left="230" w:hanging="130"/>
      </w:pPr>
      <w:r>
        <w:t>• Extreme outliers in shipping days suggest possible data quality issues that may affect aggregate statistics.</w:t>
      </w:r>
    </w:p>
    <w:p w14:paraId="19324096" w14:textId="77777777" w:rsidR="00791D12" w:rsidRDefault="00000000">
      <w:pPr>
        <w:spacing w:before="160" w:after="100"/>
      </w:pPr>
      <w:r>
        <w:rPr>
          <w:b/>
          <w:bCs/>
          <w:i/>
          <w:iCs/>
        </w:rPr>
        <w:t>B. Future Work</w:t>
      </w:r>
    </w:p>
    <w:p w14:paraId="37E4674D" w14:textId="77777777" w:rsidR="00791D12" w:rsidRDefault="00000000">
      <w:pPr>
        <w:spacing w:after="80"/>
        <w:ind w:left="230" w:hanging="130"/>
      </w:pPr>
      <w:r>
        <w:t xml:space="preserve">• Predictive </w:t>
      </w:r>
      <w:proofErr w:type="spellStart"/>
      <w:r>
        <w:t>Modeling</w:t>
      </w:r>
      <w:proofErr w:type="spellEnd"/>
      <w:r>
        <w:t xml:space="preserve">: Developing machine learning models (e.g., Random Forest, </w:t>
      </w:r>
      <w:proofErr w:type="spellStart"/>
      <w:r>
        <w:t>XGBoost</w:t>
      </w:r>
      <w:proofErr w:type="spellEnd"/>
      <w:r>
        <w:t>) to predict shipment delay probability based on order characteristics, enabling proactive intervention.</w:t>
      </w:r>
    </w:p>
    <w:p w14:paraId="505BC046" w14:textId="77777777" w:rsidR="00791D12" w:rsidRDefault="00000000">
      <w:pPr>
        <w:spacing w:after="80"/>
        <w:ind w:left="230" w:hanging="130"/>
      </w:pPr>
      <w:r>
        <w:t>• Network Optimization: Applying vehicle routing problem (VRP) algorithms to optimize delivery routes at the carrier level.</w:t>
      </w:r>
    </w:p>
    <w:p w14:paraId="6AEC2C52" w14:textId="77777777" w:rsidR="00791D12" w:rsidRDefault="00000000">
      <w:pPr>
        <w:spacing w:after="80"/>
        <w:ind w:left="230" w:hanging="130"/>
      </w:pPr>
      <w:r>
        <w:t xml:space="preserve">• Real-Time Dashboard: Integrating live carrier tracking data into the </w:t>
      </w:r>
      <w:proofErr w:type="spellStart"/>
      <w:r>
        <w:t>Streamlit</w:t>
      </w:r>
      <w:proofErr w:type="spellEnd"/>
      <w:r>
        <w:t xml:space="preserve"> dashboard for real-time performance monitoring.</w:t>
      </w:r>
    </w:p>
    <w:p w14:paraId="016D3F67" w14:textId="77777777" w:rsidR="00791D12" w:rsidRDefault="00000000">
      <w:pPr>
        <w:spacing w:after="80"/>
        <w:ind w:left="230" w:hanging="130"/>
      </w:pPr>
      <w:r>
        <w:t>• Customer Impact Analysis: Linking shipping performance data with customer retention and reorder metrics to quantify the business impact of delivery delays.</w:t>
      </w:r>
    </w:p>
    <w:p w14:paraId="5725FE66" w14:textId="77777777" w:rsidR="00791D12" w:rsidRDefault="00000000">
      <w:pPr>
        <w:spacing w:before="240" w:after="120"/>
        <w:jc w:val="center"/>
      </w:pPr>
      <w:r>
        <w:rPr>
          <w:b/>
          <w:bCs/>
        </w:rPr>
        <w:t>REFERENCES</w:t>
      </w:r>
    </w:p>
    <w:p w14:paraId="679D80CB" w14:textId="77777777" w:rsidR="00791D12" w:rsidRDefault="00000000">
      <w:pPr>
        <w:spacing w:after="80"/>
        <w:ind w:left="230" w:hanging="230"/>
      </w:pPr>
      <w:r>
        <w:rPr>
          <w:sz w:val="18"/>
          <w:szCs w:val="18"/>
        </w:rPr>
        <w:t>[1] M. Christopher, Logistics &amp; Supply Chain Management, 5th ed. Harlow, UK: Pearson Education, 2016.</w:t>
      </w:r>
    </w:p>
    <w:p w14:paraId="2062ED13" w14:textId="77777777" w:rsidR="00791D12" w:rsidRDefault="00000000">
      <w:pPr>
        <w:spacing w:after="80"/>
        <w:ind w:left="230" w:hanging="230"/>
      </w:pPr>
      <w:r>
        <w:rPr>
          <w:sz w:val="18"/>
          <w:szCs w:val="18"/>
        </w:rPr>
        <w:t>[2] S. Chopra and P. Meindl, Supply Chain Management: Strategy, Planning, and Operation, 6th ed. Boston, MA: Pearson, 2016.</w:t>
      </w:r>
    </w:p>
    <w:p w14:paraId="0E2DB903" w14:textId="77777777" w:rsidR="00791D12" w:rsidRDefault="00000000">
      <w:pPr>
        <w:spacing w:after="80"/>
        <w:ind w:left="230" w:hanging="230"/>
      </w:pPr>
      <w:r>
        <w:rPr>
          <w:sz w:val="18"/>
          <w:szCs w:val="18"/>
        </w:rPr>
        <w:t>[3] M. A. Waller and S. E. Fawcett, "Data science, predictive analytics, and big data: A revolution that will transform supply chain design and management," Journal of Business Logistics, vol. 34, no. 2, pp. 77–84, 2013.</w:t>
      </w:r>
    </w:p>
    <w:p w14:paraId="0B1F6A08" w14:textId="77777777" w:rsidR="00791D12" w:rsidRDefault="00000000">
      <w:pPr>
        <w:spacing w:after="80"/>
        <w:ind w:left="230" w:hanging="230"/>
      </w:pPr>
      <w:r>
        <w:rPr>
          <w:sz w:val="18"/>
          <w:szCs w:val="18"/>
        </w:rPr>
        <w:t>[4] R. Mangiaracina, A. Perego, A. Seghezzi, and A. Tumino, "Innovative solutions to increase last-mile delivery efficiency in B2C e-commerce: A literature review," International Journal of Physical Distribution &amp; Logistics Management, vol. 49, no. 9, pp. 901–920, 2019.</w:t>
      </w:r>
    </w:p>
    <w:p w14:paraId="4F336263" w14:textId="77777777" w:rsidR="00791D12" w:rsidRDefault="00000000">
      <w:pPr>
        <w:spacing w:after="80"/>
        <w:ind w:left="230" w:hanging="230"/>
      </w:pPr>
      <w:r>
        <w:rPr>
          <w:sz w:val="18"/>
          <w:szCs w:val="18"/>
        </w:rPr>
        <w:lastRenderedPageBreak/>
        <w:t>[5] D. Simchi-Levi, P. Kaminsky, and E. Simchi-Levi, Designing and Managing the Supply Chain: Concepts, Strategies, and Case Studies, 3rd ed. New York, NY: McGraw-Hill, 2008.</w:t>
      </w:r>
    </w:p>
    <w:p w14:paraId="015253A0" w14:textId="77777777" w:rsidR="00791D12" w:rsidRDefault="00000000">
      <w:pPr>
        <w:spacing w:after="80"/>
        <w:ind w:left="230" w:hanging="230"/>
      </w:pPr>
      <w:r>
        <w:rPr>
          <w:sz w:val="18"/>
          <w:szCs w:val="18"/>
        </w:rPr>
        <w:t>[6] A. Gunasekaran, C. Patel, and R. E. McGaughey, "A framework for supply chain performance measurement," International Journal of Production Economics, vol. 87, no. 3, pp. 333–347, 2004.</w:t>
      </w:r>
    </w:p>
    <w:p w14:paraId="4E5EC491" w14:textId="77777777" w:rsidR="00791D12" w:rsidRDefault="00000000">
      <w:pPr>
        <w:spacing w:after="80"/>
        <w:ind w:left="230" w:hanging="230"/>
      </w:pPr>
      <w:r>
        <w:rPr>
          <w:sz w:val="18"/>
          <w:szCs w:val="18"/>
        </w:rPr>
        <w:t>[7] J. A. Quelch and D. Harding, "Brands versus private labels: Fighting to win," Harvard Business Review, vol. 74, no. 1, pp. 99–109, 1996.</w:t>
      </w:r>
    </w:p>
    <w:p w14:paraId="24A7C54C" w14:textId="77777777" w:rsidR="00791D12" w:rsidRDefault="00000000">
      <w:pPr>
        <w:spacing w:after="80"/>
        <w:ind w:left="230" w:hanging="230"/>
      </w:pPr>
      <w:r>
        <w:rPr>
          <w:sz w:val="18"/>
          <w:szCs w:val="18"/>
        </w:rPr>
        <w:t>[8] H. J. Miller and S. L. Shaw, Geographic Information Systems for Transportation: Principles and Applications. New York, NY: Oxford University Press, 2001.</w:t>
      </w:r>
    </w:p>
    <w:p w14:paraId="5348B2A6" w14:textId="77777777" w:rsidR="00791D12" w:rsidRDefault="00000000">
      <w:pPr>
        <w:spacing w:after="80"/>
        <w:ind w:left="230" w:hanging="230"/>
      </w:pPr>
      <w:r>
        <w:rPr>
          <w:sz w:val="18"/>
          <w:szCs w:val="18"/>
        </w:rPr>
        <w:t>[9] R. H. Ballou, Business Logistics/Supply Chain Management, 5th ed. Upper Saddle River, NJ: Pearson Prentice Hall, 2004.</w:t>
      </w:r>
    </w:p>
    <w:p w14:paraId="26FA736E" w14:textId="77777777" w:rsidR="00791D12" w:rsidRDefault="00000000">
      <w:pPr>
        <w:spacing w:after="80"/>
        <w:ind w:left="230" w:hanging="230"/>
      </w:pPr>
      <w:r>
        <w:rPr>
          <w:sz w:val="18"/>
          <w:szCs w:val="18"/>
        </w:rPr>
        <w:t>[10] Council of Supply Chain Management Professionals, "CSCMP Supply Chain Management Definitions and Glossary," 2013. [Online]. Available: https://cscmp.org</w:t>
      </w:r>
    </w:p>
    <w:p w14:paraId="712B16BA" w14:textId="77777777" w:rsidR="00791D12" w:rsidRDefault="00000000">
      <w:pPr>
        <w:spacing w:after="80"/>
        <w:ind w:left="230" w:hanging="230"/>
      </w:pPr>
      <w:r>
        <w:rPr>
          <w:sz w:val="18"/>
          <w:szCs w:val="18"/>
        </w:rPr>
        <w:t>[11] G. Wang, A. Gunasekaran, E. W. T. Ngai, and T. Papadopoulos, "Big data analytics in logistics and supply chain management: Certain investigations for research and applications," International Journal of Production Economics, vol. 176, pp. 98–110, 2016.</w:t>
      </w:r>
    </w:p>
    <w:p w14:paraId="1D13E09F" w14:textId="77777777" w:rsidR="00791D12" w:rsidRDefault="00000000">
      <w:pPr>
        <w:spacing w:after="80"/>
        <w:ind w:left="230" w:hanging="230"/>
      </w:pPr>
      <w:r>
        <w:rPr>
          <w:sz w:val="18"/>
          <w:szCs w:val="18"/>
        </w:rPr>
        <w:t>[12] J. T. Mentzer et al., "Defining supply chain management," Journal of Business Logistics, vol. 22, no. 2, pp. 1–25, 2001.</w:t>
      </w:r>
    </w:p>
    <w:sectPr w:rsidR="00791D12">
      <w:pgSz w:w="12240" w:h="15840"/>
      <w:pgMar w:top="1080" w:right="900" w:bottom="1080" w:left="90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BD1619"/>
    <w:multiLevelType w:val="hybridMultilevel"/>
    <w:tmpl w:val="B9C65BCC"/>
    <w:lvl w:ilvl="0" w:tplc="2B5605CC">
      <w:start w:val="1"/>
      <w:numFmt w:val="bullet"/>
      <w:lvlText w:val="●"/>
      <w:lvlJc w:val="left"/>
      <w:pPr>
        <w:ind w:left="720" w:hanging="360"/>
      </w:pPr>
    </w:lvl>
    <w:lvl w:ilvl="1" w:tplc="BDDE9866">
      <w:start w:val="1"/>
      <w:numFmt w:val="bullet"/>
      <w:lvlText w:val="○"/>
      <w:lvlJc w:val="left"/>
      <w:pPr>
        <w:ind w:left="1440" w:hanging="360"/>
      </w:pPr>
    </w:lvl>
    <w:lvl w:ilvl="2" w:tplc="29C0F700">
      <w:start w:val="1"/>
      <w:numFmt w:val="bullet"/>
      <w:lvlText w:val="■"/>
      <w:lvlJc w:val="left"/>
      <w:pPr>
        <w:ind w:left="2160" w:hanging="360"/>
      </w:pPr>
    </w:lvl>
    <w:lvl w:ilvl="3" w:tplc="618228D2">
      <w:start w:val="1"/>
      <w:numFmt w:val="bullet"/>
      <w:lvlText w:val="●"/>
      <w:lvlJc w:val="left"/>
      <w:pPr>
        <w:ind w:left="2880" w:hanging="360"/>
      </w:pPr>
    </w:lvl>
    <w:lvl w:ilvl="4" w:tplc="6A4E8882">
      <w:start w:val="1"/>
      <w:numFmt w:val="bullet"/>
      <w:lvlText w:val="○"/>
      <w:lvlJc w:val="left"/>
      <w:pPr>
        <w:ind w:left="3600" w:hanging="360"/>
      </w:pPr>
    </w:lvl>
    <w:lvl w:ilvl="5" w:tplc="54F848B8">
      <w:start w:val="1"/>
      <w:numFmt w:val="bullet"/>
      <w:lvlText w:val="■"/>
      <w:lvlJc w:val="left"/>
      <w:pPr>
        <w:ind w:left="4320" w:hanging="360"/>
      </w:pPr>
    </w:lvl>
    <w:lvl w:ilvl="6" w:tplc="3BFEDF04">
      <w:start w:val="1"/>
      <w:numFmt w:val="bullet"/>
      <w:lvlText w:val="●"/>
      <w:lvlJc w:val="left"/>
      <w:pPr>
        <w:ind w:left="5040" w:hanging="360"/>
      </w:pPr>
    </w:lvl>
    <w:lvl w:ilvl="7" w:tplc="3D32FCA0">
      <w:start w:val="1"/>
      <w:numFmt w:val="bullet"/>
      <w:lvlText w:val="●"/>
      <w:lvlJc w:val="left"/>
      <w:pPr>
        <w:ind w:left="5760" w:hanging="360"/>
      </w:pPr>
    </w:lvl>
    <w:lvl w:ilvl="8" w:tplc="2B2EDDFE">
      <w:start w:val="1"/>
      <w:numFmt w:val="bullet"/>
      <w:lvlText w:val="●"/>
      <w:lvlJc w:val="left"/>
      <w:pPr>
        <w:ind w:left="6480" w:hanging="360"/>
      </w:pPr>
    </w:lvl>
  </w:abstractNum>
  <w:num w:numId="1" w16cid:durableId="18470907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1D12"/>
    <w:rsid w:val="00791D12"/>
    <w:rsid w:val="008B179E"/>
    <w:rsid w:val="00DE746D"/>
    <w:rsid w:val="00E638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34F93"/>
  <w15:docId w15:val="{3D692FBD-948E-4998-A15A-3BE78AEC8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3227</Words>
  <Characters>18395</Characters>
  <Application>Microsoft Office Word</Application>
  <DocSecurity>0</DocSecurity>
  <Lines>153</Lines>
  <Paragraphs>43</Paragraphs>
  <ScaleCrop>false</ScaleCrop>
  <Company/>
  <LinksUpToDate>false</LinksUpToDate>
  <CharactersWithSpaces>21579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om ahir</cp:lastModifiedBy>
  <cp:revision>3</cp:revision>
  <dcterms:created xsi:type="dcterms:W3CDTF">2026-07-14T17:19:00Z</dcterms:created>
  <dcterms:modified xsi:type="dcterms:W3CDTF">2026-07-15T02:31:00Z</dcterms:modified>
</cp:coreProperties>
</file>