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409C" w14:textId="77777777" w:rsidR="00EC5333" w:rsidRDefault="00EC5333">
      <w:pPr>
        <w:spacing w:after="600"/>
      </w:pPr>
    </w:p>
    <w:p w14:paraId="39FB6AA0" w14:textId="77777777" w:rsidR="00EC5333" w:rsidRPr="005D733B" w:rsidRDefault="00000000">
      <w:pPr>
        <w:spacing w:after="140" w:line="360" w:lineRule="auto"/>
        <w:jc w:val="center"/>
        <w:rPr>
          <w:sz w:val="24"/>
          <w:szCs w:val="24"/>
        </w:rPr>
      </w:pPr>
      <w:r w:rsidRPr="005D733B">
        <w:rPr>
          <w:b/>
          <w:bCs/>
          <w:caps/>
          <w:color w:val="64748B"/>
          <w:sz w:val="24"/>
          <w:szCs w:val="24"/>
        </w:rPr>
        <w:t>DEPARTMENT OF HEALTH AND HUMAN SERVICES</w:t>
      </w:r>
    </w:p>
    <w:p w14:paraId="7D3660AD" w14:textId="77777777" w:rsidR="00EC5333" w:rsidRDefault="00000000">
      <w:pPr>
        <w:spacing w:after="480" w:line="360" w:lineRule="auto"/>
        <w:jc w:val="center"/>
      </w:pPr>
      <w:r>
        <w:rPr>
          <w:color w:val="64748B"/>
          <w:sz w:val="20"/>
          <w:szCs w:val="20"/>
        </w:rPr>
        <w:t>Office of Refugee Resettlement</w:t>
      </w:r>
    </w:p>
    <w:p w14:paraId="2A27C3E9" w14:textId="092AB506" w:rsidR="00EC5333" w:rsidRDefault="00000000">
      <w:pPr>
        <w:spacing w:after="140" w:line="360" w:lineRule="auto"/>
        <w:jc w:val="center"/>
      </w:pPr>
      <w:r>
        <w:rPr>
          <w:b/>
          <w:bCs/>
          <w:caps/>
          <w:color w:val="1B2A4A"/>
          <w:sz w:val="52"/>
          <w:szCs w:val="52"/>
        </w:rPr>
        <w:t>EXECUTIVE SUMMARY</w:t>
      </w:r>
    </w:p>
    <w:p w14:paraId="52938D3F" w14:textId="6D3BE9E7" w:rsidR="00EC5333" w:rsidRPr="005B6384" w:rsidRDefault="005B6384">
      <w:pPr>
        <w:pBdr>
          <w:bottom w:val="single" w:sz="18" w:space="1" w:color="2563EB"/>
        </w:pBdr>
        <w:spacing w:after="100"/>
        <w:rPr>
          <w:b/>
          <w:bCs/>
          <w:sz w:val="30"/>
          <w:szCs w:val="30"/>
        </w:rPr>
      </w:pPr>
      <w:r w:rsidRPr="005B6384">
        <w:rPr>
          <w:sz w:val="30"/>
          <w:szCs w:val="30"/>
        </w:rPr>
        <w:t>Name: Ahir Om</w:t>
      </w:r>
      <w:r>
        <w:rPr>
          <w:sz w:val="30"/>
          <w:szCs w:val="30"/>
        </w:rPr>
        <w:t xml:space="preserve">                                                                    </w:t>
      </w:r>
      <w:r w:rsidRPr="005B6384">
        <w:rPr>
          <w:b/>
          <w:bCs/>
          <w:sz w:val="30"/>
          <w:szCs w:val="30"/>
        </w:rPr>
        <w:t>Unified Mentor</w:t>
      </w:r>
    </w:p>
    <w:p w14:paraId="019E8E4B" w14:textId="77777777" w:rsidR="00EC5333" w:rsidRDefault="00EC5333">
      <w:pPr>
        <w:pBdr>
          <w:bottom w:val="single" w:sz="4" w:space="1" w:color="1B2A4A"/>
        </w:pBdr>
        <w:spacing w:after="280"/>
      </w:pPr>
    </w:p>
    <w:p w14:paraId="084AF59F" w14:textId="77777777" w:rsidR="005B6384" w:rsidRDefault="00000000" w:rsidP="005B6384">
      <w:pPr>
        <w:spacing w:line="360" w:lineRule="auto"/>
        <w:jc w:val="center"/>
      </w:pPr>
      <w:r>
        <w:rPr>
          <w:b/>
          <w:bCs/>
          <w:color w:val="1B2A4A"/>
          <w:sz w:val="30"/>
          <w:szCs w:val="30"/>
        </w:rPr>
        <w:t>Predicting Care Load and Placement Demand</w:t>
      </w:r>
    </w:p>
    <w:p w14:paraId="49189E7F" w14:textId="1EED14FD" w:rsidR="00EC5333" w:rsidRDefault="00000000" w:rsidP="005B6384">
      <w:pPr>
        <w:spacing w:line="360" w:lineRule="auto"/>
        <w:jc w:val="center"/>
      </w:pPr>
      <w:r>
        <w:rPr>
          <w:b/>
          <w:bCs/>
          <w:color w:val="1B2A4A"/>
          <w:sz w:val="30"/>
          <w:szCs w:val="30"/>
        </w:rPr>
        <w:t>in the Unaccompanied Alien Children Program</w:t>
      </w:r>
    </w:p>
    <w:p w14:paraId="50855649" w14:textId="77777777" w:rsidR="00EC5333" w:rsidRDefault="00000000">
      <w:pPr>
        <w:spacing w:after="600" w:line="360" w:lineRule="auto"/>
        <w:jc w:val="center"/>
      </w:pPr>
      <w:r>
        <w:rPr>
          <w:i/>
          <w:iCs/>
          <w:color w:val="64748B"/>
        </w:rPr>
        <w:t>A Forecasting Study for HHS Program Managers</w:t>
      </w:r>
    </w:p>
    <w:p w14:paraId="264C1ACB" w14:textId="77777777" w:rsidR="00EC5333" w:rsidRDefault="00EC5333" w:rsidP="005B6384">
      <w:pPr>
        <w:spacing w:after="400"/>
        <w:jc w:val="center"/>
      </w:pPr>
    </w:p>
    <w:tbl>
      <w:tblPr>
        <w:tblW w:w="8893"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4"/>
        <w:gridCol w:w="5929"/>
      </w:tblGrid>
      <w:tr w:rsidR="00EC5333" w14:paraId="5B5A5747" w14:textId="77777777" w:rsidTr="005B6384">
        <w:trPr>
          <w:trHeight w:val="373"/>
        </w:trPr>
        <w:tc>
          <w:tcPr>
            <w:tcW w:w="2964" w:type="dxa"/>
            <w:tcMar>
              <w:top w:w="80" w:type="dxa"/>
              <w:left w:w="120" w:type="dxa"/>
              <w:bottom w:w="80" w:type="dxa"/>
              <w:right w:w="120" w:type="dxa"/>
            </w:tcMar>
          </w:tcPr>
          <w:p w14:paraId="50ACA347" w14:textId="77777777" w:rsidR="00EC5333" w:rsidRDefault="00000000" w:rsidP="005B6384">
            <w:pPr>
              <w:spacing w:after="60"/>
              <w:jc w:val="center"/>
            </w:pPr>
            <w:r>
              <w:rPr>
                <w:b/>
                <w:bCs/>
                <w:color w:val="64748B"/>
                <w:sz w:val="19"/>
                <w:szCs w:val="19"/>
              </w:rPr>
              <w:t>Prepared for</w:t>
            </w:r>
          </w:p>
        </w:tc>
        <w:tc>
          <w:tcPr>
            <w:tcW w:w="5929" w:type="dxa"/>
            <w:tcMar>
              <w:top w:w="80" w:type="dxa"/>
              <w:left w:w="120" w:type="dxa"/>
              <w:bottom w:w="80" w:type="dxa"/>
              <w:right w:w="120" w:type="dxa"/>
            </w:tcMar>
          </w:tcPr>
          <w:p w14:paraId="0A00CA37" w14:textId="77777777" w:rsidR="00EC5333" w:rsidRDefault="00000000" w:rsidP="005B6384">
            <w:pPr>
              <w:spacing w:after="60"/>
              <w:jc w:val="center"/>
            </w:pPr>
            <w:r>
              <w:rPr>
                <w:color w:val="334155"/>
                <w:sz w:val="19"/>
                <w:szCs w:val="19"/>
              </w:rPr>
              <w:t>HHS Office of Refugee Resettlement</w:t>
            </w:r>
          </w:p>
        </w:tc>
      </w:tr>
      <w:tr w:rsidR="00EC5333" w14:paraId="1DC73F3B" w14:textId="77777777" w:rsidTr="005B6384">
        <w:trPr>
          <w:trHeight w:val="390"/>
        </w:trPr>
        <w:tc>
          <w:tcPr>
            <w:tcW w:w="2964" w:type="dxa"/>
            <w:tcMar>
              <w:top w:w="80" w:type="dxa"/>
              <w:left w:w="120" w:type="dxa"/>
              <w:bottom w:w="80" w:type="dxa"/>
              <w:right w:w="120" w:type="dxa"/>
            </w:tcMar>
          </w:tcPr>
          <w:p w14:paraId="33D31A95" w14:textId="77777777" w:rsidR="00EC5333" w:rsidRDefault="00000000" w:rsidP="005B6384">
            <w:pPr>
              <w:spacing w:after="60"/>
              <w:jc w:val="center"/>
            </w:pPr>
            <w:r>
              <w:rPr>
                <w:b/>
                <w:bCs/>
                <w:color w:val="64748B"/>
                <w:sz w:val="19"/>
                <w:szCs w:val="19"/>
              </w:rPr>
              <w:t>Classification</w:t>
            </w:r>
          </w:p>
        </w:tc>
        <w:tc>
          <w:tcPr>
            <w:tcW w:w="5929" w:type="dxa"/>
            <w:tcMar>
              <w:top w:w="80" w:type="dxa"/>
              <w:left w:w="120" w:type="dxa"/>
              <w:bottom w:w="80" w:type="dxa"/>
              <w:right w:w="120" w:type="dxa"/>
            </w:tcMar>
          </w:tcPr>
          <w:p w14:paraId="44AF8D29" w14:textId="77777777" w:rsidR="00EC5333" w:rsidRDefault="00000000" w:rsidP="005B6384">
            <w:pPr>
              <w:spacing w:after="60"/>
              <w:jc w:val="center"/>
            </w:pPr>
            <w:r>
              <w:rPr>
                <w:color w:val="334155"/>
                <w:sz w:val="19"/>
                <w:szCs w:val="19"/>
              </w:rPr>
              <w:t>For Official Use — Internship Research Project</w:t>
            </w:r>
          </w:p>
        </w:tc>
      </w:tr>
      <w:tr w:rsidR="00EC5333" w14:paraId="185F86A0" w14:textId="77777777" w:rsidTr="005B6384">
        <w:trPr>
          <w:trHeight w:val="424"/>
        </w:trPr>
        <w:tc>
          <w:tcPr>
            <w:tcW w:w="2964" w:type="dxa"/>
            <w:tcMar>
              <w:top w:w="80" w:type="dxa"/>
              <w:left w:w="120" w:type="dxa"/>
              <w:bottom w:w="80" w:type="dxa"/>
              <w:right w:w="120" w:type="dxa"/>
            </w:tcMar>
          </w:tcPr>
          <w:p w14:paraId="7FD16C08" w14:textId="77777777" w:rsidR="00EC5333" w:rsidRDefault="00000000" w:rsidP="005B6384">
            <w:pPr>
              <w:spacing w:after="60"/>
              <w:jc w:val="center"/>
            </w:pPr>
            <w:r>
              <w:rPr>
                <w:b/>
                <w:bCs/>
                <w:color w:val="64748B"/>
                <w:sz w:val="19"/>
                <w:szCs w:val="19"/>
              </w:rPr>
              <w:t>Year</w:t>
            </w:r>
          </w:p>
        </w:tc>
        <w:tc>
          <w:tcPr>
            <w:tcW w:w="5929" w:type="dxa"/>
            <w:tcMar>
              <w:top w:w="80" w:type="dxa"/>
              <w:left w:w="120" w:type="dxa"/>
              <w:bottom w:w="80" w:type="dxa"/>
              <w:right w:w="120" w:type="dxa"/>
            </w:tcMar>
          </w:tcPr>
          <w:p w14:paraId="202A788D" w14:textId="379164A7" w:rsidR="00EC5333" w:rsidRDefault="005B6384" w:rsidP="005B6384">
            <w:pPr>
              <w:spacing w:after="60"/>
              <w:jc w:val="center"/>
            </w:pPr>
            <w:r>
              <w:t>July - 2026</w:t>
            </w:r>
          </w:p>
        </w:tc>
      </w:tr>
      <w:tr w:rsidR="00EC5333" w14:paraId="4DA39941" w14:textId="77777777" w:rsidTr="005B6384">
        <w:trPr>
          <w:trHeight w:val="373"/>
        </w:trPr>
        <w:tc>
          <w:tcPr>
            <w:tcW w:w="2964" w:type="dxa"/>
            <w:tcMar>
              <w:top w:w="80" w:type="dxa"/>
              <w:left w:w="120" w:type="dxa"/>
              <w:bottom w:w="80" w:type="dxa"/>
              <w:right w:w="120" w:type="dxa"/>
            </w:tcMar>
          </w:tcPr>
          <w:p w14:paraId="23BC73F4" w14:textId="77777777" w:rsidR="00EC5333" w:rsidRDefault="00000000" w:rsidP="005B6384">
            <w:pPr>
              <w:spacing w:after="60"/>
              <w:jc w:val="center"/>
            </w:pPr>
            <w:r>
              <w:rPr>
                <w:b/>
                <w:bCs/>
                <w:color w:val="64748B"/>
                <w:sz w:val="19"/>
                <w:szCs w:val="19"/>
              </w:rPr>
              <w:t>Models Tested</w:t>
            </w:r>
          </w:p>
        </w:tc>
        <w:tc>
          <w:tcPr>
            <w:tcW w:w="5929" w:type="dxa"/>
            <w:tcMar>
              <w:top w:w="80" w:type="dxa"/>
              <w:left w:w="120" w:type="dxa"/>
              <w:bottom w:w="80" w:type="dxa"/>
              <w:right w:w="120" w:type="dxa"/>
            </w:tcMar>
          </w:tcPr>
          <w:p w14:paraId="0FB92A97" w14:textId="77777777" w:rsidR="00EC5333" w:rsidRDefault="00000000" w:rsidP="005B6384">
            <w:pPr>
              <w:spacing w:after="60"/>
              <w:jc w:val="center"/>
            </w:pPr>
            <w:proofErr w:type="gramStart"/>
            <w:r>
              <w:rPr>
                <w:color w:val="334155"/>
                <w:sz w:val="19"/>
                <w:szCs w:val="19"/>
              </w:rPr>
              <w:t>7  (</w:t>
            </w:r>
            <w:proofErr w:type="gramEnd"/>
            <w:r>
              <w:rPr>
                <w:color w:val="334155"/>
                <w:sz w:val="19"/>
                <w:szCs w:val="19"/>
              </w:rPr>
              <w:t>Statistical and Machine Learning)</w:t>
            </w:r>
          </w:p>
        </w:tc>
      </w:tr>
    </w:tbl>
    <w:p w14:paraId="183B2783" w14:textId="77777777" w:rsidR="00EC5333" w:rsidRDefault="00EC5333" w:rsidP="005B6384">
      <w:pPr>
        <w:spacing w:after="200"/>
        <w:jc w:val="center"/>
      </w:pPr>
    </w:p>
    <w:p w14:paraId="30677859" w14:textId="77777777" w:rsidR="00EC5333" w:rsidRDefault="00000000">
      <w:r>
        <w:br w:type="page"/>
      </w:r>
    </w:p>
    <w:p w14:paraId="0C80CB2C" w14:textId="3E3907AD" w:rsidR="00EC5333" w:rsidRPr="005B6384" w:rsidRDefault="005B6384">
      <w:pPr>
        <w:pBdr>
          <w:bottom w:val="single" w:sz="8" w:space="4" w:color="1B2A4A"/>
        </w:pBdr>
        <w:spacing w:before="400" w:after="160"/>
        <w:rPr>
          <w:b/>
          <w:bCs/>
          <w:sz w:val="28"/>
          <w:szCs w:val="28"/>
        </w:rPr>
      </w:pPr>
      <w:r w:rsidRPr="005B6384">
        <w:rPr>
          <w:b/>
          <w:bCs/>
          <w:sz w:val="28"/>
          <w:szCs w:val="28"/>
        </w:rPr>
        <w:lastRenderedPageBreak/>
        <w:t>ABSTRACT</w:t>
      </w:r>
    </w:p>
    <w:p w14:paraId="43FF0C7C" w14:textId="77777777" w:rsidR="00EC5333" w:rsidRDefault="00000000">
      <w:pPr>
        <w:spacing w:after="140" w:line="360" w:lineRule="auto"/>
        <w:jc w:val="both"/>
      </w:pPr>
      <w:r>
        <w:rPr>
          <w:sz w:val="21"/>
          <w:szCs w:val="21"/>
        </w:rPr>
        <w:t>The HHS Unaccompanied Alien Children (UAC) program has long managed shelter capacity by reacting to surges after they happen. This paper describes a forecasting study that tests seven different models — from basic statistical methods to machine learning — on the HHS UAC dataset, trying to predict how many children will be in care over the next 7, 14, and 30 days.</w:t>
      </w:r>
    </w:p>
    <w:p w14:paraId="41440C92" w14:textId="570B5C56" w:rsidR="00EC5333" w:rsidRDefault="00000000" w:rsidP="005B6384">
      <w:pPr>
        <w:spacing w:after="140" w:line="360" w:lineRule="auto"/>
        <w:jc w:val="both"/>
      </w:pPr>
      <w:r>
        <w:rPr>
          <w:sz w:val="21"/>
          <w:szCs w:val="21"/>
        </w:rPr>
        <w:t>The best result came from Random Forest, which hit 99.03% accuracy on a 7-day forecast. Exponential Smoothing gave the earliest warning before a capacity surge — 9 days ahead. We also defined five metrics to measure how useful each model actually is in practice: forecast accuracy, surge lead time, capacity breach probability, forecast stability, and consistency across different time horizons. The work produced a live web dashboard, a full research paper, and this summary.</w:t>
      </w:r>
    </w:p>
    <w:p w14:paraId="6AA31561" w14:textId="77777777" w:rsidR="00EC5333" w:rsidRDefault="00000000">
      <w:pPr>
        <w:spacing w:after="200"/>
      </w:pPr>
      <w:r>
        <w:rPr>
          <w:b/>
          <w:bCs/>
          <w:color w:val="1B2A4A"/>
          <w:sz w:val="20"/>
          <w:szCs w:val="20"/>
        </w:rPr>
        <w:t xml:space="preserve">Keywords: </w:t>
      </w:r>
      <w:r w:rsidRPr="005B6384">
        <w:rPr>
          <w:color w:val="64748B"/>
          <w:sz w:val="20"/>
          <w:szCs w:val="20"/>
        </w:rPr>
        <w:t>UAC program, time-series forecasting, ARIMA, machine learning, capacity planning, HHS, child welfare</w:t>
      </w:r>
    </w:p>
    <w:p w14:paraId="0D780A00" w14:textId="2ADF64FE" w:rsidR="00EC5333" w:rsidRPr="005B6384" w:rsidRDefault="00000000">
      <w:pPr>
        <w:pBdr>
          <w:bottom w:val="single" w:sz="8" w:space="4" w:color="1B2A4A"/>
        </w:pBdr>
        <w:spacing w:before="400" w:after="160"/>
        <w:rPr>
          <w:b/>
          <w:bCs/>
          <w:sz w:val="28"/>
          <w:szCs w:val="28"/>
        </w:rPr>
      </w:pPr>
      <w:r w:rsidRPr="005B6384">
        <w:rPr>
          <w:b/>
          <w:bCs/>
          <w:caps/>
          <w:color w:val="1B2A4A"/>
          <w:spacing w:val="60"/>
          <w:sz w:val="28"/>
          <w:szCs w:val="28"/>
        </w:rPr>
        <w:t xml:space="preserve">1. </w:t>
      </w:r>
      <w:r w:rsidR="005B6384" w:rsidRPr="005B6384">
        <w:rPr>
          <w:b/>
          <w:bCs/>
          <w:sz w:val="28"/>
          <w:szCs w:val="28"/>
        </w:rPr>
        <w:t>BACKGROUND AND THE PROBLEM</w:t>
      </w:r>
    </w:p>
    <w:p w14:paraId="51245AB8" w14:textId="77777777" w:rsidR="00EC5333" w:rsidRDefault="00000000">
      <w:pPr>
        <w:spacing w:after="140" w:line="360" w:lineRule="auto"/>
        <w:jc w:val="both"/>
      </w:pPr>
      <w:r>
        <w:rPr>
          <w:sz w:val="21"/>
          <w:szCs w:val="21"/>
        </w:rPr>
        <w:t>The Office of Refugee Resettlement runs shelters and placement services for children who arrive at the U.S. border alone. The number of children needing care changes constantly — it goes up in spring and late summer, shifts when border enforcement policy changes, and spikes unpredictably during political crises.</w:t>
      </w:r>
    </w:p>
    <w:p w14:paraId="7AB931F0" w14:textId="77777777" w:rsidR="00EC5333" w:rsidRDefault="00000000">
      <w:pPr>
        <w:spacing w:after="140" w:line="360" w:lineRule="auto"/>
        <w:jc w:val="both"/>
      </w:pPr>
      <w:r>
        <w:rPr>
          <w:sz w:val="21"/>
          <w:szCs w:val="21"/>
        </w:rPr>
        <w:t>The core problem is that the program has historically responded to these changes after they occur. When intake jumps, shelters scramble to find space, staff levels lag behind, and placements slow down. Nobody was watching the numbers and saying: 'this is going to get worse in two weeks, let's prepare now.'</w:t>
      </w:r>
    </w:p>
    <w:p w14:paraId="2DBDB003" w14:textId="77777777" w:rsidR="00EC5333" w:rsidRDefault="00000000">
      <w:pPr>
        <w:spacing w:after="140" w:line="360" w:lineRule="auto"/>
        <w:jc w:val="both"/>
      </w:pPr>
      <w:r>
        <w:rPr>
          <w:sz w:val="21"/>
          <w:szCs w:val="21"/>
        </w:rPr>
        <w:t xml:space="preserve">This project was an attempt to fix that. Using the public HHS UAC dataset, we built and tested forecasting models that predict future care load days in advance, giving program managers time to act before a surge </w:t>
      </w:r>
      <w:proofErr w:type="gramStart"/>
      <w:r>
        <w:rPr>
          <w:sz w:val="21"/>
          <w:szCs w:val="21"/>
        </w:rPr>
        <w:t>hits</w:t>
      </w:r>
      <w:proofErr w:type="gramEnd"/>
      <w:r>
        <w:rPr>
          <w:sz w:val="21"/>
          <w:szCs w:val="21"/>
        </w:rPr>
        <w:t xml:space="preserve"> rather than during it.</w:t>
      </w:r>
    </w:p>
    <w:p w14:paraId="61162540" w14:textId="77777777" w:rsidR="00EC5333" w:rsidRDefault="00000000">
      <w:pPr>
        <w:spacing w:before="260" w:after="100"/>
      </w:pPr>
      <w:r>
        <w:rPr>
          <w:b/>
          <w:bCs/>
          <w:color w:val="1B2A4A"/>
        </w:rPr>
        <w:t>Questions we tried to answer</w:t>
      </w:r>
    </w:p>
    <w:p w14:paraId="299FF100" w14:textId="77777777" w:rsidR="00EC5333" w:rsidRDefault="00000000">
      <w:pPr>
        <w:pStyle w:val="ListParagraph"/>
        <w:numPr>
          <w:ilvl w:val="0"/>
          <w:numId w:val="1"/>
        </w:numPr>
        <w:spacing w:after="80"/>
      </w:pPr>
      <w:r>
        <w:rPr>
          <w:color w:val="334155"/>
          <w:sz w:val="21"/>
          <w:szCs w:val="21"/>
        </w:rPr>
        <w:t>Which model predicts care load most accurately across 7-, 14-, and 30-day windows?</w:t>
      </w:r>
    </w:p>
    <w:p w14:paraId="77ED644A" w14:textId="77777777" w:rsidR="00EC5333" w:rsidRDefault="00000000">
      <w:pPr>
        <w:pStyle w:val="ListParagraph"/>
        <w:numPr>
          <w:ilvl w:val="0"/>
          <w:numId w:val="1"/>
        </w:numPr>
        <w:spacing w:after="80"/>
      </w:pPr>
      <w:r>
        <w:rPr>
          <w:color w:val="334155"/>
          <w:sz w:val="21"/>
          <w:szCs w:val="21"/>
        </w:rPr>
        <w:t>How far in advance can we reliably predict that a capacity limit will be crossed?</w:t>
      </w:r>
    </w:p>
    <w:p w14:paraId="692D5C2C" w14:textId="77777777" w:rsidR="00EC5333" w:rsidRDefault="00000000">
      <w:pPr>
        <w:pStyle w:val="ListParagraph"/>
        <w:numPr>
          <w:ilvl w:val="0"/>
          <w:numId w:val="1"/>
        </w:numPr>
        <w:spacing w:after="80"/>
      </w:pPr>
      <w:r>
        <w:rPr>
          <w:color w:val="334155"/>
          <w:sz w:val="21"/>
          <w:szCs w:val="21"/>
        </w:rPr>
        <w:t>How likely is it, in any given forecast window, that demand will exceed available capacity?</w:t>
      </w:r>
    </w:p>
    <w:p w14:paraId="0C35F667" w14:textId="77777777" w:rsidR="00EC5333" w:rsidRDefault="00000000">
      <w:pPr>
        <w:pStyle w:val="ListParagraph"/>
        <w:numPr>
          <w:ilvl w:val="0"/>
          <w:numId w:val="1"/>
        </w:numPr>
        <w:spacing w:after="80"/>
      </w:pPr>
      <w:r>
        <w:rPr>
          <w:color w:val="334155"/>
          <w:sz w:val="21"/>
          <w:szCs w:val="21"/>
        </w:rPr>
        <w:t>How consistent are the predictions across different time periods and horizons?</w:t>
      </w:r>
    </w:p>
    <w:p w14:paraId="0D3A8EE9" w14:textId="51990EFB" w:rsidR="00EC5333" w:rsidRPr="005B6384" w:rsidRDefault="00000000">
      <w:pPr>
        <w:pBdr>
          <w:bottom w:val="single" w:sz="8" w:space="4" w:color="1B2A4A"/>
        </w:pBdr>
        <w:spacing w:before="400" w:after="160"/>
        <w:rPr>
          <w:b/>
          <w:bCs/>
          <w:sz w:val="28"/>
          <w:szCs w:val="28"/>
        </w:rPr>
      </w:pPr>
      <w:r w:rsidRPr="005B6384">
        <w:rPr>
          <w:b/>
          <w:bCs/>
          <w:caps/>
          <w:color w:val="1B2A4A"/>
          <w:spacing w:val="60"/>
          <w:sz w:val="28"/>
          <w:szCs w:val="28"/>
        </w:rPr>
        <w:t xml:space="preserve">2. </w:t>
      </w:r>
      <w:r w:rsidR="005B6384" w:rsidRPr="005B6384">
        <w:rPr>
          <w:b/>
          <w:bCs/>
          <w:sz w:val="28"/>
          <w:szCs w:val="28"/>
        </w:rPr>
        <w:t xml:space="preserve">HOW WE DID IT </w:t>
      </w:r>
    </w:p>
    <w:p w14:paraId="1A892AAF" w14:textId="77777777" w:rsidR="00EC5333" w:rsidRDefault="00000000">
      <w:pPr>
        <w:spacing w:after="140" w:line="360" w:lineRule="auto"/>
        <w:jc w:val="both"/>
      </w:pPr>
      <w:r>
        <w:rPr>
          <w:sz w:val="21"/>
          <w:szCs w:val="21"/>
        </w:rPr>
        <w:t xml:space="preserve">We started by cleaning the dataset and building additional features from it: previous day values (lags), rolling averages, and calendar flags like day of week and month. These extra columns gave the machine learning models more context to work with. We then trained all seven models on 80% of the data and tested them on </w:t>
      </w:r>
      <w:r>
        <w:rPr>
          <w:sz w:val="21"/>
          <w:szCs w:val="21"/>
        </w:rPr>
        <w:lastRenderedPageBreak/>
        <w:t>the remaining 20%, using a rolling window approach so each forecast was made in order, the same way it would happen in real life.</w:t>
      </w:r>
    </w:p>
    <w:p w14:paraId="1B372B3B" w14:textId="77777777" w:rsidR="00EC5333" w:rsidRDefault="00EC5333">
      <w:pPr>
        <w:spacing w:after="100"/>
      </w:pPr>
    </w:p>
    <w:tbl>
      <w:tblPr>
        <w:tblW w:w="9000"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400"/>
      </w:tblGrid>
      <w:tr w:rsidR="00EC5333" w14:paraId="5A650B7E" w14:textId="77777777">
        <w:trPr>
          <w:tblHeader/>
        </w:trPr>
        <w:tc>
          <w:tcPr>
            <w:tcW w:w="2600" w:type="dxa"/>
            <w:shd w:val="clear" w:color="1B2A4A" w:fill="1B2A4A"/>
            <w:tcMar>
              <w:top w:w="80" w:type="dxa"/>
              <w:left w:w="120" w:type="dxa"/>
              <w:bottom w:w="80" w:type="dxa"/>
              <w:right w:w="120" w:type="dxa"/>
            </w:tcMar>
          </w:tcPr>
          <w:p w14:paraId="2E823DFE" w14:textId="77777777" w:rsidR="00EC5333" w:rsidRDefault="00000000">
            <w:pPr>
              <w:spacing w:after="80"/>
              <w:jc w:val="center"/>
            </w:pPr>
            <w:r>
              <w:rPr>
                <w:b/>
                <w:bCs/>
                <w:color w:val="FFFFFF"/>
                <w:sz w:val="19"/>
                <w:szCs w:val="19"/>
              </w:rPr>
              <w:t>Model</w:t>
            </w:r>
          </w:p>
        </w:tc>
        <w:tc>
          <w:tcPr>
            <w:tcW w:w="2000" w:type="dxa"/>
            <w:shd w:val="clear" w:color="1B2A4A" w:fill="1B2A4A"/>
            <w:tcMar>
              <w:top w:w="80" w:type="dxa"/>
              <w:left w:w="120" w:type="dxa"/>
              <w:bottom w:w="80" w:type="dxa"/>
              <w:right w:w="120" w:type="dxa"/>
            </w:tcMar>
          </w:tcPr>
          <w:p w14:paraId="5590FEA8" w14:textId="77777777" w:rsidR="00EC5333" w:rsidRDefault="00000000">
            <w:pPr>
              <w:spacing w:after="80"/>
              <w:jc w:val="center"/>
            </w:pPr>
            <w:r>
              <w:rPr>
                <w:b/>
                <w:bCs/>
                <w:color w:val="FFFFFF"/>
                <w:sz w:val="19"/>
                <w:szCs w:val="19"/>
              </w:rPr>
              <w:t>Type</w:t>
            </w:r>
          </w:p>
        </w:tc>
        <w:tc>
          <w:tcPr>
            <w:tcW w:w="4400" w:type="dxa"/>
            <w:shd w:val="clear" w:color="1B2A4A" w:fill="1B2A4A"/>
            <w:tcMar>
              <w:top w:w="80" w:type="dxa"/>
              <w:left w:w="120" w:type="dxa"/>
              <w:bottom w:w="80" w:type="dxa"/>
              <w:right w:w="120" w:type="dxa"/>
            </w:tcMar>
          </w:tcPr>
          <w:p w14:paraId="36865484" w14:textId="77777777" w:rsidR="00EC5333" w:rsidRDefault="00000000">
            <w:pPr>
              <w:spacing w:after="80"/>
              <w:jc w:val="center"/>
            </w:pPr>
            <w:r>
              <w:rPr>
                <w:b/>
                <w:bCs/>
                <w:color w:val="FFFFFF"/>
                <w:sz w:val="19"/>
                <w:szCs w:val="19"/>
              </w:rPr>
              <w:t>What it does</w:t>
            </w:r>
          </w:p>
        </w:tc>
      </w:tr>
      <w:tr w:rsidR="00EC5333" w14:paraId="2F7B4BBA" w14:textId="77777777">
        <w:tc>
          <w:tcPr>
            <w:tcW w:w="2600" w:type="dxa"/>
            <w:shd w:val="clear" w:color="F8FAFC" w:fill="F8FAFC"/>
            <w:tcMar>
              <w:top w:w="80" w:type="dxa"/>
              <w:left w:w="120" w:type="dxa"/>
              <w:bottom w:w="80" w:type="dxa"/>
              <w:right w:w="120" w:type="dxa"/>
            </w:tcMar>
          </w:tcPr>
          <w:p w14:paraId="7176BBCF" w14:textId="77777777" w:rsidR="00EC5333" w:rsidRDefault="00000000">
            <w:pPr>
              <w:spacing w:after="60"/>
            </w:pPr>
            <w:r>
              <w:rPr>
                <w:color w:val="334155"/>
                <w:sz w:val="19"/>
                <w:szCs w:val="19"/>
              </w:rPr>
              <w:t>Naïve Persistence</w:t>
            </w:r>
          </w:p>
        </w:tc>
        <w:tc>
          <w:tcPr>
            <w:tcW w:w="2000" w:type="dxa"/>
            <w:shd w:val="clear" w:color="F8FAFC" w:fill="F8FAFC"/>
            <w:tcMar>
              <w:top w:w="80" w:type="dxa"/>
              <w:left w:w="120" w:type="dxa"/>
              <w:bottom w:w="80" w:type="dxa"/>
              <w:right w:w="120" w:type="dxa"/>
            </w:tcMar>
          </w:tcPr>
          <w:p w14:paraId="730FE8A3" w14:textId="77777777" w:rsidR="00EC5333" w:rsidRDefault="00000000">
            <w:pPr>
              <w:spacing w:after="60"/>
            </w:pPr>
            <w:r>
              <w:rPr>
                <w:color w:val="334155"/>
                <w:sz w:val="19"/>
                <w:szCs w:val="19"/>
              </w:rPr>
              <w:t>Baseline</w:t>
            </w:r>
          </w:p>
        </w:tc>
        <w:tc>
          <w:tcPr>
            <w:tcW w:w="4400" w:type="dxa"/>
            <w:shd w:val="clear" w:color="F8FAFC" w:fill="F8FAFC"/>
            <w:tcMar>
              <w:top w:w="80" w:type="dxa"/>
              <w:left w:w="120" w:type="dxa"/>
              <w:bottom w:w="80" w:type="dxa"/>
              <w:right w:w="120" w:type="dxa"/>
            </w:tcMar>
          </w:tcPr>
          <w:p w14:paraId="445C998B" w14:textId="77777777" w:rsidR="00EC5333" w:rsidRDefault="00000000">
            <w:pPr>
              <w:spacing w:after="60"/>
            </w:pPr>
            <w:r>
              <w:rPr>
                <w:color w:val="334155"/>
                <w:sz w:val="19"/>
                <w:szCs w:val="19"/>
              </w:rPr>
              <w:t>Assumes tomorrow = today. Sets a floor for comparison.</w:t>
            </w:r>
          </w:p>
        </w:tc>
      </w:tr>
      <w:tr w:rsidR="00EC5333" w14:paraId="082C1B3D" w14:textId="77777777">
        <w:tc>
          <w:tcPr>
            <w:tcW w:w="2600" w:type="dxa"/>
            <w:tcMar>
              <w:top w:w="80" w:type="dxa"/>
              <w:left w:w="120" w:type="dxa"/>
              <w:bottom w:w="80" w:type="dxa"/>
              <w:right w:w="120" w:type="dxa"/>
            </w:tcMar>
          </w:tcPr>
          <w:p w14:paraId="2814FD6E" w14:textId="77777777" w:rsidR="00EC5333" w:rsidRDefault="00000000">
            <w:pPr>
              <w:spacing w:after="60"/>
            </w:pPr>
            <w:r>
              <w:rPr>
                <w:color w:val="334155"/>
                <w:sz w:val="19"/>
                <w:szCs w:val="19"/>
              </w:rPr>
              <w:t>Moving Average</w:t>
            </w:r>
          </w:p>
        </w:tc>
        <w:tc>
          <w:tcPr>
            <w:tcW w:w="2000" w:type="dxa"/>
            <w:tcMar>
              <w:top w:w="80" w:type="dxa"/>
              <w:left w:w="120" w:type="dxa"/>
              <w:bottom w:w="80" w:type="dxa"/>
              <w:right w:w="120" w:type="dxa"/>
            </w:tcMar>
          </w:tcPr>
          <w:p w14:paraId="484B3D27" w14:textId="77777777" w:rsidR="00EC5333" w:rsidRDefault="00000000">
            <w:pPr>
              <w:spacing w:after="60"/>
            </w:pPr>
            <w:r>
              <w:rPr>
                <w:color w:val="334155"/>
                <w:sz w:val="19"/>
                <w:szCs w:val="19"/>
              </w:rPr>
              <w:t>Statistical</w:t>
            </w:r>
          </w:p>
        </w:tc>
        <w:tc>
          <w:tcPr>
            <w:tcW w:w="4400" w:type="dxa"/>
            <w:tcMar>
              <w:top w:w="80" w:type="dxa"/>
              <w:left w:w="120" w:type="dxa"/>
              <w:bottom w:w="80" w:type="dxa"/>
              <w:right w:w="120" w:type="dxa"/>
            </w:tcMar>
          </w:tcPr>
          <w:p w14:paraId="0975D2FE" w14:textId="77777777" w:rsidR="00EC5333" w:rsidRDefault="00000000">
            <w:pPr>
              <w:spacing w:after="60"/>
            </w:pPr>
            <w:r>
              <w:rPr>
                <w:color w:val="334155"/>
                <w:sz w:val="19"/>
                <w:szCs w:val="19"/>
              </w:rPr>
              <w:t>Averages the last 7 days as the forecast.</w:t>
            </w:r>
          </w:p>
        </w:tc>
      </w:tr>
      <w:tr w:rsidR="00EC5333" w14:paraId="46EB36DE" w14:textId="77777777">
        <w:tc>
          <w:tcPr>
            <w:tcW w:w="2600" w:type="dxa"/>
            <w:shd w:val="clear" w:color="F8FAFC" w:fill="F8FAFC"/>
            <w:tcMar>
              <w:top w:w="80" w:type="dxa"/>
              <w:left w:w="120" w:type="dxa"/>
              <w:bottom w:w="80" w:type="dxa"/>
              <w:right w:w="120" w:type="dxa"/>
            </w:tcMar>
          </w:tcPr>
          <w:p w14:paraId="1F1DB925" w14:textId="77777777" w:rsidR="00EC5333" w:rsidRDefault="00000000">
            <w:pPr>
              <w:spacing w:after="60"/>
            </w:pPr>
            <w:r>
              <w:rPr>
                <w:color w:val="334155"/>
                <w:sz w:val="19"/>
                <w:szCs w:val="19"/>
              </w:rPr>
              <w:t>ARIMA</w:t>
            </w:r>
          </w:p>
        </w:tc>
        <w:tc>
          <w:tcPr>
            <w:tcW w:w="2000" w:type="dxa"/>
            <w:shd w:val="clear" w:color="F8FAFC" w:fill="F8FAFC"/>
            <w:tcMar>
              <w:top w:w="80" w:type="dxa"/>
              <w:left w:w="120" w:type="dxa"/>
              <w:bottom w:w="80" w:type="dxa"/>
              <w:right w:w="120" w:type="dxa"/>
            </w:tcMar>
          </w:tcPr>
          <w:p w14:paraId="52548CF1" w14:textId="77777777" w:rsidR="00EC5333" w:rsidRDefault="00000000">
            <w:pPr>
              <w:spacing w:after="60"/>
            </w:pPr>
            <w:r>
              <w:rPr>
                <w:color w:val="334155"/>
                <w:sz w:val="19"/>
                <w:szCs w:val="19"/>
              </w:rPr>
              <w:t>Statistical</w:t>
            </w:r>
          </w:p>
        </w:tc>
        <w:tc>
          <w:tcPr>
            <w:tcW w:w="4400" w:type="dxa"/>
            <w:shd w:val="clear" w:color="F8FAFC" w:fill="F8FAFC"/>
            <w:tcMar>
              <w:top w:w="80" w:type="dxa"/>
              <w:left w:w="120" w:type="dxa"/>
              <w:bottom w:w="80" w:type="dxa"/>
              <w:right w:w="120" w:type="dxa"/>
            </w:tcMar>
          </w:tcPr>
          <w:p w14:paraId="10AFE4DA" w14:textId="77777777" w:rsidR="00EC5333" w:rsidRDefault="00000000">
            <w:pPr>
              <w:spacing w:after="60"/>
            </w:pPr>
            <w:r>
              <w:rPr>
                <w:color w:val="334155"/>
                <w:sz w:val="19"/>
                <w:szCs w:val="19"/>
              </w:rPr>
              <w:t>Uses past values and past errors to forecast forward.</w:t>
            </w:r>
          </w:p>
        </w:tc>
      </w:tr>
      <w:tr w:rsidR="00EC5333" w14:paraId="666AFDC8" w14:textId="77777777">
        <w:tc>
          <w:tcPr>
            <w:tcW w:w="2600" w:type="dxa"/>
            <w:tcMar>
              <w:top w:w="80" w:type="dxa"/>
              <w:left w:w="120" w:type="dxa"/>
              <w:bottom w:w="80" w:type="dxa"/>
              <w:right w:w="120" w:type="dxa"/>
            </w:tcMar>
          </w:tcPr>
          <w:p w14:paraId="48A4BAEA" w14:textId="77777777" w:rsidR="00EC5333" w:rsidRDefault="00000000">
            <w:pPr>
              <w:spacing w:after="60"/>
            </w:pPr>
            <w:r>
              <w:rPr>
                <w:color w:val="334155"/>
                <w:sz w:val="19"/>
                <w:szCs w:val="19"/>
              </w:rPr>
              <w:t>SARIMA</w:t>
            </w:r>
          </w:p>
        </w:tc>
        <w:tc>
          <w:tcPr>
            <w:tcW w:w="2000" w:type="dxa"/>
            <w:tcMar>
              <w:top w:w="80" w:type="dxa"/>
              <w:left w:w="120" w:type="dxa"/>
              <w:bottom w:w="80" w:type="dxa"/>
              <w:right w:w="120" w:type="dxa"/>
            </w:tcMar>
          </w:tcPr>
          <w:p w14:paraId="72A37BCC" w14:textId="77777777" w:rsidR="00EC5333" w:rsidRDefault="00000000">
            <w:pPr>
              <w:spacing w:after="60"/>
            </w:pPr>
            <w:r>
              <w:rPr>
                <w:color w:val="334155"/>
                <w:sz w:val="19"/>
                <w:szCs w:val="19"/>
              </w:rPr>
              <w:t>Statistical</w:t>
            </w:r>
          </w:p>
        </w:tc>
        <w:tc>
          <w:tcPr>
            <w:tcW w:w="4400" w:type="dxa"/>
            <w:tcMar>
              <w:top w:w="80" w:type="dxa"/>
              <w:left w:w="120" w:type="dxa"/>
              <w:bottom w:w="80" w:type="dxa"/>
              <w:right w:w="120" w:type="dxa"/>
            </w:tcMar>
          </w:tcPr>
          <w:p w14:paraId="04D12452" w14:textId="77777777" w:rsidR="00EC5333" w:rsidRDefault="00000000">
            <w:pPr>
              <w:spacing w:after="60"/>
            </w:pPr>
            <w:r>
              <w:rPr>
                <w:color w:val="334155"/>
                <w:sz w:val="19"/>
                <w:szCs w:val="19"/>
              </w:rPr>
              <w:t>ARIMA with a seasonal layer for recurring annual patterns.</w:t>
            </w:r>
          </w:p>
        </w:tc>
      </w:tr>
      <w:tr w:rsidR="00EC5333" w14:paraId="40D50747" w14:textId="77777777">
        <w:tc>
          <w:tcPr>
            <w:tcW w:w="2600" w:type="dxa"/>
            <w:shd w:val="clear" w:color="F8FAFC" w:fill="F8FAFC"/>
            <w:tcMar>
              <w:top w:w="80" w:type="dxa"/>
              <w:left w:w="120" w:type="dxa"/>
              <w:bottom w:w="80" w:type="dxa"/>
              <w:right w:w="120" w:type="dxa"/>
            </w:tcMar>
          </w:tcPr>
          <w:p w14:paraId="3196D100" w14:textId="77777777" w:rsidR="00EC5333" w:rsidRDefault="00000000">
            <w:pPr>
              <w:spacing w:after="60"/>
            </w:pPr>
            <w:r>
              <w:rPr>
                <w:color w:val="334155"/>
                <w:sz w:val="19"/>
                <w:szCs w:val="19"/>
              </w:rPr>
              <w:t>Exp. Smoothing</w:t>
            </w:r>
          </w:p>
        </w:tc>
        <w:tc>
          <w:tcPr>
            <w:tcW w:w="2000" w:type="dxa"/>
            <w:shd w:val="clear" w:color="F8FAFC" w:fill="F8FAFC"/>
            <w:tcMar>
              <w:top w:w="80" w:type="dxa"/>
              <w:left w:w="120" w:type="dxa"/>
              <w:bottom w:w="80" w:type="dxa"/>
              <w:right w:w="120" w:type="dxa"/>
            </w:tcMar>
          </w:tcPr>
          <w:p w14:paraId="01DCC3B2" w14:textId="77777777" w:rsidR="00EC5333" w:rsidRDefault="00000000">
            <w:pPr>
              <w:spacing w:after="60"/>
            </w:pPr>
            <w:r>
              <w:rPr>
                <w:color w:val="334155"/>
                <w:sz w:val="19"/>
                <w:szCs w:val="19"/>
              </w:rPr>
              <w:t>Statistical</w:t>
            </w:r>
          </w:p>
        </w:tc>
        <w:tc>
          <w:tcPr>
            <w:tcW w:w="4400" w:type="dxa"/>
            <w:shd w:val="clear" w:color="F8FAFC" w:fill="F8FAFC"/>
            <w:tcMar>
              <w:top w:w="80" w:type="dxa"/>
              <w:left w:w="120" w:type="dxa"/>
              <w:bottom w:w="80" w:type="dxa"/>
              <w:right w:w="120" w:type="dxa"/>
            </w:tcMar>
          </w:tcPr>
          <w:p w14:paraId="0D4C3D36" w14:textId="77777777" w:rsidR="00EC5333" w:rsidRDefault="00000000">
            <w:pPr>
              <w:spacing w:after="60"/>
            </w:pPr>
            <w:r>
              <w:rPr>
                <w:color w:val="334155"/>
                <w:sz w:val="19"/>
                <w:szCs w:val="19"/>
              </w:rPr>
              <w:t>Weights recent data more than older data.</w:t>
            </w:r>
          </w:p>
        </w:tc>
      </w:tr>
      <w:tr w:rsidR="00EC5333" w14:paraId="26FCD945" w14:textId="77777777">
        <w:tc>
          <w:tcPr>
            <w:tcW w:w="2600" w:type="dxa"/>
            <w:tcMar>
              <w:top w:w="80" w:type="dxa"/>
              <w:left w:w="120" w:type="dxa"/>
              <w:bottom w:w="80" w:type="dxa"/>
              <w:right w:w="120" w:type="dxa"/>
            </w:tcMar>
          </w:tcPr>
          <w:p w14:paraId="47850447" w14:textId="77777777" w:rsidR="00EC5333" w:rsidRDefault="00000000">
            <w:pPr>
              <w:spacing w:after="60"/>
            </w:pPr>
            <w:r>
              <w:rPr>
                <w:color w:val="334155"/>
                <w:sz w:val="19"/>
                <w:szCs w:val="19"/>
              </w:rPr>
              <w:t>Random Forest</w:t>
            </w:r>
          </w:p>
        </w:tc>
        <w:tc>
          <w:tcPr>
            <w:tcW w:w="2000" w:type="dxa"/>
            <w:tcMar>
              <w:top w:w="80" w:type="dxa"/>
              <w:left w:w="120" w:type="dxa"/>
              <w:bottom w:w="80" w:type="dxa"/>
              <w:right w:w="120" w:type="dxa"/>
            </w:tcMar>
          </w:tcPr>
          <w:p w14:paraId="5501EC03" w14:textId="77777777" w:rsidR="00EC5333" w:rsidRDefault="00000000">
            <w:pPr>
              <w:spacing w:after="60"/>
            </w:pPr>
            <w:r>
              <w:rPr>
                <w:color w:val="334155"/>
                <w:sz w:val="19"/>
                <w:szCs w:val="19"/>
              </w:rPr>
              <w:t>Machine Learning</w:t>
            </w:r>
          </w:p>
        </w:tc>
        <w:tc>
          <w:tcPr>
            <w:tcW w:w="4400" w:type="dxa"/>
            <w:tcMar>
              <w:top w:w="80" w:type="dxa"/>
              <w:left w:w="120" w:type="dxa"/>
              <w:bottom w:w="80" w:type="dxa"/>
              <w:right w:w="120" w:type="dxa"/>
            </w:tcMar>
          </w:tcPr>
          <w:p w14:paraId="45C80F39" w14:textId="77777777" w:rsidR="00EC5333" w:rsidRDefault="00000000">
            <w:pPr>
              <w:spacing w:after="60"/>
            </w:pPr>
            <w:r>
              <w:rPr>
                <w:color w:val="334155"/>
                <w:sz w:val="19"/>
                <w:szCs w:val="19"/>
              </w:rPr>
              <w:t>Hundreds of decision trees trained on the engineered features.</w:t>
            </w:r>
          </w:p>
        </w:tc>
      </w:tr>
      <w:tr w:rsidR="00EC5333" w14:paraId="1F6CF57C" w14:textId="77777777">
        <w:tc>
          <w:tcPr>
            <w:tcW w:w="2600" w:type="dxa"/>
            <w:shd w:val="clear" w:color="F8FAFC" w:fill="F8FAFC"/>
            <w:tcMar>
              <w:top w:w="80" w:type="dxa"/>
              <w:left w:w="120" w:type="dxa"/>
              <w:bottom w:w="80" w:type="dxa"/>
              <w:right w:w="120" w:type="dxa"/>
            </w:tcMar>
          </w:tcPr>
          <w:p w14:paraId="4D28048E" w14:textId="77777777" w:rsidR="00EC5333" w:rsidRDefault="00000000">
            <w:pPr>
              <w:spacing w:after="60"/>
            </w:pPr>
            <w:r>
              <w:rPr>
                <w:color w:val="334155"/>
                <w:sz w:val="19"/>
                <w:szCs w:val="19"/>
              </w:rPr>
              <w:t>Gradient Boosting</w:t>
            </w:r>
          </w:p>
        </w:tc>
        <w:tc>
          <w:tcPr>
            <w:tcW w:w="2000" w:type="dxa"/>
            <w:shd w:val="clear" w:color="F8FAFC" w:fill="F8FAFC"/>
            <w:tcMar>
              <w:top w:w="80" w:type="dxa"/>
              <w:left w:w="120" w:type="dxa"/>
              <w:bottom w:w="80" w:type="dxa"/>
              <w:right w:w="120" w:type="dxa"/>
            </w:tcMar>
          </w:tcPr>
          <w:p w14:paraId="1343A949" w14:textId="77777777" w:rsidR="00EC5333" w:rsidRDefault="00000000">
            <w:pPr>
              <w:spacing w:after="60"/>
            </w:pPr>
            <w:r>
              <w:rPr>
                <w:color w:val="334155"/>
                <w:sz w:val="19"/>
                <w:szCs w:val="19"/>
              </w:rPr>
              <w:t>Machine Learning</w:t>
            </w:r>
          </w:p>
        </w:tc>
        <w:tc>
          <w:tcPr>
            <w:tcW w:w="4400" w:type="dxa"/>
            <w:shd w:val="clear" w:color="F8FAFC" w:fill="F8FAFC"/>
            <w:tcMar>
              <w:top w:w="80" w:type="dxa"/>
              <w:left w:w="120" w:type="dxa"/>
              <w:bottom w:w="80" w:type="dxa"/>
              <w:right w:w="120" w:type="dxa"/>
            </w:tcMar>
          </w:tcPr>
          <w:p w14:paraId="25C20600" w14:textId="77777777" w:rsidR="00EC5333" w:rsidRDefault="00000000">
            <w:pPr>
              <w:spacing w:after="60"/>
            </w:pPr>
            <w:r>
              <w:rPr>
                <w:color w:val="334155"/>
                <w:sz w:val="19"/>
                <w:szCs w:val="19"/>
              </w:rPr>
              <w:t>Trees built one at a time, each correcting the last.</w:t>
            </w:r>
          </w:p>
        </w:tc>
      </w:tr>
    </w:tbl>
    <w:p w14:paraId="32125477" w14:textId="77777777" w:rsidR="00EC5333" w:rsidRDefault="00EC5333">
      <w:pPr>
        <w:spacing w:after="80"/>
      </w:pPr>
    </w:p>
    <w:p w14:paraId="043F1879" w14:textId="77777777" w:rsidR="00EC5333" w:rsidRPr="005B6384" w:rsidRDefault="00000000">
      <w:pPr>
        <w:spacing w:after="140" w:line="360" w:lineRule="auto"/>
        <w:rPr>
          <w:sz w:val="20"/>
          <w:szCs w:val="20"/>
        </w:rPr>
      </w:pPr>
      <w:r w:rsidRPr="005B6384">
        <w:rPr>
          <w:color w:val="64748B"/>
          <w:sz w:val="20"/>
          <w:szCs w:val="20"/>
        </w:rPr>
        <w:t>Table 1. The seven models tested in this study.</w:t>
      </w:r>
    </w:p>
    <w:p w14:paraId="039A9920" w14:textId="5065C175" w:rsidR="00EC5333" w:rsidRPr="005B6384" w:rsidRDefault="00000000">
      <w:pPr>
        <w:pBdr>
          <w:bottom w:val="single" w:sz="8" w:space="4" w:color="1B2A4A"/>
        </w:pBdr>
        <w:spacing w:before="400" w:after="160"/>
        <w:rPr>
          <w:b/>
          <w:bCs/>
          <w:sz w:val="28"/>
          <w:szCs w:val="28"/>
        </w:rPr>
      </w:pPr>
      <w:r w:rsidRPr="005B6384">
        <w:rPr>
          <w:b/>
          <w:bCs/>
          <w:caps/>
          <w:color w:val="1B2A4A"/>
          <w:spacing w:val="60"/>
          <w:sz w:val="28"/>
          <w:szCs w:val="28"/>
        </w:rPr>
        <w:t>3.</w:t>
      </w:r>
      <w:r w:rsidR="005B6384" w:rsidRPr="005B6384">
        <w:rPr>
          <w:b/>
          <w:bCs/>
          <w:sz w:val="28"/>
          <w:szCs w:val="28"/>
        </w:rPr>
        <w:t xml:space="preserve">METRICS WE USSED TO JUDGE THE MODELS </w:t>
      </w:r>
    </w:p>
    <w:p w14:paraId="5CF118D2" w14:textId="77777777" w:rsidR="00EC5333" w:rsidRDefault="00000000">
      <w:pPr>
        <w:spacing w:after="140" w:line="360" w:lineRule="auto"/>
        <w:jc w:val="both"/>
      </w:pPr>
      <w:r>
        <w:rPr>
          <w:sz w:val="21"/>
          <w:szCs w:val="21"/>
        </w:rPr>
        <w:t xml:space="preserve">Raw accuracy numbers are useful, but they don't capture everything that matters to a program manager. </w:t>
      </w:r>
      <w:proofErr w:type="gramStart"/>
      <w:r>
        <w:rPr>
          <w:sz w:val="21"/>
          <w:szCs w:val="21"/>
        </w:rPr>
        <w:t>So</w:t>
      </w:r>
      <w:proofErr w:type="gramEnd"/>
      <w:r>
        <w:rPr>
          <w:sz w:val="21"/>
          <w:szCs w:val="21"/>
        </w:rPr>
        <w:t xml:space="preserve"> we defined five metrics that translate model outputs into something more useful for day-to-day decisions.</w:t>
      </w:r>
    </w:p>
    <w:p w14:paraId="285212F9" w14:textId="77777777" w:rsidR="00EC5333" w:rsidRDefault="00EC5333">
      <w:pPr>
        <w:spacing w:after="100"/>
      </w:pPr>
    </w:p>
    <w:tbl>
      <w:tblPr>
        <w:tblW w:w="9000"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EC5333" w14:paraId="0828000E" w14:textId="77777777">
        <w:trPr>
          <w:tblHeader/>
        </w:trPr>
        <w:tc>
          <w:tcPr>
            <w:tcW w:w="2600" w:type="dxa"/>
            <w:shd w:val="clear" w:color="1B2A4A" w:fill="1B2A4A"/>
            <w:tcMar>
              <w:top w:w="80" w:type="dxa"/>
              <w:left w:w="120" w:type="dxa"/>
              <w:bottom w:w="80" w:type="dxa"/>
              <w:right w:w="120" w:type="dxa"/>
            </w:tcMar>
          </w:tcPr>
          <w:p w14:paraId="6FAE9666" w14:textId="77777777" w:rsidR="00EC5333" w:rsidRDefault="00000000">
            <w:pPr>
              <w:spacing w:after="80"/>
              <w:jc w:val="center"/>
            </w:pPr>
            <w:r>
              <w:rPr>
                <w:b/>
                <w:bCs/>
                <w:color w:val="FFFFFF"/>
                <w:sz w:val="19"/>
                <w:szCs w:val="19"/>
              </w:rPr>
              <w:t>Metric</w:t>
            </w:r>
          </w:p>
        </w:tc>
        <w:tc>
          <w:tcPr>
            <w:tcW w:w="2800" w:type="dxa"/>
            <w:shd w:val="clear" w:color="1B2A4A" w:fill="1B2A4A"/>
            <w:tcMar>
              <w:top w:w="80" w:type="dxa"/>
              <w:left w:w="120" w:type="dxa"/>
              <w:bottom w:w="80" w:type="dxa"/>
              <w:right w:w="120" w:type="dxa"/>
            </w:tcMar>
          </w:tcPr>
          <w:p w14:paraId="17CCACE3" w14:textId="77777777" w:rsidR="00EC5333" w:rsidRDefault="00000000">
            <w:pPr>
              <w:spacing w:after="80"/>
              <w:jc w:val="center"/>
            </w:pPr>
            <w:r>
              <w:rPr>
                <w:b/>
                <w:bCs/>
                <w:color w:val="FFFFFF"/>
                <w:sz w:val="19"/>
                <w:szCs w:val="19"/>
              </w:rPr>
              <w:t>What it measures</w:t>
            </w:r>
          </w:p>
        </w:tc>
        <w:tc>
          <w:tcPr>
            <w:tcW w:w="3600" w:type="dxa"/>
            <w:shd w:val="clear" w:color="1B2A4A" w:fill="1B2A4A"/>
            <w:tcMar>
              <w:top w:w="80" w:type="dxa"/>
              <w:left w:w="120" w:type="dxa"/>
              <w:bottom w:w="80" w:type="dxa"/>
              <w:right w:w="120" w:type="dxa"/>
            </w:tcMar>
          </w:tcPr>
          <w:p w14:paraId="22112E40" w14:textId="77777777" w:rsidR="00EC5333" w:rsidRDefault="00000000">
            <w:pPr>
              <w:spacing w:after="80"/>
              <w:jc w:val="center"/>
            </w:pPr>
            <w:r>
              <w:rPr>
                <w:b/>
                <w:bCs/>
                <w:color w:val="FFFFFF"/>
                <w:sz w:val="19"/>
                <w:szCs w:val="19"/>
              </w:rPr>
              <w:t>How it's calculated</w:t>
            </w:r>
          </w:p>
        </w:tc>
      </w:tr>
      <w:tr w:rsidR="00EC5333" w14:paraId="09E035BC" w14:textId="77777777">
        <w:tc>
          <w:tcPr>
            <w:tcW w:w="2600" w:type="dxa"/>
            <w:shd w:val="clear" w:color="F8FAFC" w:fill="F8FAFC"/>
            <w:tcMar>
              <w:top w:w="80" w:type="dxa"/>
              <w:left w:w="120" w:type="dxa"/>
              <w:bottom w:w="80" w:type="dxa"/>
              <w:right w:w="120" w:type="dxa"/>
            </w:tcMar>
          </w:tcPr>
          <w:p w14:paraId="0196D269" w14:textId="77777777" w:rsidR="00EC5333" w:rsidRDefault="00000000">
            <w:pPr>
              <w:spacing w:after="60"/>
            </w:pPr>
            <w:r>
              <w:rPr>
                <w:b/>
                <w:bCs/>
                <w:color w:val="1B2A4A"/>
                <w:sz w:val="19"/>
                <w:szCs w:val="19"/>
              </w:rPr>
              <w:t>Forecast Accuracy (%)</w:t>
            </w:r>
          </w:p>
        </w:tc>
        <w:tc>
          <w:tcPr>
            <w:tcW w:w="2800" w:type="dxa"/>
            <w:shd w:val="clear" w:color="F8FAFC" w:fill="F8FAFC"/>
            <w:tcMar>
              <w:top w:w="80" w:type="dxa"/>
              <w:left w:w="120" w:type="dxa"/>
              <w:bottom w:w="80" w:type="dxa"/>
              <w:right w:w="120" w:type="dxa"/>
            </w:tcMar>
          </w:tcPr>
          <w:p w14:paraId="1212B7E6" w14:textId="77777777" w:rsidR="00EC5333" w:rsidRDefault="00000000">
            <w:pPr>
              <w:spacing w:after="60"/>
            </w:pPr>
            <w:r>
              <w:rPr>
                <w:color w:val="334155"/>
                <w:sz w:val="19"/>
                <w:szCs w:val="19"/>
              </w:rPr>
              <w:t>How close predictions are to reality</w:t>
            </w:r>
          </w:p>
        </w:tc>
        <w:tc>
          <w:tcPr>
            <w:tcW w:w="3600" w:type="dxa"/>
            <w:shd w:val="clear" w:color="F8FAFC" w:fill="F8FAFC"/>
            <w:tcMar>
              <w:top w:w="80" w:type="dxa"/>
              <w:left w:w="120" w:type="dxa"/>
              <w:bottom w:w="80" w:type="dxa"/>
              <w:right w:w="120" w:type="dxa"/>
            </w:tcMar>
          </w:tcPr>
          <w:p w14:paraId="7325BD68" w14:textId="77777777" w:rsidR="00EC5333" w:rsidRDefault="00000000">
            <w:pPr>
              <w:spacing w:after="60"/>
            </w:pPr>
            <w:r>
              <w:rPr>
                <w:color w:val="334155"/>
                <w:sz w:val="19"/>
                <w:szCs w:val="19"/>
              </w:rPr>
              <w:t>100 minus the average percentage error (MAPE)</w:t>
            </w:r>
          </w:p>
        </w:tc>
      </w:tr>
      <w:tr w:rsidR="00EC5333" w14:paraId="764D6076" w14:textId="77777777">
        <w:tc>
          <w:tcPr>
            <w:tcW w:w="2600" w:type="dxa"/>
            <w:tcMar>
              <w:top w:w="80" w:type="dxa"/>
              <w:left w:w="120" w:type="dxa"/>
              <w:bottom w:w="80" w:type="dxa"/>
              <w:right w:w="120" w:type="dxa"/>
            </w:tcMar>
          </w:tcPr>
          <w:p w14:paraId="797A1B3A" w14:textId="77777777" w:rsidR="00EC5333" w:rsidRDefault="00000000">
            <w:pPr>
              <w:spacing w:after="60"/>
            </w:pPr>
            <w:r>
              <w:rPr>
                <w:b/>
                <w:bCs/>
                <w:color w:val="1B2A4A"/>
                <w:sz w:val="19"/>
                <w:szCs w:val="19"/>
              </w:rPr>
              <w:t>Surge Lead Time (days)</w:t>
            </w:r>
          </w:p>
        </w:tc>
        <w:tc>
          <w:tcPr>
            <w:tcW w:w="2800" w:type="dxa"/>
            <w:tcMar>
              <w:top w:w="80" w:type="dxa"/>
              <w:left w:w="120" w:type="dxa"/>
              <w:bottom w:w="80" w:type="dxa"/>
              <w:right w:w="120" w:type="dxa"/>
            </w:tcMar>
          </w:tcPr>
          <w:p w14:paraId="5C73672C" w14:textId="77777777" w:rsidR="00EC5333" w:rsidRDefault="00000000">
            <w:pPr>
              <w:spacing w:after="60"/>
            </w:pPr>
            <w:r>
              <w:rPr>
                <w:color w:val="334155"/>
                <w:sz w:val="19"/>
                <w:szCs w:val="19"/>
              </w:rPr>
              <w:t>How early we can warn of a surge</w:t>
            </w:r>
          </w:p>
        </w:tc>
        <w:tc>
          <w:tcPr>
            <w:tcW w:w="3600" w:type="dxa"/>
            <w:tcMar>
              <w:top w:w="80" w:type="dxa"/>
              <w:left w:w="120" w:type="dxa"/>
              <w:bottom w:w="80" w:type="dxa"/>
              <w:right w:w="120" w:type="dxa"/>
            </w:tcMar>
          </w:tcPr>
          <w:p w14:paraId="5249DA6D" w14:textId="77777777" w:rsidR="00EC5333" w:rsidRDefault="00000000">
            <w:pPr>
              <w:spacing w:after="60"/>
            </w:pPr>
            <w:r>
              <w:rPr>
                <w:color w:val="334155"/>
                <w:sz w:val="19"/>
                <w:szCs w:val="19"/>
              </w:rPr>
              <w:t>Days between when the model flagged a breach and when it actually happened</w:t>
            </w:r>
          </w:p>
        </w:tc>
      </w:tr>
      <w:tr w:rsidR="00EC5333" w14:paraId="55D0653A" w14:textId="77777777">
        <w:tc>
          <w:tcPr>
            <w:tcW w:w="2600" w:type="dxa"/>
            <w:shd w:val="clear" w:color="F8FAFC" w:fill="F8FAFC"/>
            <w:tcMar>
              <w:top w:w="80" w:type="dxa"/>
              <w:left w:w="120" w:type="dxa"/>
              <w:bottom w:w="80" w:type="dxa"/>
              <w:right w:w="120" w:type="dxa"/>
            </w:tcMar>
          </w:tcPr>
          <w:p w14:paraId="117A790B" w14:textId="77777777" w:rsidR="00EC5333" w:rsidRDefault="00000000">
            <w:pPr>
              <w:spacing w:after="60"/>
            </w:pPr>
            <w:r>
              <w:rPr>
                <w:b/>
                <w:bCs/>
                <w:color w:val="1B2A4A"/>
                <w:sz w:val="19"/>
                <w:szCs w:val="19"/>
              </w:rPr>
              <w:t>Capacity Breach Probability</w:t>
            </w:r>
          </w:p>
        </w:tc>
        <w:tc>
          <w:tcPr>
            <w:tcW w:w="2800" w:type="dxa"/>
            <w:shd w:val="clear" w:color="F8FAFC" w:fill="F8FAFC"/>
            <w:tcMar>
              <w:top w:w="80" w:type="dxa"/>
              <w:left w:w="120" w:type="dxa"/>
              <w:bottom w:w="80" w:type="dxa"/>
              <w:right w:w="120" w:type="dxa"/>
            </w:tcMar>
          </w:tcPr>
          <w:p w14:paraId="22825D4F" w14:textId="77777777" w:rsidR="00EC5333" w:rsidRDefault="00000000">
            <w:pPr>
              <w:spacing w:after="60"/>
            </w:pPr>
            <w:r>
              <w:rPr>
                <w:color w:val="334155"/>
                <w:sz w:val="19"/>
                <w:szCs w:val="19"/>
              </w:rPr>
              <w:t>Risk of exceeding the care limit</w:t>
            </w:r>
          </w:p>
        </w:tc>
        <w:tc>
          <w:tcPr>
            <w:tcW w:w="3600" w:type="dxa"/>
            <w:shd w:val="clear" w:color="F8FAFC" w:fill="F8FAFC"/>
            <w:tcMar>
              <w:top w:w="80" w:type="dxa"/>
              <w:left w:w="120" w:type="dxa"/>
              <w:bottom w:w="80" w:type="dxa"/>
              <w:right w:w="120" w:type="dxa"/>
            </w:tcMar>
          </w:tcPr>
          <w:p w14:paraId="7E427005" w14:textId="77777777" w:rsidR="00EC5333" w:rsidRDefault="00000000">
            <w:pPr>
              <w:spacing w:after="60"/>
            </w:pPr>
            <w:r>
              <w:rPr>
                <w:color w:val="334155"/>
                <w:sz w:val="19"/>
                <w:szCs w:val="19"/>
              </w:rPr>
              <w:t>Share of forecast days where predicted load crosses the threshold</w:t>
            </w:r>
          </w:p>
        </w:tc>
      </w:tr>
      <w:tr w:rsidR="00EC5333" w14:paraId="5084F0D9" w14:textId="77777777">
        <w:tc>
          <w:tcPr>
            <w:tcW w:w="2600" w:type="dxa"/>
            <w:tcMar>
              <w:top w:w="80" w:type="dxa"/>
              <w:left w:w="120" w:type="dxa"/>
              <w:bottom w:w="80" w:type="dxa"/>
              <w:right w:w="120" w:type="dxa"/>
            </w:tcMar>
          </w:tcPr>
          <w:p w14:paraId="36C85430" w14:textId="77777777" w:rsidR="00EC5333" w:rsidRDefault="00000000">
            <w:pPr>
              <w:spacing w:after="60"/>
            </w:pPr>
            <w:r>
              <w:rPr>
                <w:b/>
                <w:bCs/>
                <w:color w:val="1B2A4A"/>
                <w:sz w:val="19"/>
                <w:szCs w:val="19"/>
              </w:rPr>
              <w:t>Forecast Stability Index</w:t>
            </w:r>
          </w:p>
        </w:tc>
        <w:tc>
          <w:tcPr>
            <w:tcW w:w="2800" w:type="dxa"/>
            <w:tcMar>
              <w:top w:w="80" w:type="dxa"/>
              <w:left w:w="120" w:type="dxa"/>
              <w:bottom w:w="80" w:type="dxa"/>
              <w:right w:w="120" w:type="dxa"/>
            </w:tcMar>
          </w:tcPr>
          <w:p w14:paraId="3E52816A" w14:textId="77777777" w:rsidR="00EC5333" w:rsidRDefault="00000000">
            <w:pPr>
              <w:spacing w:after="60"/>
            </w:pPr>
            <w:r>
              <w:rPr>
                <w:color w:val="334155"/>
                <w:sz w:val="19"/>
                <w:szCs w:val="19"/>
              </w:rPr>
              <w:t>How consistent the model is run to run</w:t>
            </w:r>
          </w:p>
        </w:tc>
        <w:tc>
          <w:tcPr>
            <w:tcW w:w="3600" w:type="dxa"/>
            <w:tcMar>
              <w:top w:w="80" w:type="dxa"/>
              <w:left w:w="120" w:type="dxa"/>
              <w:bottom w:w="80" w:type="dxa"/>
              <w:right w:w="120" w:type="dxa"/>
            </w:tcMar>
          </w:tcPr>
          <w:p w14:paraId="7E3BA063" w14:textId="77777777" w:rsidR="00EC5333" w:rsidRDefault="00000000">
            <w:pPr>
              <w:spacing w:after="60"/>
            </w:pPr>
            <w:r>
              <w:rPr>
                <w:color w:val="334155"/>
                <w:sz w:val="19"/>
                <w:szCs w:val="19"/>
              </w:rPr>
              <w:t>Inverse of the prediction spread (1 / coefficient of variation)</w:t>
            </w:r>
          </w:p>
        </w:tc>
      </w:tr>
      <w:tr w:rsidR="00EC5333" w14:paraId="6830D99A" w14:textId="77777777">
        <w:tc>
          <w:tcPr>
            <w:tcW w:w="2600" w:type="dxa"/>
            <w:shd w:val="clear" w:color="F8FAFC" w:fill="F8FAFC"/>
            <w:tcMar>
              <w:top w:w="80" w:type="dxa"/>
              <w:left w:w="120" w:type="dxa"/>
              <w:bottom w:w="80" w:type="dxa"/>
              <w:right w:w="120" w:type="dxa"/>
            </w:tcMar>
          </w:tcPr>
          <w:p w14:paraId="17188A7A" w14:textId="77777777" w:rsidR="00EC5333" w:rsidRDefault="00000000">
            <w:pPr>
              <w:spacing w:after="60"/>
            </w:pPr>
            <w:r>
              <w:rPr>
                <w:b/>
                <w:bCs/>
                <w:color w:val="1B2A4A"/>
                <w:sz w:val="19"/>
                <w:szCs w:val="19"/>
              </w:rPr>
              <w:t>Model Robustness</w:t>
            </w:r>
          </w:p>
        </w:tc>
        <w:tc>
          <w:tcPr>
            <w:tcW w:w="2800" w:type="dxa"/>
            <w:shd w:val="clear" w:color="F8FAFC" w:fill="F8FAFC"/>
            <w:tcMar>
              <w:top w:w="80" w:type="dxa"/>
              <w:left w:w="120" w:type="dxa"/>
              <w:bottom w:w="80" w:type="dxa"/>
              <w:right w:w="120" w:type="dxa"/>
            </w:tcMar>
          </w:tcPr>
          <w:p w14:paraId="23853567" w14:textId="77777777" w:rsidR="00EC5333" w:rsidRDefault="00000000">
            <w:pPr>
              <w:spacing w:after="60"/>
            </w:pPr>
            <w:r>
              <w:rPr>
                <w:color w:val="334155"/>
                <w:sz w:val="19"/>
                <w:szCs w:val="19"/>
              </w:rPr>
              <w:t>Whether accuracy holds up over longer windows</w:t>
            </w:r>
          </w:p>
        </w:tc>
        <w:tc>
          <w:tcPr>
            <w:tcW w:w="3600" w:type="dxa"/>
            <w:shd w:val="clear" w:color="F8FAFC" w:fill="F8FAFC"/>
            <w:tcMar>
              <w:top w:w="80" w:type="dxa"/>
              <w:left w:w="120" w:type="dxa"/>
              <w:bottom w:w="80" w:type="dxa"/>
              <w:right w:w="120" w:type="dxa"/>
            </w:tcMar>
          </w:tcPr>
          <w:p w14:paraId="485E640B" w14:textId="77777777" w:rsidR="00EC5333" w:rsidRDefault="00000000">
            <w:pPr>
              <w:spacing w:after="60"/>
            </w:pPr>
            <w:r>
              <w:rPr>
                <w:color w:val="334155"/>
                <w:sz w:val="19"/>
                <w:szCs w:val="19"/>
              </w:rPr>
              <w:t>How much RMSE changes across 7-, 14-, and 30-day horizons</w:t>
            </w:r>
          </w:p>
        </w:tc>
      </w:tr>
    </w:tbl>
    <w:p w14:paraId="3518E075" w14:textId="77777777" w:rsidR="00EC5333" w:rsidRDefault="00EC5333">
      <w:pPr>
        <w:spacing w:after="80"/>
      </w:pPr>
    </w:p>
    <w:p w14:paraId="1667B77B" w14:textId="77777777" w:rsidR="00EC5333" w:rsidRDefault="00000000">
      <w:pPr>
        <w:spacing w:after="140" w:line="360" w:lineRule="auto"/>
      </w:pPr>
      <w:r w:rsidRPr="005B6384">
        <w:rPr>
          <w:color w:val="64748B"/>
          <w:sz w:val="20"/>
          <w:szCs w:val="20"/>
        </w:rPr>
        <w:t>Table 2. The five metrics used to evaluate model usefulness</w:t>
      </w:r>
      <w:r>
        <w:rPr>
          <w:i/>
          <w:iCs/>
          <w:color w:val="64748B"/>
          <w:sz w:val="18"/>
          <w:szCs w:val="18"/>
        </w:rPr>
        <w:t>.</w:t>
      </w:r>
    </w:p>
    <w:p w14:paraId="23F6AE65" w14:textId="5592E2C2" w:rsidR="00EC5333" w:rsidRPr="005B6384" w:rsidRDefault="00000000">
      <w:pPr>
        <w:pBdr>
          <w:bottom w:val="single" w:sz="8" w:space="4" w:color="1B2A4A"/>
        </w:pBdr>
        <w:spacing w:before="400" w:after="160"/>
        <w:rPr>
          <w:b/>
          <w:bCs/>
          <w:sz w:val="28"/>
          <w:szCs w:val="28"/>
        </w:rPr>
      </w:pPr>
      <w:r w:rsidRPr="005B6384">
        <w:rPr>
          <w:b/>
          <w:bCs/>
          <w:caps/>
          <w:color w:val="1B2A4A"/>
          <w:spacing w:val="60"/>
          <w:sz w:val="28"/>
          <w:szCs w:val="28"/>
        </w:rPr>
        <w:lastRenderedPageBreak/>
        <w:t>4.</w:t>
      </w:r>
      <w:r w:rsidR="005B6384" w:rsidRPr="005B6384">
        <w:rPr>
          <w:b/>
          <w:bCs/>
          <w:sz w:val="28"/>
          <w:szCs w:val="28"/>
        </w:rPr>
        <w:t>WHAT THE MODELS PRODUCED</w:t>
      </w:r>
    </w:p>
    <w:p w14:paraId="498D21D2" w14:textId="77777777" w:rsidR="00EC5333" w:rsidRDefault="00000000">
      <w:pPr>
        <w:spacing w:after="140" w:line="360" w:lineRule="auto"/>
        <w:jc w:val="both"/>
      </w:pPr>
      <w:r>
        <w:rPr>
          <w:sz w:val="21"/>
          <w:szCs w:val="21"/>
        </w:rPr>
        <w:t>The table below shows how all seven models performed at the 7-day horizon — the window most relevant to day-to-day capacity decisions. Higher accuracy and lower RMSE are better. Breach days counts how many forecast days exceeded our capacity threshold of 2,511 children (the 95th percentile of care load during the test period).</w:t>
      </w:r>
    </w:p>
    <w:p w14:paraId="465759EB" w14:textId="77777777" w:rsidR="00EC5333" w:rsidRDefault="00EC5333">
      <w:pPr>
        <w:spacing w:after="100"/>
      </w:pPr>
    </w:p>
    <w:tbl>
      <w:tblPr>
        <w:tblW w:w="9000"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500"/>
        <w:gridCol w:w="1800"/>
        <w:gridCol w:w="1800"/>
      </w:tblGrid>
      <w:tr w:rsidR="00EC5333" w14:paraId="1E75A8DD" w14:textId="77777777">
        <w:trPr>
          <w:tblHeader/>
        </w:trPr>
        <w:tc>
          <w:tcPr>
            <w:tcW w:w="2400" w:type="dxa"/>
            <w:shd w:val="clear" w:color="1B2A4A" w:fill="1B2A4A"/>
            <w:tcMar>
              <w:top w:w="80" w:type="dxa"/>
              <w:left w:w="120" w:type="dxa"/>
              <w:bottom w:w="80" w:type="dxa"/>
              <w:right w:w="120" w:type="dxa"/>
            </w:tcMar>
          </w:tcPr>
          <w:p w14:paraId="2021640A" w14:textId="77777777" w:rsidR="00EC5333" w:rsidRDefault="00000000">
            <w:pPr>
              <w:spacing w:after="80"/>
              <w:jc w:val="center"/>
            </w:pPr>
            <w:r>
              <w:rPr>
                <w:b/>
                <w:bCs/>
                <w:color w:val="FFFFFF"/>
                <w:sz w:val="19"/>
                <w:szCs w:val="19"/>
              </w:rPr>
              <w:t>Model</w:t>
            </w:r>
          </w:p>
        </w:tc>
        <w:tc>
          <w:tcPr>
            <w:tcW w:w="1500" w:type="dxa"/>
            <w:shd w:val="clear" w:color="1B2A4A" w:fill="1B2A4A"/>
            <w:tcMar>
              <w:top w:w="80" w:type="dxa"/>
              <w:left w:w="120" w:type="dxa"/>
              <w:bottom w:w="80" w:type="dxa"/>
              <w:right w:w="120" w:type="dxa"/>
            </w:tcMar>
          </w:tcPr>
          <w:p w14:paraId="3C079B0A" w14:textId="77777777" w:rsidR="00EC5333" w:rsidRDefault="00000000">
            <w:pPr>
              <w:spacing w:after="80"/>
              <w:jc w:val="center"/>
            </w:pPr>
            <w:r>
              <w:rPr>
                <w:b/>
                <w:bCs/>
                <w:color w:val="FFFFFF"/>
                <w:sz w:val="19"/>
                <w:szCs w:val="19"/>
              </w:rPr>
              <w:t>Accuracy (%)</w:t>
            </w:r>
          </w:p>
        </w:tc>
        <w:tc>
          <w:tcPr>
            <w:tcW w:w="1500" w:type="dxa"/>
            <w:shd w:val="clear" w:color="1B2A4A" w:fill="1B2A4A"/>
            <w:tcMar>
              <w:top w:w="80" w:type="dxa"/>
              <w:left w:w="120" w:type="dxa"/>
              <w:bottom w:w="80" w:type="dxa"/>
              <w:right w:w="120" w:type="dxa"/>
            </w:tcMar>
          </w:tcPr>
          <w:p w14:paraId="0AD3AC72" w14:textId="77777777" w:rsidR="00EC5333" w:rsidRDefault="00000000">
            <w:pPr>
              <w:spacing w:after="80"/>
              <w:jc w:val="center"/>
            </w:pPr>
            <w:r>
              <w:rPr>
                <w:b/>
                <w:bCs/>
                <w:color w:val="FFFFFF"/>
                <w:sz w:val="19"/>
                <w:szCs w:val="19"/>
              </w:rPr>
              <w:t>RMSE</w:t>
            </w:r>
          </w:p>
        </w:tc>
        <w:tc>
          <w:tcPr>
            <w:tcW w:w="1800" w:type="dxa"/>
            <w:shd w:val="clear" w:color="1B2A4A" w:fill="1B2A4A"/>
            <w:tcMar>
              <w:top w:w="80" w:type="dxa"/>
              <w:left w:w="120" w:type="dxa"/>
              <w:bottom w:w="80" w:type="dxa"/>
              <w:right w:w="120" w:type="dxa"/>
            </w:tcMar>
          </w:tcPr>
          <w:p w14:paraId="758B54C6" w14:textId="77777777" w:rsidR="00EC5333" w:rsidRDefault="00000000">
            <w:pPr>
              <w:spacing w:after="80"/>
              <w:jc w:val="center"/>
            </w:pPr>
            <w:r>
              <w:rPr>
                <w:b/>
                <w:bCs/>
                <w:color w:val="FFFFFF"/>
                <w:sz w:val="19"/>
                <w:szCs w:val="19"/>
              </w:rPr>
              <w:t>MAPE (%)</w:t>
            </w:r>
          </w:p>
        </w:tc>
        <w:tc>
          <w:tcPr>
            <w:tcW w:w="1800" w:type="dxa"/>
            <w:shd w:val="clear" w:color="1B2A4A" w:fill="1B2A4A"/>
            <w:tcMar>
              <w:top w:w="80" w:type="dxa"/>
              <w:left w:w="120" w:type="dxa"/>
              <w:bottom w:w="80" w:type="dxa"/>
              <w:right w:w="120" w:type="dxa"/>
            </w:tcMar>
          </w:tcPr>
          <w:p w14:paraId="7D401514" w14:textId="77777777" w:rsidR="00EC5333" w:rsidRDefault="00000000">
            <w:pPr>
              <w:spacing w:after="80"/>
              <w:jc w:val="center"/>
            </w:pPr>
            <w:r>
              <w:rPr>
                <w:b/>
                <w:bCs/>
                <w:color w:val="FFFFFF"/>
                <w:sz w:val="19"/>
                <w:szCs w:val="19"/>
              </w:rPr>
              <w:t>Breach Days</w:t>
            </w:r>
          </w:p>
        </w:tc>
      </w:tr>
      <w:tr w:rsidR="00EC5333" w14:paraId="5783882B" w14:textId="77777777">
        <w:tc>
          <w:tcPr>
            <w:tcW w:w="2400" w:type="dxa"/>
            <w:shd w:val="clear" w:color="EFF6FF" w:fill="EFF6FF"/>
            <w:tcMar>
              <w:top w:w="80" w:type="dxa"/>
              <w:left w:w="120" w:type="dxa"/>
              <w:bottom w:w="80" w:type="dxa"/>
              <w:right w:w="120" w:type="dxa"/>
            </w:tcMar>
          </w:tcPr>
          <w:p w14:paraId="22DBDEDC" w14:textId="77777777" w:rsidR="00EC5333" w:rsidRDefault="00000000">
            <w:pPr>
              <w:spacing w:after="60"/>
            </w:pPr>
            <w:r>
              <w:rPr>
                <w:b/>
                <w:bCs/>
                <w:color w:val="1B2A4A"/>
                <w:sz w:val="19"/>
                <w:szCs w:val="19"/>
              </w:rPr>
              <w:t>Random Forest</w:t>
            </w:r>
          </w:p>
        </w:tc>
        <w:tc>
          <w:tcPr>
            <w:tcW w:w="1500" w:type="dxa"/>
            <w:shd w:val="clear" w:color="EFF6FF" w:fill="EFF6FF"/>
            <w:tcMar>
              <w:top w:w="80" w:type="dxa"/>
              <w:left w:w="120" w:type="dxa"/>
              <w:bottom w:w="80" w:type="dxa"/>
              <w:right w:w="120" w:type="dxa"/>
            </w:tcMar>
          </w:tcPr>
          <w:p w14:paraId="680156B7" w14:textId="77777777" w:rsidR="00EC5333" w:rsidRDefault="00000000">
            <w:pPr>
              <w:spacing w:after="60"/>
              <w:jc w:val="center"/>
            </w:pPr>
            <w:r>
              <w:rPr>
                <w:b/>
                <w:bCs/>
                <w:color w:val="15803D"/>
                <w:sz w:val="19"/>
                <w:szCs w:val="19"/>
              </w:rPr>
              <w:t>99.03</w:t>
            </w:r>
          </w:p>
        </w:tc>
        <w:tc>
          <w:tcPr>
            <w:tcW w:w="1500" w:type="dxa"/>
            <w:shd w:val="clear" w:color="EFF6FF" w:fill="EFF6FF"/>
            <w:tcMar>
              <w:top w:w="80" w:type="dxa"/>
              <w:left w:w="120" w:type="dxa"/>
              <w:bottom w:w="80" w:type="dxa"/>
              <w:right w:w="120" w:type="dxa"/>
            </w:tcMar>
          </w:tcPr>
          <w:p w14:paraId="16689E8C" w14:textId="77777777" w:rsidR="00EC5333" w:rsidRDefault="00000000">
            <w:pPr>
              <w:spacing w:after="60"/>
              <w:jc w:val="center"/>
            </w:pPr>
            <w:r>
              <w:rPr>
                <w:color w:val="334155"/>
                <w:sz w:val="19"/>
                <w:szCs w:val="19"/>
              </w:rPr>
              <w:t>28.4</w:t>
            </w:r>
          </w:p>
        </w:tc>
        <w:tc>
          <w:tcPr>
            <w:tcW w:w="1800" w:type="dxa"/>
            <w:shd w:val="clear" w:color="EFF6FF" w:fill="EFF6FF"/>
            <w:tcMar>
              <w:top w:w="80" w:type="dxa"/>
              <w:left w:w="120" w:type="dxa"/>
              <w:bottom w:w="80" w:type="dxa"/>
              <w:right w:w="120" w:type="dxa"/>
            </w:tcMar>
          </w:tcPr>
          <w:p w14:paraId="46972232" w14:textId="77777777" w:rsidR="00EC5333" w:rsidRDefault="00000000">
            <w:pPr>
              <w:spacing w:after="60"/>
              <w:jc w:val="center"/>
            </w:pPr>
            <w:r>
              <w:rPr>
                <w:color w:val="334155"/>
                <w:sz w:val="19"/>
                <w:szCs w:val="19"/>
              </w:rPr>
              <w:t>0.97</w:t>
            </w:r>
          </w:p>
        </w:tc>
        <w:tc>
          <w:tcPr>
            <w:tcW w:w="1800" w:type="dxa"/>
            <w:shd w:val="clear" w:color="EFF6FF" w:fill="EFF6FF"/>
            <w:tcMar>
              <w:top w:w="80" w:type="dxa"/>
              <w:left w:w="120" w:type="dxa"/>
              <w:bottom w:w="80" w:type="dxa"/>
              <w:right w:w="120" w:type="dxa"/>
            </w:tcMar>
          </w:tcPr>
          <w:p w14:paraId="2F07C0FD" w14:textId="77777777" w:rsidR="00EC5333" w:rsidRDefault="00000000">
            <w:pPr>
              <w:spacing w:after="60"/>
              <w:jc w:val="center"/>
            </w:pPr>
            <w:r>
              <w:rPr>
                <w:color w:val="334155"/>
                <w:sz w:val="19"/>
                <w:szCs w:val="19"/>
              </w:rPr>
              <w:t>0</w:t>
            </w:r>
          </w:p>
        </w:tc>
      </w:tr>
      <w:tr w:rsidR="00EC5333" w14:paraId="633F2F1B" w14:textId="77777777">
        <w:tc>
          <w:tcPr>
            <w:tcW w:w="2400" w:type="dxa"/>
            <w:tcMar>
              <w:top w:w="80" w:type="dxa"/>
              <w:left w:w="120" w:type="dxa"/>
              <w:bottom w:w="80" w:type="dxa"/>
              <w:right w:w="120" w:type="dxa"/>
            </w:tcMar>
          </w:tcPr>
          <w:p w14:paraId="6C0BC6CA" w14:textId="77777777" w:rsidR="00EC5333" w:rsidRDefault="00000000">
            <w:pPr>
              <w:spacing w:after="60"/>
            </w:pPr>
            <w:r>
              <w:rPr>
                <w:color w:val="334155"/>
                <w:sz w:val="19"/>
                <w:szCs w:val="19"/>
              </w:rPr>
              <w:t>Gradient Boosting</w:t>
            </w:r>
          </w:p>
        </w:tc>
        <w:tc>
          <w:tcPr>
            <w:tcW w:w="1500" w:type="dxa"/>
            <w:tcMar>
              <w:top w:w="80" w:type="dxa"/>
              <w:left w:w="120" w:type="dxa"/>
              <w:bottom w:w="80" w:type="dxa"/>
              <w:right w:w="120" w:type="dxa"/>
            </w:tcMar>
          </w:tcPr>
          <w:p w14:paraId="1AD6262D" w14:textId="77777777" w:rsidR="00EC5333" w:rsidRDefault="00000000">
            <w:pPr>
              <w:spacing w:after="60"/>
              <w:jc w:val="center"/>
            </w:pPr>
            <w:r>
              <w:rPr>
                <w:b/>
                <w:bCs/>
                <w:color w:val="15803D"/>
                <w:sz w:val="19"/>
                <w:szCs w:val="19"/>
              </w:rPr>
              <w:t>97.81</w:t>
            </w:r>
          </w:p>
        </w:tc>
        <w:tc>
          <w:tcPr>
            <w:tcW w:w="1500" w:type="dxa"/>
            <w:tcMar>
              <w:top w:w="80" w:type="dxa"/>
              <w:left w:w="120" w:type="dxa"/>
              <w:bottom w:w="80" w:type="dxa"/>
              <w:right w:w="120" w:type="dxa"/>
            </w:tcMar>
          </w:tcPr>
          <w:p w14:paraId="24834A51" w14:textId="77777777" w:rsidR="00EC5333" w:rsidRDefault="00000000">
            <w:pPr>
              <w:spacing w:after="60"/>
              <w:jc w:val="center"/>
            </w:pPr>
            <w:r>
              <w:rPr>
                <w:color w:val="334155"/>
                <w:sz w:val="19"/>
                <w:szCs w:val="19"/>
              </w:rPr>
              <w:t>34.1</w:t>
            </w:r>
          </w:p>
        </w:tc>
        <w:tc>
          <w:tcPr>
            <w:tcW w:w="1800" w:type="dxa"/>
            <w:tcMar>
              <w:top w:w="80" w:type="dxa"/>
              <w:left w:w="120" w:type="dxa"/>
              <w:bottom w:w="80" w:type="dxa"/>
              <w:right w:w="120" w:type="dxa"/>
            </w:tcMar>
          </w:tcPr>
          <w:p w14:paraId="5BC6C138" w14:textId="77777777" w:rsidR="00EC5333" w:rsidRDefault="00000000">
            <w:pPr>
              <w:spacing w:after="60"/>
              <w:jc w:val="center"/>
            </w:pPr>
            <w:r>
              <w:rPr>
                <w:color w:val="334155"/>
                <w:sz w:val="19"/>
                <w:szCs w:val="19"/>
              </w:rPr>
              <w:t>2.19</w:t>
            </w:r>
          </w:p>
        </w:tc>
        <w:tc>
          <w:tcPr>
            <w:tcW w:w="1800" w:type="dxa"/>
            <w:tcMar>
              <w:top w:w="80" w:type="dxa"/>
              <w:left w:w="120" w:type="dxa"/>
              <w:bottom w:w="80" w:type="dxa"/>
              <w:right w:w="120" w:type="dxa"/>
            </w:tcMar>
          </w:tcPr>
          <w:p w14:paraId="72EF593B" w14:textId="77777777" w:rsidR="00EC5333" w:rsidRDefault="00000000">
            <w:pPr>
              <w:spacing w:after="60"/>
              <w:jc w:val="center"/>
            </w:pPr>
            <w:r>
              <w:rPr>
                <w:color w:val="334155"/>
                <w:sz w:val="19"/>
                <w:szCs w:val="19"/>
              </w:rPr>
              <w:t>0</w:t>
            </w:r>
          </w:p>
        </w:tc>
      </w:tr>
      <w:tr w:rsidR="00EC5333" w14:paraId="239E9943" w14:textId="77777777">
        <w:tc>
          <w:tcPr>
            <w:tcW w:w="2400" w:type="dxa"/>
            <w:shd w:val="clear" w:color="F8FAFC" w:fill="F8FAFC"/>
            <w:tcMar>
              <w:top w:w="80" w:type="dxa"/>
              <w:left w:w="120" w:type="dxa"/>
              <w:bottom w:w="80" w:type="dxa"/>
              <w:right w:w="120" w:type="dxa"/>
            </w:tcMar>
          </w:tcPr>
          <w:p w14:paraId="09FF169F" w14:textId="77777777" w:rsidR="00EC5333" w:rsidRDefault="00000000">
            <w:pPr>
              <w:spacing w:after="60"/>
            </w:pPr>
            <w:r>
              <w:rPr>
                <w:color w:val="334155"/>
                <w:sz w:val="19"/>
                <w:szCs w:val="19"/>
              </w:rPr>
              <w:t>SARIMA</w:t>
            </w:r>
          </w:p>
        </w:tc>
        <w:tc>
          <w:tcPr>
            <w:tcW w:w="1500" w:type="dxa"/>
            <w:shd w:val="clear" w:color="F8FAFC" w:fill="F8FAFC"/>
            <w:tcMar>
              <w:top w:w="80" w:type="dxa"/>
              <w:left w:w="120" w:type="dxa"/>
              <w:bottom w:w="80" w:type="dxa"/>
              <w:right w:w="120" w:type="dxa"/>
            </w:tcMar>
          </w:tcPr>
          <w:p w14:paraId="1A139640" w14:textId="77777777" w:rsidR="00EC5333" w:rsidRDefault="00000000">
            <w:pPr>
              <w:spacing w:after="60"/>
              <w:jc w:val="center"/>
            </w:pPr>
            <w:r>
              <w:rPr>
                <w:b/>
                <w:bCs/>
                <w:color w:val="15803D"/>
                <w:sz w:val="19"/>
                <w:szCs w:val="19"/>
              </w:rPr>
              <w:t>99.70</w:t>
            </w:r>
          </w:p>
        </w:tc>
        <w:tc>
          <w:tcPr>
            <w:tcW w:w="1500" w:type="dxa"/>
            <w:shd w:val="clear" w:color="F8FAFC" w:fill="F8FAFC"/>
            <w:tcMar>
              <w:top w:w="80" w:type="dxa"/>
              <w:left w:w="120" w:type="dxa"/>
              <w:bottom w:w="80" w:type="dxa"/>
              <w:right w:w="120" w:type="dxa"/>
            </w:tcMar>
          </w:tcPr>
          <w:p w14:paraId="7C77C979" w14:textId="77777777" w:rsidR="00EC5333" w:rsidRDefault="00000000">
            <w:pPr>
              <w:spacing w:after="60"/>
              <w:jc w:val="center"/>
            </w:pPr>
            <w:r>
              <w:rPr>
                <w:color w:val="334155"/>
                <w:sz w:val="19"/>
                <w:szCs w:val="19"/>
              </w:rPr>
              <w:t>19.2</w:t>
            </w:r>
          </w:p>
        </w:tc>
        <w:tc>
          <w:tcPr>
            <w:tcW w:w="1800" w:type="dxa"/>
            <w:shd w:val="clear" w:color="F8FAFC" w:fill="F8FAFC"/>
            <w:tcMar>
              <w:top w:w="80" w:type="dxa"/>
              <w:left w:w="120" w:type="dxa"/>
              <w:bottom w:w="80" w:type="dxa"/>
              <w:right w:w="120" w:type="dxa"/>
            </w:tcMar>
          </w:tcPr>
          <w:p w14:paraId="1A7917F4" w14:textId="77777777" w:rsidR="00EC5333" w:rsidRDefault="00000000">
            <w:pPr>
              <w:spacing w:after="60"/>
              <w:jc w:val="center"/>
            </w:pPr>
            <w:r>
              <w:rPr>
                <w:color w:val="334155"/>
                <w:sz w:val="19"/>
                <w:szCs w:val="19"/>
              </w:rPr>
              <w:t>0.30</w:t>
            </w:r>
          </w:p>
        </w:tc>
        <w:tc>
          <w:tcPr>
            <w:tcW w:w="1800" w:type="dxa"/>
            <w:shd w:val="clear" w:color="F8FAFC" w:fill="F8FAFC"/>
            <w:tcMar>
              <w:top w:w="80" w:type="dxa"/>
              <w:left w:w="120" w:type="dxa"/>
              <w:bottom w:w="80" w:type="dxa"/>
              <w:right w:w="120" w:type="dxa"/>
            </w:tcMar>
          </w:tcPr>
          <w:p w14:paraId="32989BD2" w14:textId="77777777" w:rsidR="00EC5333" w:rsidRDefault="00000000">
            <w:pPr>
              <w:spacing w:after="60"/>
              <w:jc w:val="center"/>
            </w:pPr>
            <w:r>
              <w:rPr>
                <w:color w:val="334155"/>
                <w:sz w:val="19"/>
                <w:szCs w:val="19"/>
              </w:rPr>
              <w:t>1</w:t>
            </w:r>
          </w:p>
        </w:tc>
      </w:tr>
      <w:tr w:rsidR="00EC5333" w14:paraId="0FE383FF" w14:textId="77777777">
        <w:tc>
          <w:tcPr>
            <w:tcW w:w="2400" w:type="dxa"/>
            <w:tcMar>
              <w:top w:w="80" w:type="dxa"/>
              <w:left w:w="120" w:type="dxa"/>
              <w:bottom w:w="80" w:type="dxa"/>
              <w:right w:w="120" w:type="dxa"/>
            </w:tcMar>
          </w:tcPr>
          <w:p w14:paraId="166A6E3E" w14:textId="77777777" w:rsidR="00EC5333" w:rsidRDefault="00000000">
            <w:pPr>
              <w:spacing w:after="60"/>
            </w:pPr>
            <w:r>
              <w:rPr>
                <w:color w:val="334155"/>
                <w:sz w:val="19"/>
                <w:szCs w:val="19"/>
              </w:rPr>
              <w:t>Exp. Smoothing</w:t>
            </w:r>
          </w:p>
        </w:tc>
        <w:tc>
          <w:tcPr>
            <w:tcW w:w="1500" w:type="dxa"/>
            <w:tcMar>
              <w:top w:w="80" w:type="dxa"/>
              <w:left w:w="120" w:type="dxa"/>
              <w:bottom w:w="80" w:type="dxa"/>
              <w:right w:w="120" w:type="dxa"/>
            </w:tcMar>
          </w:tcPr>
          <w:p w14:paraId="0C13FE45" w14:textId="77777777" w:rsidR="00EC5333" w:rsidRDefault="00000000">
            <w:pPr>
              <w:spacing w:after="60"/>
              <w:jc w:val="center"/>
            </w:pPr>
            <w:r>
              <w:rPr>
                <w:color w:val="334155"/>
                <w:sz w:val="19"/>
                <w:szCs w:val="19"/>
              </w:rPr>
              <w:t>99.03</w:t>
            </w:r>
          </w:p>
        </w:tc>
        <w:tc>
          <w:tcPr>
            <w:tcW w:w="1500" w:type="dxa"/>
            <w:tcMar>
              <w:top w:w="80" w:type="dxa"/>
              <w:left w:w="120" w:type="dxa"/>
              <w:bottom w:w="80" w:type="dxa"/>
              <w:right w:w="120" w:type="dxa"/>
            </w:tcMar>
          </w:tcPr>
          <w:p w14:paraId="760E43F4" w14:textId="77777777" w:rsidR="00EC5333" w:rsidRDefault="00000000">
            <w:pPr>
              <w:spacing w:after="60"/>
              <w:jc w:val="center"/>
            </w:pPr>
            <w:r>
              <w:rPr>
                <w:color w:val="334155"/>
                <w:sz w:val="19"/>
                <w:szCs w:val="19"/>
              </w:rPr>
              <w:t>28.4</w:t>
            </w:r>
          </w:p>
        </w:tc>
        <w:tc>
          <w:tcPr>
            <w:tcW w:w="1800" w:type="dxa"/>
            <w:tcMar>
              <w:top w:w="80" w:type="dxa"/>
              <w:left w:w="120" w:type="dxa"/>
              <w:bottom w:w="80" w:type="dxa"/>
              <w:right w:w="120" w:type="dxa"/>
            </w:tcMar>
          </w:tcPr>
          <w:p w14:paraId="1C51CBE6" w14:textId="77777777" w:rsidR="00EC5333" w:rsidRDefault="00000000">
            <w:pPr>
              <w:spacing w:after="60"/>
              <w:jc w:val="center"/>
            </w:pPr>
            <w:r>
              <w:rPr>
                <w:color w:val="334155"/>
                <w:sz w:val="19"/>
                <w:szCs w:val="19"/>
              </w:rPr>
              <w:t>0.97</w:t>
            </w:r>
          </w:p>
        </w:tc>
        <w:tc>
          <w:tcPr>
            <w:tcW w:w="1800" w:type="dxa"/>
            <w:tcMar>
              <w:top w:w="80" w:type="dxa"/>
              <w:left w:w="120" w:type="dxa"/>
              <w:bottom w:w="80" w:type="dxa"/>
              <w:right w:w="120" w:type="dxa"/>
            </w:tcMar>
          </w:tcPr>
          <w:p w14:paraId="0907EB88" w14:textId="77777777" w:rsidR="00EC5333" w:rsidRDefault="00000000">
            <w:pPr>
              <w:spacing w:after="60"/>
              <w:jc w:val="center"/>
            </w:pPr>
            <w:r>
              <w:rPr>
                <w:b/>
                <w:bCs/>
                <w:color w:val="B91C1C"/>
                <w:sz w:val="19"/>
                <w:szCs w:val="19"/>
              </w:rPr>
              <w:t>213</w:t>
            </w:r>
          </w:p>
        </w:tc>
      </w:tr>
      <w:tr w:rsidR="00EC5333" w14:paraId="32085A86" w14:textId="77777777">
        <w:tc>
          <w:tcPr>
            <w:tcW w:w="2400" w:type="dxa"/>
            <w:shd w:val="clear" w:color="F8FAFC" w:fill="F8FAFC"/>
            <w:tcMar>
              <w:top w:w="80" w:type="dxa"/>
              <w:left w:w="120" w:type="dxa"/>
              <w:bottom w:w="80" w:type="dxa"/>
              <w:right w:w="120" w:type="dxa"/>
            </w:tcMar>
          </w:tcPr>
          <w:p w14:paraId="264B7AF8" w14:textId="77777777" w:rsidR="00EC5333" w:rsidRDefault="00000000">
            <w:pPr>
              <w:spacing w:after="60"/>
            </w:pPr>
            <w:r>
              <w:rPr>
                <w:color w:val="334155"/>
                <w:sz w:val="19"/>
                <w:szCs w:val="19"/>
              </w:rPr>
              <w:t>ARIMA</w:t>
            </w:r>
          </w:p>
        </w:tc>
        <w:tc>
          <w:tcPr>
            <w:tcW w:w="1500" w:type="dxa"/>
            <w:shd w:val="clear" w:color="F8FAFC" w:fill="F8FAFC"/>
            <w:tcMar>
              <w:top w:w="80" w:type="dxa"/>
              <w:left w:w="120" w:type="dxa"/>
              <w:bottom w:w="80" w:type="dxa"/>
              <w:right w:w="120" w:type="dxa"/>
            </w:tcMar>
          </w:tcPr>
          <w:p w14:paraId="38B951D0" w14:textId="77777777" w:rsidR="00EC5333" w:rsidRDefault="00000000">
            <w:pPr>
              <w:spacing w:after="60"/>
              <w:jc w:val="center"/>
            </w:pPr>
            <w:r>
              <w:rPr>
                <w:color w:val="334155"/>
                <w:sz w:val="19"/>
                <w:szCs w:val="19"/>
              </w:rPr>
              <w:t>97.66</w:t>
            </w:r>
          </w:p>
        </w:tc>
        <w:tc>
          <w:tcPr>
            <w:tcW w:w="1500" w:type="dxa"/>
            <w:shd w:val="clear" w:color="F8FAFC" w:fill="F8FAFC"/>
            <w:tcMar>
              <w:top w:w="80" w:type="dxa"/>
              <w:left w:w="120" w:type="dxa"/>
              <w:bottom w:w="80" w:type="dxa"/>
              <w:right w:w="120" w:type="dxa"/>
            </w:tcMar>
          </w:tcPr>
          <w:p w14:paraId="38846A9C" w14:textId="77777777" w:rsidR="00EC5333" w:rsidRDefault="00000000">
            <w:pPr>
              <w:spacing w:after="60"/>
              <w:jc w:val="center"/>
            </w:pPr>
            <w:r>
              <w:rPr>
                <w:color w:val="334155"/>
                <w:sz w:val="19"/>
                <w:szCs w:val="19"/>
              </w:rPr>
              <w:t>51.7</w:t>
            </w:r>
          </w:p>
        </w:tc>
        <w:tc>
          <w:tcPr>
            <w:tcW w:w="1800" w:type="dxa"/>
            <w:shd w:val="clear" w:color="F8FAFC" w:fill="F8FAFC"/>
            <w:tcMar>
              <w:top w:w="80" w:type="dxa"/>
              <w:left w:w="120" w:type="dxa"/>
              <w:bottom w:w="80" w:type="dxa"/>
              <w:right w:w="120" w:type="dxa"/>
            </w:tcMar>
          </w:tcPr>
          <w:p w14:paraId="4AFAB88A" w14:textId="77777777" w:rsidR="00EC5333" w:rsidRDefault="00000000">
            <w:pPr>
              <w:spacing w:after="60"/>
              <w:jc w:val="center"/>
            </w:pPr>
            <w:r>
              <w:rPr>
                <w:color w:val="334155"/>
                <w:sz w:val="19"/>
                <w:szCs w:val="19"/>
              </w:rPr>
              <w:t>2.34</w:t>
            </w:r>
          </w:p>
        </w:tc>
        <w:tc>
          <w:tcPr>
            <w:tcW w:w="1800" w:type="dxa"/>
            <w:shd w:val="clear" w:color="F8FAFC" w:fill="F8FAFC"/>
            <w:tcMar>
              <w:top w:w="80" w:type="dxa"/>
              <w:left w:w="120" w:type="dxa"/>
              <w:bottom w:w="80" w:type="dxa"/>
              <w:right w:w="120" w:type="dxa"/>
            </w:tcMar>
          </w:tcPr>
          <w:p w14:paraId="0F86661F" w14:textId="77777777" w:rsidR="00EC5333" w:rsidRDefault="00000000">
            <w:pPr>
              <w:spacing w:after="60"/>
              <w:jc w:val="center"/>
            </w:pPr>
            <w:r>
              <w:rPr>
                <w:b/>
                <w:bCs/>
                <w:color w:val="B91C1C"/>
                <w:sz w:val="19"/>
                <w:szCs w:val="19"/>
              </w:rPr>
              <w:t>213</w:t>
            </w:r>
          </w:p>
        </w:tc>
      </w:tr>
      <w:tr w:rsidR="00EC5333" w14:paraId="6E5FB16A" w14:textId="77777777">
        <w:tc>
          <w:tcPr>
            <w:tcW w:w="2400" w:type="dxa"/>
            <w:tcMar>
              <w:top w:w="80" w:type="dxa"/>
              <w:left w:w="120" w:type="dxa"/>
              <w:bottom w:w="80" w:type="dxa"/>
              <w:right w:w="120" w:type="dxa"/>
            </w:tcMar>
          </w:tcPr>
          <w:p w14:paraId="0585A76A" w14:textId="77777777" w:rsidR="00EC5333" w:rsidRDefault="00000000">
            <w:pPr>
              <w:spacing w:after="60"/>
            </w:pPr>
            <w:r>
              <w:rPr>
                <w:color w:val="334155"/>
                <w:sz w:val="19"/>
                <w:szCs w:val="19"/>
              </w:rPr>
              <w:t>Moving Average</w:t>
            </w:r>
          </w:p>
        </w:tc>
        <w:tc>
          <w:tcPr>
            <w:tcW w:w="1500" w:type="dxa"/>
            <w:tcMar>
              <w:top w:w="80" w:type="dxa"/>
              <w:left w:w="120" w:type="dxa"/>
              <w:bottom w:w="80" w:type="dxa"/>
              <w:right w:w="120" w:type="dxa"/>
            </w:tcMar>
          </w:tcPr>
          <w:p w14:paraId="73745416" w14:textId="77777777" w:rsidR="00EC5333" w:rsidRDefault="00000000">
            <w:pPr>
              <w:spacing w:after="60"/>
              <w:jc w:val="center"/>
            </w:pPr>
            <w:r>
              <w:rPr>
                <w:color w:val="334155"/>
                <w:sz w:val="19"/>
                <w:szCs w:val="19"/>
              </w:rPr>
              <w:t>85.74</w:t>
            </w:r>
          </w:p>
        </w:tc>
        <w:tc>
          <w:tcPr>
            <w:tcW w:w="1500" w:type="dxa"/>
            <w:tcMar>
              <w:top w:w="80" w:type="dxa"/>
              <w:left w:w="120" w:type="dxa"/>
              <w:bottom w:w="80" w:type="dxa"/>
              <w:right w:w="120" w:type="dxa"/>
            </w:tcMar>
          </w:tcPr>
          <w:p w14:paraId="50CAD43D" w14:textId="77777777" w:rsidR="00EC5333" w:rsidRDefault="00000000">
            <w:pPr>
              <w:spacing w:after="60"/>
              <w:jc w:val="center"/>
            </w:pPr>
            <w:r>
              <w:rPr>
                <w:color w:val="334155"/>
                <w:sz w:val="19"/>
                <w:szCs w:val="19"/>
              </w:rPr>
              <w:t>142.3</w:t>
            </w:r>
          </w:p>
        </w:tc>
        <w:tc>
          <w:tcPr>
            <w:tcW w:w="1800" w:type="dxa"/>
            <w:tcMar>
              <w:top w:w="80" w:type="dxa"/>
              <w:left w:w="120" w:type="dxa"/>
              <w:bottom w:w="80" w:type="dxa"/>
              <w:right w:w="120" w:type="dxa"/>
            </w:tcMar>
          </w:tcPr>
          <w:p w14:paraId="103D18EE" w14:textId="77777777" w:rsidR="00EC5333" w:rsidRDefault="00000000">
            <w:pPr>
              <w:spacing w:after="60"/>
              <w:jc w:val="center"/>
            </w:pPr>
            <w:r>
              <w:rPr>
                <w:b/>
                <w:bCs/>
                <w:color w:val="B91C1C"/>
                <w:sz w:val="19"/>
                <w:szCs w:val="19"/>
              </w:rPr>
              <w:t>14.26</w:t>
            </w:r>
          </w:p>
        </w:tc>
        <w:tc>
          <w:tcPr>
            <w:tcW w:w="1800" w:type="dxa"/>
            <w:tcMar>
              <w:top w:w="80" w:type="dxa"/>
              <w:left w:w="120" w:type="dxa"/>
              <w:bottom w:w="80" w:type="dxa"/>
              <w:right w:w="120" w:type="dxa"/>
            </w:tcMar>
          </w:tcPr>
          <w:p w14:paraId="12F2241A" w14:textId="77777777" w:rsidR="00EC5333" w:rsidRDefault="00000000">
            <w:pPr>
              <w:spacing w:after="60"/>
              <w:jc w:val="center"/>
            </w:pPr>
            <w:r>
              <w:rPr>
                <w:color w:val="334155"/>
                <w:sz w:val="19"/>
                <w:szCs w:val="19"/>
              </w:rPr>
              <w:t>62</w:t>
            </w:r>
          </w:p>
        </w:tc>
      </w:tr>
      <w:tr w:rsidR="00EC5333" w14:paraId="7C65634B" w14:textId="77777777">
        <w:tc>
          <w:tcPr>
            <w:tcW w:w="2400" w:type="dxa"/>
            <w:shd w:val="clear" w:color="F8FAFC" w:fill="F8FAFC"/>
            <w:tcMar>
              <w:top w:w="80" w:type="dxa"/>
              <w:left w:w="120" w:type="dxa"/>
              <w:bottom w:w="80" w:type="dxa"/>
              <w:right w:w="120" w:type="dxa"/>
            </w:tcMar>
          </w:tcPr>
          <w:p w14:paraId="682623A5" w14:textId="77777777" w:rsidR="00EC5333" w:rsidRDefault="00000000">
            <w:pPr>
              <w:spacing w:after="60"/>
            </w:pPr>
            <w:r>
              <w:rPr>
                <w:color w:val="334155"/>
                <w:sz w:val="19"/>
                <w:szCs w:val="19"/>
              </w:rPr>
              <w:t>Naïve Persistence</w:t>
            </w:r>
          </w:p>
        </w:tc>
        <w:tc>
          <w:tcPr>
            <w:tcW w:w="1500" w:type="dxa"/>
            <w:shd w:val="clear" w:color="F8FAFC" w:fill="F8FAFC"/>
            <w:tcMar>
              <w:top w:w="80" w:type="dxa"/>
              <w:left w:w="120" w:type="dxa"/>
              <w:bottom w:w="80" w:type="dxa"/>
              <w:right w:w="120" w:type="dxa"/>
            </w:tcMar>
          </w:tcPr>
          <w:p w14:paraId="1A325FC3" w14:textId="77777777" w:rsidR="00EC5333" w:rsidRDefault="00000000">
            <w:pPr>
              <w:spacing w:after="60"/>
              <w:jc w:val="center"/>
            </w:pPr>
            <w:r>
              <w:rPr>
                <w:b/>
                <w:bCs/>
                <w:color w:val="B91C1C"/>
                <w:sz w:val="19"/>
                <w:szCs w:val="19"/>
              </w:rPr>
              <w:t>57.84</w:t>
            </w:r>
          </w:p>
        </w:tc>
        <w:tc>
          <w:tcPr>
            <w:tcW w:w="1500" w:type="dxa"/>
            <w:shd w:val="clear" w:color="F8FAFC" w:fill="F8FAFC"/>
            <w:tcMar>
              <w:top w:w="80" w:type="dxa"/>
              <w:left w:w="120" w:type="dxa"/>
              <w:bottom w:w="80" w:type="dxa"/>
              <w:right w:w="120" w:type="dxa"/>
            </w:tcMar>
          </w:tcPr>
          <w:p w14:paraId="1990881F" w14:textId="77777777" w:rsidR="00EC5333" w:rsidRDefault="00000000">
            <w:pPr>
              <w:spacing w:after="60"/>
              <w:jc w:val="center"/>
            </w:pPr>
            <w:r>
              <w:rPr>
                <w:color w:val="334155"/>
                <w:sz w:val="19"/>
                <w:szCs w:val="19"/>
              </w:rPr>
              <w:t>198.6</w:t>
            </w:r>
          </w:p>
        </w:tc>
        <w:tc>
          <w:tcPr>
            <w:tcW w:w="1800" w:type="dxa"/>
            <w:shd w:val="clear" w:color="F8FAFC" w:fill="F8FAFC"/>
            <w:tcMar>
              <w:top w:w="80" w:type="dxa"/>
              <w:left w:w="120" w:type="dxa"/>
              <w:bottom w:w="80" w:type="dxa"/>
              <w:right w:w="120" w:type="dxa"/>
            </w:tcMar>
          </w:tcPr>
          <w:p w14:paraId="58C2BD4A" w14:textId="77777777" w:rsidR="00EC5333" w:rsidRDefault="00000000">
            <w:pPr>
              <w:spacing w:after="60"/>
              <w:jc w:val="center"/>
            </w:pPr>
            <w:r>
              <w:rPr>
                <w:b/>
                <w:bCs/>
                <w:color w:val="B91C1C"/>
                <w:sz w:val="19"/>
                <w:szCs w:val="19"/>
              </w:rPr>
              <w:t>42.16</w:t>
            </w:r>
          </w:p>
        </w:tc>
        <w:tc>
          <w:tcPr>
            <w:tcW w:w="1800" w:type="dxa"/>
            <w:shd w:val="clear" w:color="F8FAFC" w:fill="F8FAFC"/>
            <w:tcMar>
              <w:top w:w="80" w:type="dxa"/>
              <w:left w:w="120" w:type="dxa"/>
              <w:bottom w:w="80" w:type="dxa"/>
              <w:right w:w="120" w:type="dxa"/>
            </w:tcMar>
          </w:tcPr>
          <w:p w14:paraId="41E4AA48" w14:textId="77777777" w:rsidR="00EC5333" w:rsidRDefault="00000000">
            <w:pPr>
              <w:spacing w:after="60"/>
              <w:jc w:val="center"/>
            </w:pPr>
            <w:r>
              <w:rPr>
                <w:color w:val="334155"/>
                <w:sz w:val="19"/>
                <w:szCs w:val="19"/>
              </w:rPr>
              <w:t>62</w:t>
            </w:r>
          </w:p>
        </w:tc>
      </w:tr>
    </w:tbl>
    <w:p w14:paraId="589F3DF7" w14:textId="77777777" w:rsidR="00EC5333" w:rsidRDefault="00EC5333">
      <w:pPr>
        <w:spacing w:after="80"/>
      </w:pPr>
    </w:p>
    <w:p w14:paraId="7019012C" w14:textId="77777777" w:rsidR="00EC5333" w:rsidRPr="00353363" w:rsidRDefault="00000000">
      <w:pPr>
        <w:spacing w:after="140" w:line="360" w:lineRule="auto"/>
        <w:rPr>
          <w:sz w:val="20"/>
          <w:szCs w:val="20"/>
        </w:rPr>
      </w:pPr>
      <w:r w:rsidRPr="00353363">
        <w:rPr>
          <w:color w:val="64748B"/>
          <w:sz w:val="20"/>
          <w:szCs w:val="20"/>
        </w:rPr>
        <w:t>Table 3. 7-day horizon results. Green = best in column, Red = worst. Capacity threshold set at 2,511 children (95th percentile of test-period care load).</w:t>
      </w:r>
    </w:p>
    <w:p w14:paraId="0A4EEA07" w14:textId="470CD6E1" w:rsidR="00EC5333" w:rsidRPr="005B6384" w:rsidRDefault="00000000">
      <w:pPr>
        <w:pBdr>
          <w:bottom w:val="single" w:sz="8" w:space="4" w:color="1B2A4A"/>
        </w:pBdr>
        <w:spacing w:before="400" w:after="160"/>
        <w:rPr>
          <w:b/>
          <w:bCs/>
          <w:sz w:val="28"/>
          <w:szCs w:val="28"/>
        </w:rPr>
      </w:pPr>
      <w:r w:rsidRPr="005B6384">
        <w:rPr>
          <w:b/>
          <w:bCs/>
          <w:caps/>
          <w:color w:val="1B2A4A"/>
          <w:spacing w:val="60"/>
          <w:sz w:val="28"/>
          <w:szCs w:val="28"/>
        </w:rPr>
        <w:t>5.</w:t>
      </w:r>
      <w:r w:rsidR="005B6384" w:rsidRPr="005B6384">
        <w:rPr>
          <w:b/>
          <w:bCs/>
          <w:sz w:val="28"/>
          <w:szCs w:val="28"/>
        </w:rPr>
        <w:t xml:space="preserve"> WHAT WE FOUND </w:t>
      </w:r>
    </w:p>
    <w:p w14:paraId="1074B788" w14:textId="529C4D67" w:rsidR="00EC5333" w:rsidRDefault="00000000">
      <w:pPr>
        <w:spacing w:before="260" w:after="100"/>
      </w:pPr>
      <w:r>
        <w:rPr>
          <w:b/>
          <w:bCs/>
          <w:color w:val="1B2A4A"/>
        </w:rPr>
        <w:t>Finding 1 — Machine learning beat statistical models at short horizons</w:t>
      </w:r>
    </w:p>
    <w:p w14:paraId="68B19D97" w14:textId="77777777" w:rsidR="00EC5333" w:rsidRDefault="00000000">
      <w:pPr>
        <w:spacing w:after="140" w:line="360" w:lineRule="auto"/>
        <w:jc w:val="both"/>
      </w:pPr>
      <w:r>
        <w:rPr>
          <w:sz w:val="21"/>
          <w:szCs w:val="21"/>
        </w:rPr>
        <w:t>Random Forest and Gradient Boosting both outperformed every statistical model when predicting 7 to 14 days ahead. The reason seems straightforward: they could pick up on patterns in the engineered features — like 'care load tends to rise on Monday after a weekend dip' or 'March numbers usually climb' — that ARIMA and similar models handle less naturally.</w:t>
      </w:r>
    </w:p>
    <w:p w14:paraId="00F7AB1C" w14:textId="77777777" w:rsidR="00EC5333" w:rsidRDefault="00000000">
      <w:pPr>
        <w:spacing w:before="260" w:after="100"/>
      </w:pPr>
      <w:r>
        <w:rPr>
          <w:b/>
          <w:bCs/>
          <w:color w:val="1B2A4A"/>
        </w:rPr>
        <w:t>Finding 2 — We can warn of a surge 9 days in advance</w:t>
      </w:r>
    </w:p>
    <w:p w14:paraId="386C1150" w14:textId="77777777" w:rsidR="00EC5333" w:rsidRDefault="00000000">
      <w:pPr>
        <w:spacing w:after="140" w:line="360" w:lineRule="auto"/>
        <w:jc w:val="both"/>
      </w:pPr>
      <w:r>
        <w:rPr>
          <w:sz w:val="21"/>
          <w:szCs w:val="21"/>
        </w:rPr>
        <w:t>Exponential Smoothing predicted that care load would cross the capacity threshold 9 days before it actually did. That's a real window. Nine days is enough time to call in additional shelter staff, notify placement coordinators, reach out to foster families, and start the paperwork for contract expansions — all before the surge arrives.</w:t>
      </w:r>
    </w:p>
    <w:p w14:paraId="24E0F020" w14:textId="77777777" w:rsidR="00EC5333" w:rsidRDefault="00000000">
      <w:pPr>
        <w:spacing w:before="260" w:after="100"/>
      </w:pPr>
      <w:r>
        <w:rPr>
          <w:b/>
          <w:bCs/>
          <w:color w:val="1B2A4A"/>
        </w:rPr>
        <w:t>Finding 3 — Seasonal patterns show up clearly in the data</w:t>
      </w:r>
    </w:p>
    <w:p w14:paraId="6468B432" w14:textId="77777777" w:rsidR="00EC5333" w:rsidRDefault="00000000">
      <w:pPr>
        <w:spacing w:after="140" w:line="360" w:lineRule="auto"/>
        <w:jc w:val="both"/>
      </w:pPr>
      <w:r>
        <w:rPr>
          <w:sz w:val="21"/>
          <w:szCs w:val="21"/>
        </w:rPr>
        <w:lastRenderedPageBreak/>
        <w:t>Care load reliably goes up in spring (March through May) and again in late summer (August through September). These match the known migration cycles across the southern border. SARIMA caught these patterns well and is probably the most useful model for planning a month or more ahead.</w:t>
      </w:r>
    </w:p>
    <w:p w14:paraId="1FD5C153" w14:textId="77777777" w:rsidR="00EC5333" w:rsidRDefault="00000000">
      <w:pPr>
        <w:spacing w:before="260" w:after="100"/>
      </w:pPr>
      <w:r>
        <w:rPr>
          <w:b/>
          <w:bCs/>
          <w:color w:val="1B2A4A"/>
        </w:rPr>
        <w:t>Finding 4 — Different models gave wildly different breach signals</w:t>
      </w:r>
    </w:p>
    <w:p w14:paraId="66665ADA" w14:textId="77777777" w:rsidR="00EC5333" w:rsidRDefault="00000000">
      <w:pPr>
        <w:spacing w:after="140" w:line="360" w:lineRule="auto"/>
        <w:jc w:val="both"/>
      </w:pPr>
      <w:r>
        <w:rPr>
          <w:sz w:val="21"/>
          <w:szCs w:val="21"/>
        </w:rPr>
        <w:t>With the threshold set at 2,511 children, ARIMA and Exponential Smoothing flagged capacity breaches on nearly every forecast day (essentially 100% breach probability). SARIMA, Random Forest, and Gradient Boosting flagged almost none. The right answer is somewhere in between — which suggests that relying on just one model for breach alerts would be a mistake either way.</w:t>
      </w:r>
    </w:p>
    <w:p w14:paraId="7FB844E4" w14:textId="19B9075A" w:rsidR="00EC5333" w:rsidRPr="005B6384" w:rsidRDefault="00000000">
      <w:pPr>
        <w:pBdr>
          <w:bottom w:val="single" w:sz="8" w:space="4" w:color="1B2A4A"/>
        </w:pBdr>
        <w:spacing w:before="400" w:after="160"/>
        <w:rPr>
          <w:b/>
          <w:bCs/>
          <w:sz w:val="28"/>
          <w:szCs w:val="28"/>
        </w:rPr>
      </w:pPr>
      <w:r w:rsidRPr="005B6384">
        <w:rPr>
          <w:b/>
          <w:bCs/>
          <w:caps/>
          <w:color w:val="1B2A4A"/>
          <w:spacing w:val="60"/>
          <w:sz w:val="28"/>
          <w:szCs w:val="28"/>
        </w:rPr>
        <w:t>6.</w:t>
      </w:r>
      <w:r w:rsidR="005B6384" w:rsidRPr="005B6384">
        <w:rPr>
          <w:b/>
          <w:bCs/>
          <w:sz w:val="28"/>
          <w:szCs w:val="28"/>
        </w:rPr>
        <w:t xml:space="preserve"> </w:t>
      </w:r>
      <w:r w:rsidR="005B6384">
        <w:rPr>
          <w:b/>
          <w:bCs/>
          <w:sz w:val="28"/>
          <w:szCs w:val="28"/>
        </w:rPr>
        <w:t>RECOMMEN</w:t>
      </w:r>
      <w:r w:rsidR="00353363">
        <w:rPr>
          <w:b/>
          <w:bCs/>
          <w:sz w:val="28"/>
          <w:szCs w:val="28"/>
        </w:rPr>
        <w:t>DATIONS</w:t>
      </w:r>
      <w:r w:rsidRPr="005B6384">
        <w:rPr>
          <w:b/>
          <w:bCs/>
          <w:caps/>
          <w:color w:val="1B2A4A"/>
          <w:spacing w:val="60"/>
          <w:sz w:val="28"/>
          <w:szCs w:val="28"/>
        </w:rPr>
        <w:t xml:space="preserve"> </w:t>
      </w:r>
    </w:p>
    <w:p w14:paraId="5B37EE04" w14:textId="77777777" w:rsidR="00EC5333" w:rsidRDefault="00000000">
      <w:pPr>
        <w:spacing w:before="260" w:after="100"/>
      </w:pPr>
      <w:r>
        <w:rPr>
          <w:b/>
          <w:bCs/>
          <w:color w:val="1B2A4A"/>
        </w:rPr>
        <w:t xml:space="preserve">Right </w:t>
      </w:r>
      <w:proofErr w:type="gramStart"/>
      <w:r>
        <w:rPr>
          <w:b/>
          <w:bCs/>
          <w:color w:val="1B2A4A"/>
        </w:rPr>
        <w:t>now</w:t>
      </w:r>
      <w:proofErr w:type="gramEnd"/>
    </w:p>
    <w:p w14:paraId="0BB2EDCB" w14:textId="77777777" w:rsidR="00EC5333" w:rsidRDefault="00000000">
      <w:pPr>
        <w:pStyle w:val="ListParagraph"/>
        <w:numPr>
          <w:ilvl w:val="0"/>
          <w:numId w:val="1"/>
        </w:numPr>
        <w:spacing w:after="80"/>
      </w:pPr>
      <w:r>
        <w:rPr>
          <w:color w:val="334155"/>
          <w:sz w:val="21"/>
          <w:szCs w:val="21"/>
        </w:rPr>
        <w:t xml:space="preserve">Use Random Forest as the main forecasting tool for </w:t>
      </w:r>
      <w:proofErr w:type="gramStart"/>
      <w:r>
        <w:rPr>
          <w:color w:val="334155"/>
          <w:sz w:val="21"/>
          <w:szCs w:val="21"/>
        </w:rPr>
        <w:t>7 to 14 day</w:t>
      </w:r>
      <w:proofErr w:type="gramEnd"/>
      <w:r>
        <w:rPr>
          <w:color w:val="334155"/>
          <w:sz w:val="21"/>
          <w:szCs w:val="21"/>
        </w:rPr>
        <w:t xml:space="preserve"> capacity planning. It was the most accurate and produced zero false breach alarms in testing.</w:t>
      </w:r>
    </w:p>
    <w:p w14:paraId="6A592C28" w14:textId="77777777" w:rsidR="00EC5333" w:rsidRDefault="00000000">
      <w:pPr>
        <w:pStyle w:val="ListParagraph"/>
        <w:numPr>
          <w:ilvl w:val="0"/>
          <w:numId w:val="1"/>
        </w:numPr>
        <w:spacing w:after="80"/>
      </w:pPr>
      <w:r>
        <w:rPr>
          <w:color w:val="334155"/>
          <w:sz w:val="21"/>
          <w:szCs w:val="21"/>
        </w:rPr>
        <w:t>Run Exponential Smoothing alongside it specifically as a surge early-warning signal. When it flags a breach, treat it as a trigger to check whether additional capacity should be arranged.</w:t>
      </w:r>
    </w:p>
    <w:p w14:paraId="79FFE932" w14:textId="77777777" w:rsidR="00EC5333" w:rsidRDefault="00000000">
      <w:pPr>
        <w:pStyle w:val="ListParagraph"/>
        <w:numPr>
          <w:ilvl w:val="0"/>
          <w:numId w:val="1"/>
        </w:numPr>
        <w:spacing w:after="80"/>
      </w:pPr>
      <w:r>
        <w:rPr>
          <w:color w:val="334155"/>
          <w:sz w:val="21"/>
          <w:szCs w:val="21"/>
        </w:rPr>
        <w:t xml:space="preserve">Replace the 2,511 </w:t>
      </w:r>
      <w:proofErr w:type="gramStart"/>
      <w:r>
        <w:rPr>
          <w:color w:val="334155"/>
          <w:sz w:val="21"/>
          <w:szCs w:val="21"/>
        </w:rPr>
        <w:t>threshold</w:t>
      </w:r>
      <w:proofErr w:type="gramEnd"/>
      <w:r>
        <w:rPr>
          <w:color w:val="334155"/>
          <w:sz w:val="21"/>
          <w:szCs w:val="21"/>
        </w:rPr>
        <w:t xml:space="preserve"> with the actual official HHS shelter capacity number. The current threshold is a statistical estimate, not a real operational limit.</w:t>
      </w:r>
    </w:p>
    <w:p w14:paraId="69A22E3B" w14:textId="77777777" w:rsidR="00EC5333" w:rsidRDefault="00EC5333">
      <w:pPr>
        <w:spacing w:after="60"/>
      </w:pPr>
    </w:p>
    <w:p w14:paraId="0DD46C12" w14:textId="5E514809" w:rsidR="00EC5333" w:rsidRDefault="00353363">
      <w:pPr>
        <w:spacing w:before="260" w:after="100"/>
      </w:pPr>
      <w:r>
        <w:rPr>
          <w:b/>
          <w:bCs/>
          <w:color w:val="1B2A4A"/>
        </w:rPr>
        <w:t xml:space="preserve">In Future </w:t>
      </w:r>
    </w:p>
    <w:p w14:paraId="2942B1D4" w14:textId="77777777" w:rsidR="00EC5333" w:rsidRDefault="00000000">
      <w:pPr>
        <w:pStyle w:val="ListParagraph"/>
        <w:numPr>
          <w:ilvl w:val="0"/>
          <w:numId w:val="1"/>
        </w:numPr>
        <w:spacing w:after="80"/>
      </w:pPr>
      <w:r>
        <w:rPr>
          <w:color w:val="334155"/>
          <w:sz w:val="21"/>
          <w:szCs w:val="21"/>
        </w:rPr>
        <w:t xml:space="preserve">Connect the </w:t>
      </w:r>
      <w:proofErr w:type="spellStart"/>
      <w:r>
        <w:rPr>
          <w:color w:val="334155"/>
          <w:sz w:val="21"/>
          <w:szCs w:val="21"/>
        </w:rPr>
        <w:t>Streamlit</w:t>
      </w:r>
      <w:proofErr w:type="spellEnd"/>
      <w:r>
        <w:rPr>
          <w:color w:val="334155"/>
          <w:sz w:val="21"/>
          <w:szCs w:val="21"/>
        </w:rPr>
        <w:t xml:space="preserve"> dashboard to a live data feed so forecasts update automatically each day rather than requiring a manual re-run.</w:t>
      </w:r>
    </w:p>
    <w:p w14:paraId="7EACC9D5" w14:textId="77777777" w:rsidR="00EC5333" w:rsidRDefault="00000000">
      <w:pPr>
        <w:pStyle w:val="ListParagraph"/>
        <w:numPr>
          <w:ilvl w:val="0"/>
          <w:numId w:val="1"/>
        </w:numPr>
        <w:spacing w:after="80"/>
      </w:pPr>
      <w:r>
        <w:rPr>
          <w:color w:val="334155"/>
          <w:sz w:val="21"/>
          <w:szCs w:val="21"/>
        </w:rPr>
        <w:t>Set up an alert rule: if two or more models simultaneously predict a breach, send a flag to the duty manager. This cuts down on false alarms while still catching real surges.</w:t>
      </w:r>
    </w:p>
    <w:p w14:paraId="45C7FCF2" w14:textId="77777777" w:rsidR="00EC5333" w:rsidRDefault="00000000">
      <w:pPr>
        <w:pStyle w:val="ListParagraph"/>
        <w:numPr>
          <w:ilvl w:val="0"/>
          <w:numId w:val="1"/>
        </w:numPr>
        <w:spacing w:after="80"/>
      </w:pPr>
      <w:r>
        <w:rPr>
          <w:color w:val="334155"/>
          <w:sz w:val="21"/>
          <w:szCs w:val="21"/>
        </w:rPr>
        <w:t>Roll the dashboard into the ORR weekly briefing cycle. Right now, program managers get backward-looking reports. The dashboard gives them forward-looking ones.</w:t>
      </w:r>
    </w:p>
    <w:p w14:paraId="243FA077" w14:textId="77777777" w:rsidR="00EC5333" w:rsidRDefault="00EC5333">
      <w:pPr>
        <w:spacing w:after="60"/>
      </w:pPr>
    </w:p>
    <w:p w14:paraId="4E0807F7" w14:textId="77777777" w:rsidR="00EC5333" w:rsidRDefault="00000000">
      <w:pPr>
        <w:pStyle w:val="ListParagraph"/>
        <w:numPr>
          <w:ilvl w:val="0"/>
          <w:numId w:val="1"/>
        </w:numPr>
        <w:spacing w:after="80"/>
      </w:pPr>
      <w:r>
        <w:rPr>
          <w:color w:val="334155"/>
          <w:sz w:val="21"/>
          <w:szCs w:val="21"/>
        </w:rPr>
        <w:t>Add external data sources that are known to lead UAC intake: DHS encounter numbers at the border, immigration court schedules, and Central American weather or political events.</w:t>
      </w:r>
    </w:p>
    <w:p w14:paraId="25267B3B" w14:textId="77777777" w:rsidR="00EC5333" w:rsidRDefault="00000000">
      <w:pPr>
        <w:pStyle w:val="ListParagraph"/>
        <w:numPr>
          <w:ilvl w:val="0"/>
          <w:numId w:val="1"/>
        </w:numPr>
        <w:spacing w:after="80"/>
      </w:pPr>
      <w:r>
        <w:rPr>
          <w:color w:val="334155"/>
          <w:sz w:val="21"/>
          <w:szCs w:val="21"/>
        </w:rPr>
        <w:t xml:space="preserve">Test LSTM and Transformer-based models for </w:t>
      </w:r>
      <w:proofErr w:type="gramStart"/>
      <w:r>
        <w:rPr>
          <w:color w:val="334155"/>
          <w:sz w:val="21"/>
          <w:szCs w:val="21"/>
        </w:rPr>
        <w:t>60 to 90 day</w:t>
      </w:r>
      <w:proofErr w:type="gramEnd"/>
      <w:r>
        <w:rPr>
          <w:color w:val="334155"/>
          <w:sz w:val="21"/>
          <w:szCs w:val="21"/>
        </w:rPr>
        <w:t xml:space="preserve"> forecasts. The current models lose accuracy quickly beyond 30 days.</w:t>
      </w:r>
    </w:p>
    <w:p w14:paraId="50523A82" w14:textId="77777777" w:rsidR="00EC5333" w:rsidRDefault="00000000">
      <w:pPr>
        <w:pStyle w:val="ListParagraph"/>
        <w:numPr>
          <w:ilvl w:val="0"/>
          <w:numId w:val="1"/>
        </w:numPr>
        <w:spacing w:after="80"/>
      </w:pPr>
      <w:r>
        <w:rPr>
          <w:color w:val="334155"/>
          <w:sz w:val="21"/>
          <w:szCs w:val="21"/>
        </w:rPr>
        <w:t>Build in a confidence range for every forecast — not just a single number, but a low, mid, and high estimate — so decision-makers understand the uncertainty before acting on it.</w:t>
      </w:r>
    </w:p>
    <w:p w14:paraId="7D9B7047" w14:textId="20517D76" w:rsidR="00EC5333" w:rsidRPr="00353363" w:rsidRDefault="00000000">
      <w:pPr>
        <w:pBdr>
          <w:bottom w:val="single" w:sz="8" w:space="4" w:color="1B2A4A"/>
        </w:pBdr>
        <w:spacing w:before="400" w:after="160"/>
        <w:rPr>
          <w:b/>
          <w:bCs/>
          <w:sz w:val="28"/>
          <w:szCs w:val="28"/>
        </w:rPr>
      </w:pPr>
      <w:r w:rsidRPr="00353363">
        <w:rPr>
          <w:b/>
          <w:bCs/>
          <w:caps/>
          <w:color w:val="1B2A4A"/>
          <w:spacing w:val="60"/>
          <w:sz w:val="28"/>
          <w:szCs w:val="28"/>
        </w:rPr>
        <w:t>7.</w:t>
      </w:r>
      <w:r w:rsidR="00353363" w:rsidRPr="00353363">
        <w:rPr>
          <w:b/>
          <w:bCs/>
          <w:sz w:val="28"/>
          <w:szCs w:val="28"/>
        </w:rPr>
        <w:t xml:space="preserve"> CONCLUSION</w:t>
      </w:r>
      <w:r w:rsidRPr="00353363">
        <w:rPr>
          <w:b/>
          <w:bCs/>
          <w:caps/>
          <w:color w:val="1B2A4A"/>
          <w:spacing w:val="60"/>
          <w:sz w:val="28"/>
          <w:szCs w:val="28"/>
        </w:rPr>
        <w:t xml:space="preserve"> </w:t>
      </w:r>
    </w:p>
    <w:p w14:paraId="4F2F58F1" w14:textId="77777777" w:rsidR="00EC5333" w:rsidRDefault="00000000">
      <w:pPr>
        <w:spacing w:after="140" w:line="360" w:lineRule="auto"/>
        <w:jc w:val="both"/>
      </w:pPr>
      <w:r>
        <w:rPr>
          <w:sz w:val="21"/>
          <w:szCs w:val="21"/>
        </w:rPr>
        <w:t>The UAC dataset contains enough signal to make useful predictions 7 to 30 days out. The best models we tested hit above 97% accuracy at short horizons, and at least one model gave 9 days of warning before a surge. That's a meaningful improvement over reacting after the fact.</w:t>
      </w:r>
    </w:p>
    <w:p w14:paraId="6673E6D9" w14:textId="77777777" w:rsidR="00EC5333" w:rsidRDefault="00000000">
      <w:pPr>
        <w:spacing w:after="140" w:line="360" w:lineRule="auto"/>
        <w:jc w:val="both"/>
      </w:pPr>
      <w:r>
        <w:rPr>
          <w:sz w:val="21"/>
          <w:szCs w:val="21"/>
        </w:rPr>
        <w:lastRenderedPageBreak/>
        <w:t xml:space="preserve">What's needed now is to put these models into regular use. The </w:t>
      </w:r>
      <w:proofErr w:type="spellStart"/>
      <w:r>
        <w:rPr>
          <w:sz w:val="21"/>
          <w:szCs w:val="21"/>
        </w:rPr>
        <w:t>Streamlit</w:t>
      </w:r>
      <w:proofErr w:type="spellEnd"/>
      <w:r>
        <w:rPr>
          <w:sz w:val="21"/>
          <w:szCs w:val="21"/>
        </w:rPr>
        <w:t xml:space="preserve"> dashboard built as part of this project is a starting point — it runs all seven models, tracks the five key metrics, and lets program managers filter by model and time horizon. With a live data connection and a defined alert process, it could realistically give ORR staff several days of warning before the next surge.</w:t>
      </w:r>
    </w:p>
    <w:p w14:paraId="076BEFBF" w14:textId="77777777" w:rsidR="00EC5333" w:rsidRDefault="00000000">
      <w:pPr>
        <w:spacing w:after="140" w:line="360" w:lineRule="auto"/>
        <w:jc w:val="both"/>
      </w:pPr>
      <w:r>
        <w:rPr>
          <w:sz w:val="21"/>
          <w:szCs w:val="21"/>
        </w:rPr>
        <w:t>The children in this program are better served when the system that cares for them isn't constantly scrambling to catch up. These models are one practical step toward that.</w:t>
      </w:r>
    </w:p>
    <w:p w14:paraId="52D92EDA" w14:textId="77777777" w:rsidR="00EC5333" w:rsidRDefault="00EC5333">
      <w:pPr>
        <w:spacing w:after="80"/>
      </w:pPr>
    </w:p>
    <w:p w14:paraId="70E7516F" w14:textId="77777777" w:rsidR="00EC5333" w:rsidRDefault="00EC5333">
      <w:pPr>
        <w:pBdr>
          <w:bottom w:val="single" w:sz="4" w:space="1" w:color="CBD5E1"/>
        </w:pBdr>
        <w:spacing w:after="200"/>
      </w:pPr>
    </w:p>
    <w:p w14:paraId="752C1345" w14:textId="77777777" w:rsidR="00EC5333" w:rsidRPr="00353363" w:rsidRDefault="00000000">
      <w:pPr>
        <w:spacing w:after="140" w:line="360" w:lineRule="auto"/>
        <w:jc w:val="center"/>
        <w:rPr>
          <w:sz w:val="20"/>
          <w:szCs w:val="20"/>
        </w:rPr>
      </w:pPr>
      <w:r w:rsidRPr="00353363">
        <w:rPr>
          <w:color w:val="64748B"/>
          <w:sz w:val="20"/>
          <w:szCs w:val="20"/>
        </w:rPr>
        <w:t>Prepared as part of the HHS UAC Program Forecasting Internship Project · 2025</w:t>
      </w:r>
    </w:p>
    <w:sectPr w:rsidR="00EC5333" w:rsidRPr="00353363">
      <w:headerReference w:type="default" r:id="rId7"/>
      <w:footerReference w:type="default" r:id="rId8"/>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C11BB" w14:textId="77777777" w:rsidR="008E1AD8" w:rsidRDefault="008E1AD8">
      <w:r>
        <w:separator/>
      </w:r>
    </w:p>
  </w:endnote>
  <w:endnote w:type="continuationSeparator" w:id="0">
    <w:p w14:paraId="50E3721A" w14:textId="77777777" w:rsidR="008E1AD8" w:rsidRDefault="008E1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88464" w14:textId="77777777" w:rsidR="00EC5333" w:rsidRDefault="00000000">
    <w:pPr>
      <w:pBdr>
        <w:top w:val="single" w:sz="4" w:space="6" w:color="CBD5E1"/>
      </w:pBdr>
      <w:jc w:val="center"/>
    </w:pPr>
    <w:r>
      <w:rPr>
        <w:color w:val="64748B"/>
        <w:sz w:val="16"/>
        <w:szCs w:val="16"/>
      </w:rPr>
      <w:t xml:space="preserve">Confidential — For Official </w:t>
    </w:r>
    <w:proofErr w:type="gramStart"/>
    <w:r>
      <w:rPr>
        <w:color w:val="64748B"/>
        <w:sz w:val="16"/>
        <w:szCs w:val="16"/>
      </w:rPr>
      <w:t>Use  |</w:t>
    </w:r>
    <w:proofErr w:type="gramEnd"/>
    <w:r>
      <w:rPr>
        <w:color w:val="64748B"/>
        <w:sz w:val="16"/>
        <w:szCs w:val="16"/>
      </w:rPr>
      <w:t xml:space="preserve">  Page </w:t>
    </w:r>
    <w:r>
      <w:rPr>
        <w:color w:val="64748B"/>
        <w:sz w:val="16"/>
        <w:szCs w:val="16"/>
      </w:rPr>
      <w:fldChar w:fldCharType="begin"/>
    </w:r>
    <w:r>
      <w:rPr>
        <w:color w:val="64748B"/>
        <w:sz w:val="16"/>
        <w:szCs w:val="16"/>
      </w:rPr>
      <w:instrText>PAGE</w:instrText>
    </w:r>
    <w:r>
      <w:rPr>
        <w:color w:val="64748B"/>
        <w:sz w:val="16"/>
        <w:szCs w:val="16"/>
      </w:rPr>
      <w:fldChar w:fldCharType="separate"/>
    </w:r>
    <w:r w:rsidR="005D733B">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5D733B">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EFD6F" w14:textId="77777777" w:rsidR="008E1AD8" w:rsidRDefault="008E1AD8">
      <w:r>
        <w:separator/>
      </w:r>
    </w:p>
  </w:footnote>
  <w:footnote w:type="continuationSeparator" w:id="0">
    <w:p w14:paraId="2A8B6D6E" w14:textId="77777777" w:rsidR="008E1AD8" w:rsidRDefault="008E1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AE2C9" w14:textId="77777777" w:rsidR="00EC5333" w:rsidRPr="005D733B" w:rsidRDefault="00000000">
    <w:pPr>
      <w:pBdr>
        <w:bottom w:val="single" w:sz="4" w:space="6" w:color="CBD5E1"/>
      </w:pBdr>
      <w:jc w:val="center"/>
      <w:rPr>
        <w:sz w:val="20"/>
        <w:szCs w:val="20"/>
      </w:rPr>
    </w:pPr>
    <w:r w:rsidRPr="005D733B">
      <w:rPr>
        <w:color w:val="64748B"/>
        <w:sz w:val="20"/>
        <w:szCs w:val="20"/>
      </w:rPr>
      <w:t xml:space="preserve">UAC </w:t>
    </w:r>
    <w:proofErr w:type="gramStart"/>
    <w:r w:rsidRPr="005D733B">
      <w:rPr>
        <w:color w:val="64748B"/>
        <w:sz w:val="20"/>
        <w:szCs w:val="20"/>
      </w:rPr>
      <w:t>Program  |</w:t>
    </w:r>
    <w:proofErr w:type="gramEnd"/>
    <w:r w:rsidRPr="005D733B">
      <w:rPr>
        <w:color w:val="64748B"/>
        <w:sz w:val="20"/>
        <w:szCs w:val="20"/>
      </w:rPr>
      <w:t xml:space="preserve">  Executive </w:t>
    </w:r>
    <w:proofErr w:type="gramStart"/>
    <w:r w:rsidRPr="005D733B">
      <w:rPr>
        <w:color w:val="64748B"/>
        <w:sz w:val="20"/>
        <w:szCs w:val="20"/>
      </w:rPr>
      <w:t>Summary  |</w:t>
    </w:r>
    <w:proofErr w:type="gramEnd"/>
    <w:r w:rsidRPr="005D733B">
      <w:rPr>
        <w:color w:val="64748B"/>
        <w:sz w:val="20"/>
        <w:szCs w:val="20"/>
      </w:rPr>
      <w:t xml:space="preserve">  HHS Office of Refugee Resettlement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3DE6"/>
    <w:multiLevelType w:val="hybridMultilevel"/>
    <w:tmpl w:val="DBEA26C6"/>
    <w:lvl w:ilvl="0" w:tplc="E72873C4">
      <w:start w:val="1"/>
      <w:numFmt w:val="bullet"/>
      <w:lvlText w:val="•"/>
      <w:lvlJc w:val="left"/>
      <w:pPr>
        <w:ind w:left="720" w:hanging="360"/>
      </w:pPr>
      <w:rPr>
        <w:rFonts w:ascii="Symbol" w:eastAsia="Symbol" w:hAnsi="Symbol" w:cs="Symbol"/>
        <w:sz w:val="20"/>
        <w:szCs w:val="20"/>
      </w:rPr>
    </w:lvl>
    <w:lvl w:ilvl="1" w:tplc="8A1E4754">
      <w:numFmt w:val="decimal"/>
      <w:lvlText w:val=""/>
      <w:lvlJc w:val="left"/>
    </w:lvl>
    <w:lvl w:ilvl="2" w:tplc="D8C6C64E">
      <w:numFmt w:val="decimal"/>
      <w:lvlText w:val=""/>
      <w:lvlJc w:val="left"/>
    </w:lvl>
    <w:lvl w:ilvl="3" w:tplc="2AD6AE4A">
      <w:numFmt w:val="decimal"/>
      <w:lvlText w:val=""/>
      <w:lvlJc w:val="left"/>
    </w:lvl>
    <w:lvl w:ilvl="4" w:tplc="F6E08E02">
      <w:numFmt w:val="decimal"/>
      <w:lvlText w:val=""/>
      <w:lvlJc w:val="left"/>
    </w:lvl>
    <w:lvl w:ilvl="5" w:tplc="6CF8D7DA">
      <w:numFmt w:val="decimal"/>
      <w:lvlText w:val=""/>
      <w:lvlJc w:val="left"/>
    </w:lvl>
    <w:lvl w:ilvl="6" w:tplc="601EF81E">
      <w:numFmt w:val="decimal"/>
      <w:lvlText w:val=""/>
      <w:lvlJc w:val="left"/>
    </w:lvl>
    <w:lvl w:ilvl="7" w:tplc="20B87E30">
      <w:numFmt w:val="decimal"/>
      <w:lvlText w:val=""/>
      <w:lvlJc w:val="left"/>
    </w:lvl>
    <w:lvl w:ilvl="8" w:tplc="8CFAFACE">
      <w:numFmt w:val="decimal"/>
      <w:lvlText w:val=""/>
      <w:lvlJc w:val="left"/>
    </w:lvl>
  </w:abstractNum>
  <w:abstractNum w:abstractNumId="1" w15:restartNumberingAfterBreak="0">
    <w:nsid w:val="7B292312"/>
    <w:multiLevelType w:val="hybridMultilevel"/>
    <w:tmpl w:val="6638EEB4"/>
    <w:lvl w:ilvl="0" w:tplc="1DF6E1A8">
      <w:start w:val="1"/>
      <w:numFmt w:val="bullet"/>
      <w:lvlText w:val="●"/>
      <w:lvlJc w:val="left"/>
      <w:pPr>
        <w:ind w:left="720" w:hanging="360"/>
      </w:pPr>
    </w:lvl>
    <w:lvl w:ilvl="1" w:tplc="7CE0026E">
      <w:start w:val="1"/>
      <w:numFmt w:val="bullet"/>
      <w:lvlText w:val="○"/>
      <w:lvlJc w:val="left"/>
      <w:pPr>
        <w:ind w:left="1440" w:hanging="360"/>
      </w:pPr>
    </w:lvl>
    <w:lvl w:ilvl="2" w:tplc="8A1E0D14">
      <w:start w:val="1"/>
      <w:numFmt w:val="bullet"/>
      <w:lvlText w:val="■"/>
      <w:lvlJc w:val="left"/>
      <w:pPr>
        <w:ind w:left="2160" w:hanging="360"/>
      </w:pPr>
    </w:lvl>
    <w:lvl w:ilvl="3" w:tplc="F75C49A6">
      <w:start w:val="1"/>
      <w:numFmt w:val="bullet"/>
      <w:lvlText w:val="●"/>
      <w:lvlJc w:val="left"/>
      <w:pPr>
        <w:ind w:left="2880" w:hanging="360"/>
      </w:pPr>
    </w:lvl>
    <w:lvl w:ilvl="4" w:tplc="E9D8ABCE">
      <w:start w:val="1"/>
      <w:numFmt w:val="bullet"/>
      <w:lvlText w:val="○"/>
      <w:lvlJc w:val="left"/>
      <w:pPr>
        <w:ind w:left="3600" w:hanging="360"/>
      </w:pPr>
    </w:lvl>
    <w:lvl w:ilvl="5" w:tplc="847E52AA">
      <w:start w:val="1"/>
      <w:numFmt w:val="bullet"/>
      <w:lvlText w:val="■"/>
      <w:lvlJc w:val="left"/>
      <w:pPr>
        <w:ind w:left="4320" w:hanging="360"/>
      </w:pPr>
    </w:lvl>
    <w:lvl w:ilvl="6" w:tplc="B5E6C662">
      <w:start w:val="1"/>
      <w:numFmt w:val="bullet"/>
      <w:lvlText w:val="●"/>
      <w:lvlJc w:val="left"/>
      <w:pPr>
        <w:ind w:left="5040" w:hanging="360"/>
      </w:pPr>
    </w:lvl>
    <w:lvl w:ilvl="7" w:tplc="4FA0097C">
      <w:start w:val="1"/>
      <w:numFmt w:val="bullet"/>
      <w:lvlText w:val="●"/>
      <w:lvlJc w:val="left"/>
      <w:pPr>
        <w:ind w:left="5760" w:hanging="360"/>
      </w:pPr>
    </w:lvl>
    <w:lvl w:ilvl="8" w:tplc="5DF88C02">
      <w:start w:val="1"/>
      <w:numFmt w:val="bullet"/>
      <w:lvlText w:val="●"/>
      <w:lvlJc w:val="left"/>
      <w:pPr>
        <w:ind w:left="6480" w:hanging="360"/>
      </w:pPr>
    </w:lvl>
  </w:abstractNum>
  <w:num w:numId="1" w16cid:durableId="1425229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333"/>
    <w:rsid w:val="00185446"/>
    <w:rsid w:val="00353363"/>
    <w:rsid w:val="005550AB"/>
    <w:rsid w:val="005B6384"/>
    <w:rsid w:val="005D733B"/>
    <w:rsid w:val="007802CB"/>
    <w:rsid w:val="008E1AD8"/>
    <w:rsid w:val="00EC5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AFBC"/>
  <w15:docId w15:val="{A6692A81-1248-4C83-9AB1-66CF494D7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733B"/>
    <w:pPr>
      <w:tabs>
        <w:tab w:val="center" w:pos="4513"/>
        <w:tab w:val="right" w:pos="9026"/>
      </w:tabs>
    </w:pPr>
  </w:style>
  <w:style w:type="character" w:customStyle="1" w:styleId="HeaderChar">
    <w:name w:val="Header Char"/>
    <w:basedOn w:val="DefaultParagraphFont"/>
    <w:link w:val="Header"/>
    <w:uiPriority w:val="99"/>
    <w:rsid w:val="005D733B"/>
  </w:style>
  <w:style w:type="paragraph" w:styleId="Footer">
    <w:name w:val="footer"/>
    <w:basedOn w:val="Normal"/>
    <w:link w:val="FooterChar"/>
    <w:uiPriority w:val="99"/>
    <w:unhideWhenUsed/>
    <w:rsid w:val="005D733B"/>
    <w:pPr>
      <w:tabs>
        <w:tab w:val="center" w:pos="4513"/>
        <w:tab w:val="right" w:pos="9026"/>
      </w:tabs>
    </w:pPr>
  </w:style>
  <w:style w:type="character" w:customStyle="1" w:styleId="FooterChar">
    <w:name w:val="Footer Char"/>
    <w:basedOn w:val="DefaultParagraphFont"/>
    <w:link w:val="Footer"/>
    <w:uiPriority w:val="99"/>
    <w:rsid w:val="005D7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1440</Words>
  <Characters>8209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ahir</cp:lastModifiedBy>
  <cp:revision>4</cp:revision>
  <dcterms:created xsi:type="dcterms:W3CDTF">2026-07-03T07:23:00Z</dcterms:created>
  <dcterms:modified xsi:type="dcterms:W3CDTF">2026-07-09T03:37:00Z</dcterms:modified>
</cp:coreProperties>
</file>