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spacing w:after="120" w:line="280"/>
        <w:jc w:val="center"/>
      </w:pPr>
      <w:r>
        <w:rPr>
          <w:rFonts w:ascii="Times New Roman" w:cs="Times New Roman" w:eastAsia="Times New Roman" w:hAnsi="Times New Roman"/>
          <w:b/>
          <w:bCs/>
          <w:i w:val="false"/>
          <w:iCs w:val="false"/>
          <w:smallCaps w:val="false"/>
          <w:color w:val="1B2A4A"/>
          <w:sz w:val="28"/>
          <w:szCs w:val="28"/>
        </w:rPr>
        <w:t xml:space="preserve">Predicting Care Load and Placement Demand in the U.S. Unaccompanied Alien Children Program: A Time-Series and Machine Learning Study</w:t>
      </w:r>
    </w:p>
    <w:p>
      <w:pPr>
        <w:spacing w:after="40" w:before="0" w:line="240"/>
        <w:jc w:val="center"/>
      </w:pPr>
      <w:r>
        <w:rPr>
          <w:rFonts w:ascii="Times New Roman" w:cs="Times New Roman" w:eastAsia="Times New Roman" w:hAnsi="Times New Roman"/>
          <w:b w:val="false"/>
          <w:bCs w:val="false"/>
          <w:i/>
          <w:iCs/>
          <w:smallCaps w:val="false"/>
          <w:color w:val="000000"/>
          <w:sz w:val="22"/>
          <w:szCs w:val="22"/>
        </w:rPr>
        <w:t xml:space="preserve">Om Ahir</w:t>
      </w:r>
    </w:p>
    <w:p>
      <w:pPr>
        <w:spacing w:after="40" w:before="0" w:line="240"/>
        <w:jc w:val="center"/>
      </w:pPr>
      <w:r>
        <w:rPr>
          <w:rFonts w:ascii="Times New Roman" w:cs="Times New Roman" w:eastAsia="Times New Roman" w:hAnsi="Times New Roman"/>
          <w:b w:val="false"/>
          <w:bCs w:val="false"/>
          <w:i w:val="false"/>
          <w:iCs w:val="false"/>
          <w:smallCaps w:val="false"/>
          <w:color w:val="555555"/>
          <w:sz w:val="18"/>
          <w:szCs w:val="18"/>
        </w:rPr>
        <w:t xml:space="preserve">Department of Data Analytics, HHS Internship Program</w:t>
      </w:r>
    </w:p>
    <w:p>
      <w:pPr>
        <w:spacing w:after="240" w:before="0" w:line="240"/>
        <w:jc w:val="center"/>
      </w:pPr>
      <w:r>
        <w:rPr>
          <w:rFonts w:ascii="Times New Roman" w:cs="Times New Roman" w:eastAsia="Times New Roman" w:hAnsi="Times New Roman"/>
          <w:b w:val="false"/>
          <w:bCs w:val="false"/>
          <w:i w:val="false"/>
          <w:iCs w:val="false"/>
          <w:smallCaps w:val="false"/>
          <w:color w:val="555555"/>
          <w:sz w:val="18"/>
          <w:szCs w:val="18"/>
        </w:rPr>
        <w:t xml:space="preserve">2025</w:t>
      </w:r>
    </w:p>
    <w:p>
      <w:pPr>
        <w:pBdr>
          <w:bottom w:val="single" w:color="D1D5DB" w:sz="6" w:space="1"/>
        </w:pBdr>
        <w:spacing w:after="160"/>
      </w:pPr>
    </w:p>
    <w:p>
      <w:pPr>
        <w:spacing w:after="100" w:line="240"/>
        <w:jc w:val="both"/>
      </w:pPr>
      <w:r>
        <w:rPr>
          <w:rFonts w:ascii="Times New Roman" w:cs="Times New Roman" w:eastAsia="Times New Roman" w:hAnsi="Times New Roman"/>
          <w:b/>
          <w:bCs/>
          <w:i/>
          <w:iCs/>
          <w:smallCaps w:val="false"/>
          <w:color w:val="000000"/>
          <w:sz w:val="18"/>
          <w:szCs w:val="18"/>
        </w:rPr>
        <w:t xml:space="preserve">Abstract—</w:t>
      </w:r>
      <w:r>
        <w:rPr>
          <w:rFonts w:ascii="Times New Roman" w:cs="Times New Roman" w:eastAsia="Times New Roman" w:hAnsi="Times New Roman"/>
          <w:b w:val="false"/>
          <w:bCs w:val="false"/>
          <w:i w:val="false"/>
          <w:iCs w:val="false"/>
          <w:smallCaps w:val="false"/>
          <w:color w:val="000000"/>
          <w:sz w:val="18"/>
          <w:szCs w:val="18"/>
        </w:rPr>
        <w:t xml:space="preserve">The HHS Unaccompanied Alien Children (UAC) program manages shelter and placement services for children who arrive at the U.S. border without a parent or guardian. The number of children needing care changes constantly — it rises seasonally, spikes during policy shifts, and drops unpredictably. This paper tests seven forecasting models on the HHS UAC dataset to predict daily care load 7, 14, and 30 days ahead. The models range from Naïve Persistence and Moving Average as baselines to ARIMA, SARIMA, Exponential Smoothing, Random Forest, and Gradient Boosting. We split the dataset 80/20 for training and testing, used walk-forward validation to simulate real conditions, and evaluated each model using MAE, RMSE, MAPE, and five custom operational metrics. Random Forest produced the highest accuracy at 99.03% on a 7-day horizon, while Exponential Smoothing gave the longest surge warning — 9 days before a capacity threshold was crossed. Results show machine learning models outperform classical statistical methods at short horizons, while seasonal statistical models remain useful for planning 30 days or more ahead. A live Streamlit dashboard was built to deploy these models for program managers.</w:t>
      </w:r>
    </w:p>
    <w:p>
      <w:pPr>
        <w:spacing w:after="160" w:line="240"/>
      </w:pPr>
      <w:r>
        <w:rPr>
          <w:rFonts w:ascii="Times New Roman" w:cs="Times New Roman" w:eastAsia="Times New Roman" w:hAnsi="Times New Roman"/>
          <w:b/>
          <w:bCs/>
          <w:i/>
          <w:iCs/>
          <w:smallCaps w:val="false"/>
          <w:color w:val="000000"/>
          <w:sz w:val="18"/>
          <w:szCs w:val="18"/>
        </w:rPr>
        <w:t xml:space="preserve">Index Terms—</w:t>
      </w:r>
      <w:r>
        <w:rPr>
          <w:rFonts w:ascii="Times New Roman" w:cs="Times New Roman" w:eastAsia="Times New Roman" w:hAnsi="Times New Roman"/>
          <w:b w:val="false"/>
          <w:bCs w:val="false"/>
          <w:i/>
          <w:iCs/>
          <w:smallCaps w:val="false"/>
          <w:color w:val="000000"/>
          <w:sz w:val="18"/>
          <w:szCs w:val="18"/>
        </w:rPr>
        <w:t xml:space="preserve">time-series forecasting, UAC program, ARIMA, machine learning, HHS, Random Forest, Gradient Boosting, capacity planning, child welfare</w:t>
      </w:r>
    </w:p>
    <w:p>
      <w:pPr>
        <w:pBdr>
          <w:bottom w:val="single" w:color="D1D5DB" w:sz="6" w:space="1"/>
        </w:pBdr>
        <w:spacing w:after="0"/>
      </w:pPr>
    </w:p>
    <w:p>
      <w:pPr>
        <w:sectPr>
          <w:headerReference w:type="default" r:id="rId7"/>
          <w:footerReference w:type="default" r:id="rId8"/>
          <w:type w:val="continuous"/>
          <w:pgSz w:w="12240" w:h="15840" w:orient="portrait"/>
          <w:pgMar w:top="1080" w:right="900" w:bottom="1440" w:left="900" w:header="708" w:footer="708" w:gutter="0"/>
          <w:pgNumType/>
          <w:docGrid w:linePitch="360"/>
        </w:sectPr>
      </w:pPr>
    </w:p>
    <w:p>
      <w:pPr>
        <w:pBdr>
          <w:bottom w:val="single" w:color="D1D5DB" w:sz="4" w:space="2"/>
        </w:pBdr>
        <w:spacing w:after="120" w:before="200" w:line="240"/>
        <w:jc w:val="center"/>
      </w:pPr>
      <w:r>
        <w:rPr>
          <w:rFonts w:ascii="Times New Roman" w:cs="Times New Roman" w:eastAsia="Times New Roman" w:hAnsi="Times New Roman"/>
          <w:b/>
          <w:bCs/>
          <w:i w:val="false"/>
          <w:iCs w:val="false"/>
          <w:smallCaps/>
          <w:color w:val="1B2A4A"/>
          <w:sz w:val="20"/>
          <w:szCs w:val="20"/>
        </w:rPr>
        <w:t xml:space="preserve">I.  Introduction</w:t>
      </w:r>
    </w:p>
    <w:p>
      <w:pPr>
        <w:spacing w:after="8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The U.S. Office of Refugee Resettlement (ORR), a division of the Department of Health and Human Services (HHS), is legally required to provide care and placement for Unaccompanied Alien Children (UAC) — minors who arrive at the U.S. border without an adult guardian. As of 2024, the program operates hundreds of licensed shelters, transitional foster homes, and emergency intake sites across the country [1].</w:t>
      </w:r>
    </w:p>
    <w:p>
      <w:pPr>
        <w:spacing w:after="8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The daily count of children in program custody fluctuates with seasonal migration patterns, immigration enforcement policy, and geopolitical conditions in origin countries like Guatemala, Honduras, and El Salvador. Historically, shelter capacity decisions have been made reactively — responding to surges after they arrive rather than anticipating them. This results in overcrowding, slower placement timelines, and escalating program costs.</w:t>
      </w:r>
    </w:p>
    <w:p>
      <w:pPr>
        <w:spacing w:after="8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This study asks whether the program's own historical data can support reliable forward-looking predictions. We apply and compare seven forecasting models across three time horizons — 7 days, 14 days, and 30 days — and define a set of operationally relevant metrics to evaluate which model best serves different planning needs.</w:t>
      </w:r>
    </w:p>
    <w:p>
      <w:pPr>
        <w:spacing w:after="80" w:before="160" w:line="240"/>
      </w:pPr>
      <w:r>
        <w:rPr>
          <w:rFonts w:ascii="Times New Roman" w:cs="Times New Roman" w:eastAsia="Times New Roman" w:hAnsi="Times New Roman"/>
          <w:b/>
          <w:bCs/>
          <w:i/>
          <w:iCs/>
          <w:smallCaps w:val="false"/>
          <w:color w:val="000000"/>
          <w:sz w:val="20"/>
          <w:szCs w:val="20"/>
        </w:rPr>
        <w:t xml:space="preserve">A.  </w:t>
      </w:r>
      <w:r>
        <w:rPr>
          <w:rFonts w:ascii="Times New Roman" w:cs="Times New Roman" w:eastAsia="Times New Roman" w:hAnsi="Times New Roman"/>
          <w:b w:val="false"/>
          <w:bCs w:val="false"/>
          <w:i/>
          <w:iCs/>
          <w:smallCaps w:val="false"/>
          <w:color w:val="000000"/>
          <w:sz w:val="20"/>
          <w:szCs w:val="20"/>
        </w:rPr>
        <w:t xml:space="preserve">Motivation</w:t>
      </w:r>
    </w:p>
    <w:p>
      <w:pPr>
        <w:spacing w:after="8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The UAC program processes tens of thousands of children each year. During the 2021 surge, facilities reported occupancy exceeding 700% of licensed capacity in some locations [2]. A forecasting system that gives even 7 to 10 days of advance warning could allow program managers to pre-position beds, notify placement coordinators, and begin contract expansions before a crisis becomes unmanageable.</w:t>
      </w:r>
    </w:p>
    <w:p>
      <w:pPr>
        <w:spacing w:after="80" w:before="160" w:line="240"/>
      </w:pPr>
      <w:r>
        <w:rPr>
          <w:rFonts w:ascii="Times New Roman" w:cs="Times New Roman" w:eastAsia="Times New Roman" w:hAnsi="Times New Roman"/>
          <w:b/>
          <w:bCs/>
          <w:i/>
          <w:iCs/>
          <w:smallCaps w:val="false"/>
          <w:color w:val="000000"/>
          <w:sz w:val="20"/>
          <w:szCs w:val="20"/>
        </w:rPr>
        <w:t xml:space="preserve">B.  </w:t>
      </w:r>
      <w:r>
        <w:rPr>
          <w:rFonts w:ascii="Times New Roman" w:cs="Times New Roman" w:eastAsia="Times New Roman" w:hAnsi="Times New Roman"/>
          <w:b w:val="false"/>
          <w:bCs w:val="false"/>
          <w:i/>
          <w:iCs/>
          <w:smallCaps w:val="false"/>
          <w:color w:val="000000"/>
          <w:sz w:val="20"/>
          <w:szCs w:val="20"/>
        </w:rPr>
        <w:t xml:space="preserve">Contributions</w:t>
      </w:r>
    </w:p>
    <w:p>
      <w:pPr>
        <w:spacing w:after="6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This paper makes the following contributions:</w:t>
      </w:r>
    </w:p>
    <w:p>
      <w:pPr>
        <w:spacing w:after="60" w:line="240"/>
        <w:ind w:left="360"/>
        <w:jc w:val="both"/>
      </w:pPr>
      <w:r>
        <w:rPr>
          <w:rFonts w:ascii="Times New Roman" w:cs="Times New Roman" w:eastAsia="Times New Roman" w:hAnsi="Times New Roman"/>
          <w:b w:val="false"/>
          <w:bCs w:val="false"/>
          <w:i w:val="false"/>
          <w:iCs w:val="false"/>
          <w:smallCaps w:val="false"/>
          <w:color w:val="000000"/>
          <w:sz w:val="20"/>
          <w:szCs w:val="20"/>
        </w:rPr>
        <w:t xml:space="preserve">•  </w:t>
      </w:r>
      <w:r>
        <w:rPr>
          <w:rFonts w:ascii="Times New Roman" w:cs="Times New Roman" w:eastAsia="Times New Roman" w:hAnsi="Times New Roman"/>
          <w:b w:val="false"/>
          <w:bCs w:val="false"/>
          <w:i w:val="false"/>
          <w:iCs w:val="false"/>
          <w:smallCaps w:val="false"/>
          <w:color w:val="000000"/>
          <w:sz w:val="20"/>
          <w:szCs w:val="20"/>
        </w:rPr>
        <w:t xml:space="preserve">Evaluation of seven forecasting models on the HHS UAC dataset across multiple time horizons</w:t>
      </w:r>
    </w:p>
    <w:p>
      <w:pPr>
        <w:spacing w:after="60" w:line="240"/>
        <w:ind w:left="360"/>
        <w:jc w:val="both"/>
      </w:pPr>
      <w:r>
        <w:rPr>
          <w:rFonts w:ascii="Times New Roman" w:cs="Times New Roman" w:eastAsia="Times New Roman" w:hAnsi="Times New Roman"/>
          <w:b w:val="false"/>
          <w:bCs w:val="false"/>
          <w:i w:val="false"/>
          <w:iCs w:val="false"/>
          <w:smallCaps w:val="false"/>
          <w:color w:val="000000"/>
          <w:sz w:val="20"/>
          <w:szCs w:val="20"/>
        </w:rPr>
        <w:t xml:space="preserve">•  </w:t>
      </w:r>
      <w:r>
        <w:rPr>
          <w:rFonts w:ascii="Times New Roman" w:cs="Times New Roman" w:eastAsia="Times New Roman" w:hAnsi="Times New Roman"/>
          <w:b w:val="false"/>
          <w:bCs w:val="false"/>
          <w:i w:val="false"/>
          <w:iCs w:val="false"/>
          <w:smallCaps w:val="false"/>
          <w:color w:val="000000"/>
          <w:sz w:val="20"/>
          <w:szCs w:val="20"/>
        </w:rPr>
        <w:t xml:space="preserve">Definition of five operational KPIs that go beyond raw accuracy to capture surge warning, breach probability, and forecast stability</w:t>
      </w:r>
    </w:p>
    <w:p>
      <w:pPr>
        <w:spacing w:after="60" w:line="240"/>
        <w:ind w:left="360"/>
        <w:jc w:val="both"/>
      </w:pPr>
      <w:r>
        <w:rPr>
          <w:rFonts w:ascii="Times New Roman" w:cs="Times New Roman" w:eastAsia="Times New Roman" w:hAnsi="Times New Roman"/>
          <w:b w:val="false"/>
          <w:bCs w:val="false"/>
          <w:i w:val="false"/>
          <w:iCs w:val="false"/>
          <w:smallCaps w:val="false"/>
          <w:color w:val="000000"/>
          <w:sz w:val="20"/>
          <w:szCs w:val="20"/>
        </w:rPr>
        <w:t xml:space="preserve">•  </w:t>
      </w:r>
      <w:r>
        <w:rPr>
          <w:rFonts w:ascii="Times New Roman" w:cs="Times New Roman" w:eastAsia="Times New Roman" w:hAnsi="Times New Roman"/>
          <w:b w:val="false"/>
          <w:bCs w:val="false"/>
          <w:i w:val="false"/>
          <w:iCs w:val="false"/>
          <w:smallCaps w:val="false"/>
          <w:color w:val="000000"/>
          <w:sz w:val="20"/>
          <w:szCs w:val="20"/>
        </w:rPr>
        <w:t xml:space="preserve">A deployed Streamlit dashboard that runs all models and lets users compare predictions interactively</w:t>
      </w:r>
    </w:p>
    <w:p>
      <w:pPr>
        <w:spacing w:after="80"/>
      </w:pPr>
    </w:p>
    <w:p>
      <w:pPr>
        <w:pBdr>
          <w:bottom w:val="single" w:color="D1D5DB" w:sz="4" w:space="2"/>
        </w:pBdr>
        <w:spacing w:after="120" w:before="200" w:line="240"/>
        <w:jc w:val="center"/>
      </w:pPr>
      <w:r>
        <w:rPr>
          <w:rFonts w:ascii="Times New Roman" w:cs="Times New Roman" w:eastAsia="Times New Roman" w:hAnsi="Times New Roman"/>
          <w:b/>
          <w:bCs/>
          <w:i w:val="false"/>
          <w:iCs w:val="false"/>
          <w:smallCaps/>
          <w:color w:val="1B2A4A"/>
          <w:sz w:val="20"/>
          <w:szCs w:val="20"/>
        </w:rPr>
        <w:t xml:space="preserve">II.  Literature Survey</w:t>
      </w:r>
    </w:p>
    <w:p>
      <w:pPr>
        <w:spacing w:after="8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Forecasting demand in social services and government programs has been studied across several domains. We organize the relevant literature into four areas: classical time-series methods applied to public sector data, machine learning for humanitarian planning, UAC program data analysis, and capacity planning under uncertainty.</w:t>
      </w:r>
    </w:p>
    <w:p>
      <w:pPr>
        <w:spacing w:after="80" w:before="160" w:line="240"/>
      </w:pPr>
      <w:r>
        <w:rPr>
          <w:rFonts w:ascii="Times New Roman" w:cs="Times New Roman" w:eastAsia="Times New Roman" w:hAnsi="Times New Roman"/>
          <w:b/>
          <w:bCs/>
          <w:i/>
          <w:iCs/>
          <w:smallCaps w:val="false"/>
          <w:color w:val="000000"/>
          <w:sz w:val="20"/>
          <w:szCs w:val="20"/>
        </w:rPr>
        <w:t xml:space="preserve">A.  </w:t>
      </w:r>
      <w:r>
        <w:rPr>
          <w:rFonts w:ascii="Times New Roman" w:cs="Times New Roman" w:eastAsia="Times New Roman" w:hAnsi="Times New Roman"/>
          <w:b w:val="false"/>
          <w:bCs w:val="false"/>
          <w:i/>
          <w:iCs/>
          <w:smallCaps w:val="false"/>
          <w:color w:val="000000"/>
          <w:sz w:val="20"/>
          <w:szCs w:val="20"/>
        </w:rPr>
        <w:t xml:space="preserve">Classical Time-Series in Public Sector Applications</w:t>
      </w:r>
    </w:p>
    <w:p>
      <w:pPr>
        <w:spacing w:after="8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ARIMA and its seasonal variant SARIMA have been widely used for government workload and demand forecasting. Box and Jenkins [3] established the foundational methodology for identifying autoregressive and moving-average parameters. In public health, ARIMA models have been used to forecast emergency room visits [4], hospital bed demand [5], and disease incidence [6]. These studies consistently find that ARIMA performs well when the underlying series has clear autocorrelation structure and when forecast horizons are short (under 14 days).</w:t>
      </w:r>
    </w:p>
    <w:p>
      <w:pPr>
        <w:spacing w:after="8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Holt-Winters Exponential Smoothing — which we implement as Exp. Smoothing — extends simple exponential smoothing with trend and seasonal components. Taylor [7] showed that Holt-Winters often outperforms ARIMA for series with strong weekly seasonality, though it requires careful initialization. In immigration-adjacent contexts, Catala et al. [8] used seasonal smoothing models to forecast asylum application volumes in European countries, finding reasonable short-term accuracy but rapid degradation beyond 21 days.</w:t>
      </w:r>
    </w:p>
    <w:p>
      <w:pPr>
        <w:spacing w:after="80" w:before="160" w:line="240"/>
      </w:pPr>
      <w:r>
        <w:rPr>
          <w:rFonts w:ascii="Times New Roman" w:cs="Times New Roman" w:eastAsia="Times New Roman" w:hAnsi="Times New Roman"/>
          <w:b/>
          <w:bCs/>
          <w:i/>
          <w:iCs/>
          <w:smallCaps w:val="false"/>
          <w:color w:val="000000"/>
          <w:sz w:val="20"/>
          <w:szCs w:val="20"/>
        </w:rPr>
        <w:t xml:space="preserve">B.  </w:t>
      </w:r>
      <w:r>
        <w:rPr>
          <w:rFonts w:ascii="Times New Roman" w:cs="Times New Roman" w:eastAsia="Times New Roman" w:hAnsi="Times New Roman"/>
          <w:b w:val="false"/>
          <w:bCs w:val="false"/>
          <w:i/>
          <w:iCs/>
          <w:smallCaps w:val="false"/>
          <w:color w:val="000000"/>
          <w:sz w:val="20"/>
          <w:szCs w:val="20"/>
        </w:rPr>
        <w:t xml:space="preserve">Machine Learning for Demand Forecasting</w:t>
      </w:r>
    </w:p>
    <w:p>
      <w:pPr>
        <w:spacing w:after="8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Random Forest and Gradient Boosting have become standard approaches for tabular time-series forecasting, particularly when meaningful features can be engineered from the raw series. Breiman [9] introduced Random Forest as an ensemble method; subsequent work by Hastie et al. [10] extended the theoretical framework to boosted trees. For demand forecasting, Tyralis and Papacharalampous [11] compared ARIMA and Random Forest across 50 hydrological datasets and found Random Forest superior in most cases when lagged features were included.</w:t>
      </w:r>
    </w:p>
    <w:p>
      <w:pPr>
        <w:spacing w:after="8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In social services contexts, Cuccaro-Alamin et al. [12] applied machine learning to child welfare caseload prediction, finding that models using historical intake patterns, seasonal flags, and referral trends consistently outperformed simple trend-based projections. Their work is the closest published precedent to our study, though it addressed caseload volumes at a monthly level rather than daily care load counts.</w:t>
      </w:r>
    </w:p>
    <w:p>
      <w:pPr>
        <w:spacing w:after="80" w:before="160" w:line="240"/>
      </w:pPr>
      <w:r>
        <w:rPr>
          <w:rFonts w:ascii="Times New Roman" w:cs="Times New Roman" w:eastAsia="Times New Roman" w:hAnsi="Times New Roman"/>
          <w:b/>
          <w:bCs/>
          <w:i/>
          <w:iCs/>
          <w:smallCaps w:val="false"/>
          <w:color w:val="000000"/>
          <w:sz w:val="20"/>
          <w:szCs w:val="20"/>
        </w:rPr>
        <w:t xml:space="preserve">C.  </w:t>
      </w:r>
      <w:r>
        <w:rPr>
          <w:rFonts w:ascii="Times New Roman" w:cs="Times New Roman" w:eastAsia="Times New Roman" w:hAnsi="Times New Roman"/>
          <w:b w:val="false"/>
          <w:bCs w:val="false"/>
          <w:i/>
          <w:iCs/>
          <w:smallCaps w:val="false"/>
          <w:color w:val="000000"/>
          <w:sz w:val="20"/>
          <w:szCs w:val="20"/>
        </w:rPr>
        <w:t xml:space="preserve">UAC Program Data Studies</w:t>
      </w:r>
    </w:p>
    <w:p>
      <w:pPr>
        <w:spacing w:after="8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Quantitative analysis of the UAC program dataset is sparse in the peer-reviewed literature. Most published work focuses on policy analysis and qualitative outcomes [13][14] rather than predictive modeling. The HHS Office of Planning, Research, and Evaluation has published descriptive reports on care duration and placement outcomes [15], but these use historical aggregates rather than forward-looking models.</w:t>
      </w:r>
    </w:p>
    <w:p>
      <w:pPr>
        <w:spacing w:after="8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Massey et al. [16] analyzed seasonal patterns in UAC arrivals using annual data, confirming the spring and late-summer peaks that we observe in the daily dataset. Their work did not attempt forecasting but provides useful context for understanding why seasonal components matter in model selection.</w:t>
      </w:r>
    </w:p>
    <w:p>
      <w:pPr>
        <w:spacing w:after="80" w:before="160" w:line="240"/>
      </w:pPr>
      <w:r>
        <w:rPr>
          <w:rFonts w:ascii="Times New Roman" w:cs="Times New Roman" w:eastAsia="Times New Roman" w:hAnsi="Times New Roman"/>
          <w:b/>
          <w:bCs/>
          <w:i/>
          <w:iCs/>
          <w:smallCaps w:val="false"/>
          <w:color w:val="000000"/>
          <w:sz w:val="20"/>
          <w:szCs w:val="20"/>
        </w:rPr>
        <w:t xml:space="preserve">D.  </w:t>
      </w:r>
      <w:r>
        <w:rPr>
          <w:rFonts w:ascii="Times New Roman" w:cs="Times New Roman" w:eastAsia="Times New Roman" w:hAnsi="Times New Roman"/>
          <w:b w:val="false"/>
          <w:bCs w:val="false"/>
          <w:i/>
          <w:iCs/>
          <w:smallCaps w:val="false"/>
          <w:color w:val="000000"/>
          <w:sz w:val="20"/>
          <w:szCs w:val="20"/>
        </w:rPr>
        <w:t xml:space="preserve">Capacity Planning Under Uncertainty</w:t>
      </w:r>
    </w:p>
    <w:p>
      <w:pPr>
        <w:spacing w:after="8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The operations research literature on capacity planning under demand uncertainty is relevant to the UAC context. Little [17] established foundational queuing theory results that apply when intake and discharge rates vary. More recent work on humanitarian logistics — particularly refugee and displaced-person camp management — addresses how to plan physical capacity when demand is driven by unpredictable external events [18][19].</w:t>
      </w:r>
    </w:p>
    <w:p>
      <w:pPr>
        <w:spacing w:after="8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A consistent finding in this literature is that probabilistic forecasts (prediction intervals rather than point estimates) are more useful for capacity planning than single-number predictions, because they allow managers to plan for a range of scenarios rather than committing to a single expected value [20]. Our current study generates point forecasts; extending to probabilistic outputs is a noted limitation and direction for future work.</w:t>
      </w:r>
    </w:p>
    <w:p>
      <w:pPr>
        <w:spacing w:after="80" w:before="160" w:line="240"/>
      </w:pPr>
      <w:r>
        <w:rPr>
          <w:rFonts w:ascii="Times New Roman" w:cs="Times New Roman" w:eastAsia="Times New Roman" w:hAnsi="Times New Roman"/>
          <w:b/>
          <w:bCs/>
          <w:i/>
          <w:iCs/>
          <w:smallCaps w:val="false"/>
          <w:color w:val="000000"/>
          <w:sz w:val="20"/>
          <w:szCs w:val="20"/>
        </w:rPr>
        <w:t xml:space="preserve">E.  </w:t>
      </w:r>
      <w:r>
        <w:rPr>
          <w:rFonts w:ascii="Times New Roman" w:cs="Times New Roman" w:eastAsia="Times New Roman" w:hAnsi="Times New Roman"/>
          <w:b w:val="false"/>
          <w:bCs w:val="false"/>
          <w:i/>
          <w:iCs/>
          <w:smallCaps w:val="false"/>
          <w:color w:val="000000"/>
          <w:sz w:val="20"/>
          <w:szCs w:val="20"/>
        </w:rPr>
        <w:t xml:space="preserve">Gap This Study Addresses</w:t>
      </w:r>
    </w:p>
    <w:p>
      <w:pPr>
        <w:spacing w:after="8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No published study has applied systematic multi-model forecasting to the HHS UAC daily care load dataset. Prior work is either too aggregate (monthly or annual data), qualitative, or focused on a different population entirely. This paper fills that gap with a practical comparison of seven models, evaluated on operational criteria that matter to program managers — not just statistical accuracy.</w:t>
      </w:r>
    </w:p>
    <w:p>
      <w:pPr>
        <w:pBdr>
          <w:bottom w:val="single" w:color="D1D5DB" w:sz="4" w:space="2"/>
        </w:pBdr>
        <w:spacing w:after="120" w:before="200" w:line="240"/>
        <w:jc w:val="center"/>
      </w:pPr>
      <w:r>
        <w:rPr>
          <w:rFonts w:ascii="Times New Roman" w:cs="Times New Roman" w:eastAsia="Times New Roman" w:hAnsi="Times New Roman"/>
          <w:b/>
          <w:bCs/>
          <w:i w:val="false"/>
          <w:iCs w:val="false"/>
          <w:smallCaps/>
          <w:color w:val="1B2A4A"/>
          <w:sz w:val="20"/>
          <w:szCs w:val="20"/>
        </w:rPr>
        <w:t xml:space="preserve">III.  Methodology</w:t>
      </w:r>
    </w:p>
    <w:p>
      <w:pPr>
        <w:spacing w:after="8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This section describes the dataset, feature engineering steps, model specifications, validation approach, and evaluation metrics used in this study.</w:t>
      </w:r>
    </w:p>
    <w:p>
      <w:pPr>
        <w:spacing w:after="80" w:before="160" w:line="240"/>
      </w:pPr>
      <w:r>
        <w:rPr>
          <w:rFonts w:ascii="Times New Roman" w:cs="Times New Roman" w:eastAsia="Times New Roman" w:hAnsi="Times New Roman"/>
          <w:b/>
          <w:bCs/>
          <w:i/>
          <w:iCs/>
          <w:smallCaps w:val="false"/>
          <w:color w:val="000000"/>
          <w:sz w:val="20"/>
          <w:szCs w:val="20"/>
        </w:rPr>
        <w:t xml:space="preserve">A.  </w:t>
      </w:r>
      <w:r>
        <w:rPr>
          <w:rFonts w:ascii="Times New Roman" w:cs="Times New Roman" w:eastAsia="Times New Roman" w:hAnsi="Times New Roman"/>
          <w:b w:val="false"/>
          <w:bCs w:val="false"/>
          <w:i/>
          <w:iCs/>
          <w:smallCaps w:val="false"/>
          <w:color w:val="000000"/>
          <w:sz w:val="20"/>
          <w:szCs w:val="20"/>
        </w:rPr>
        <w:t xml:space="preserve">Dataset</w:t>
      </w:r>
    </w:p>
    <w:p>
      <w:pPr>
        <w:spacing w:after="8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The primary data source is the publicly available HHS Unaccompanied Alien Children program dataset, which records daily program metrics. The main variable we forecast is hhs_care — the number of children in HHS custody on a given day. Supporting variables include daily referrals (referred), daily discharges (discharged), net flow (referred minus discharged), and average length of stay. The dataset covers multiple years of program operations. After removing rows with missing values caused by look-back windows (see Section III-B), the final modeling dataset contained 1,491 observations.</w:t>
      </w:r>
    </w:p>
    <w:p>
      <w:pPr>
        <w:spacing w:after="80" w:before="160" w:line="240"/>
      </w:pPr>
      <w:r>
        <w:rPr>
          <w:rFonts w:ascii="Times New Roman" w:cs="Times New Roman" w:eastAsia="Times New Roman" w:hAnsi="Times New Roman"/>
          <w:b/>
          <w:bCs/>
          <w:i/>
          <w:iCs/>
          <w:smallCaps w:val="false"/>
          <w:color w:val="000000"/>
          <w:sz w:val="20"/>
          <w:szCs w:val="20"/>
        </w:rPr>
        <w:t xml:space="preserve">B.  </w:t>
      </w:r>
      <w:r>
        <w:rPr>
          <w:rFonts w:ascii="Times New Roman" w:cs="Times New Roman" w:eastAsia="Times New Roman" w:hAnsi="Times New Roman"/>
          <w:b w:val="false"/>
          <w:bCs w:val="false"/>
          <w:i/>
          <w:iCs/>
          <w:smallCaps w:val="false"/>
          <w:color w:val="000000"/>
          <w:sz w:val="20"/>
          <w:szCs w:val="20"/>
        </w:rPr>
        <w:t xml:space="preserve">Feature Engineering</w:t>
      </w:r>
    </w:p>
    <w:p>
      <w:pPr>
        <w:spacing w:after="8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The raw daily care load series does not contain enough structure on its own for machine learning models to learn from. We created the following additional features:</w:t>
      </w:r>
    </w:p>
    <w:p>
      <w:pPr>
        <w:spacing w:after="60" w:line="240"/>
        <w:ind w:left="360"/>
        <w:jc w:val="both"/>
      </w:pPr>
      <w:r>
        <w:rPr>
          <w:rFonts w:ascii="Times New Roman" w:cs="Times New Roman" w:eastAsia="Times New Roman" w:hAnsi="Times New Roman"/>
          <w:b w:val="false"/>
          <w:bCs w:val="false"/>
          <w:i w:val="false"/>
          <w:iCs w:val="false"/>
          <w:smallCaps w:val="false"/>
          <w:color w:val="000000"/>
          <w:sz w:val="20"/>
          <w:szCs w:val="20"/>
        </w:rPr>
        <w:t xml:space="preserve">•  </w:t>
      </w:r>
      <w:r>
        <w:rPr>
          <w:rFonts w:ascii="Times New Roman" w:cs="Times New Roman" w:eastAsia="Times New Roman" w:hAnsi="Times New Roman"/>
          <w:b w:val="false"/>
          <w:bCs w:val="false"/>
          <w:i w:val="false"/>
          <w:iCs w:val="false"/>
          <w:smallCaps w:val="false"/>
          <w:color w:val="000000"/>
          <w:sz w:val="20"/>
          <w:szCs w:val="20"/>
        </w:rPr>
        <w:t xml:space="preserve">Lag features: hhs_care values from 1, 7, and 14 days prior</w:t>
      </w:r>
    </w:p>
    <w:p>
      <w:pPr>
        <w:spacing w:after="60" w:line="240"/>
        <w:ind w:left="360"/>
        <w:jc w:val="both"/>
      </w:pPr>
      <w:r>
        <w:rPr>
          <w:rFonts w:ascii="Times New Roman" w:cs="Times New Roman" w:eastAsia="Times New Roman" w:hAnsi="Times New Roman"/>
          <w:b w:val="false"/>
          <w:bCs w:val="false"/>
          <w:i w:val="false"/>
          <w:iCs w:val="false"/>
          <w:smallCaps w:val="false"/>
          <w:color w:val="000000"/>
          <w:sz w:val="20"/>
          <w:szCs w:val="20"/>
        </w:rPr>
        <w:t xml:space="preserve">•  </w:t>
      </w:r>
      <w:r>
        <w:rPr>
          <w:rFonts w:ascii="Times New Roman" w:cs="Times New Roman" w:eastAsia="Times New Roman" w:hAnsi="Times New Roman"/>
          <w:b w:val="false"/>
          <w:bCs w:val="false"/>
          <w:i w:val="false"/>
          <w:iCs w:val="false"/>
          <w:smallCaps w:val="false"/>
          <w:color w:val="000000"/>
          <w:sz w:val="20"/>
          <w:szCs w:val="20"/>
        </w:rPr>
        <w:t xml:space="preserve">Rolling mean: 7-day and 30-day rolling average of hhs_care</w:t>
      </w:r>
    </w:p>
    <w:p>
      <w:pPr>
        <w:spacing w:after="60" w:line="240"/>
        <w:ind w:left="360"/>
        <w:jc w:val="both"/>
      </w:pPr>
      <w:r>
        <w:rPr>
          <w:rFonts w:ascii="Times New Roman" w:cs="Times New Roman" w:eastAsia="Times New Roman" w:hAnsi="Times New Roman"/>
          <w:b w:val="false"/>
          <w:bCs w:val="false"/>
          <w:i w:val="false"/>
          <w:iCs w:val="false"/>
          <w:smallCaps w:val="false"/>
          <w:color w:val="000000"/>
          <w:sz w:val="20"/>
          <w:szCs w:val="20"/>
        </w:rPr>
        <w:t xml:space="preserve">•  </w:t>
      </w:r>
      <w:r>
        <w:rPr>
          <w:rFonts w:ascii="Times New Roman" w:cs="Times New Roman" w:eastAsia="Times New Roman" w:hAnsi="Times New Roman"/>
          <w:b w:val="false"/>
          <w:bCs w:val="false"/>
          <w:i w:val="false"/>
          <w:iCs w:val="false"/>
          <w:smallCaps w:val="false"/>
          <w:color w:val="000000"/>
          <w:sz w:val="20"/>
          <w:szCs w:val="20"/>
        </w:rPr>
        <w:t xml:space="preserve">Rolling standard deviation: 7-day and 30-day rolling std of hhs_care</w:t>
      </w:r>
    </w:p>
    <w:p>
      <w:pPr>
        <w:spacing w:after="60" w:line="240"/>
        <w:ind w:left="360"/>
        <w:jc w:val="both"/>
      </w:pPr>
      <w:r>
        <w:rPr>
          <w:rFonts w:ascii="Times New Roman" w:cs="Times New Roman" w:eastAsia="Times New Roman" w:hAnsi="Times New Roman"/>
          <w:b w:val="false"/>
          <w:bCs w:val="false"/>
          <w:i w:val="false"/>
          <w:iCs w:val="false"/>
          <w:smallCaps w:val="false"/>
          <w:color w:val="000000"/>
          <w:sz w:val="20"/>
          <w:szCs w:val="20"/>
        </w:rPr>
        <w:t xml:space="preserve">•  </w:t>
      </w:r>
      <w:r>
        <w:rPr>
          <w:rFonts w:ascii="Times New Roman" w:cs="Times New Roman" w:eastAsia="Times New Roman" w:hAnsi="Times New Roman"/>
          <w:b w:val="false"/>
          <w:bCs w:val="false"/>
          <w:i w:val="false"/>
          <w:iCs w:val="false"/>
          <w:smallCaps w:val="false"/>
          <w:color w:val="000000"/>
          <w:sz w:val="20"/>
          <w:szCs w:val="20"/>
        </w:rPr>
        <w:t xml:space="preserve">Calendar indicators: day of week (0–6), month (1–12), quarter (1–4), binary weekend flag</w:t>
      </w:r>
    </w:p>
    <w:p>
      <w:pPr>
        <w:spacing w:after="60" w:line="240"/>
        <w:ind w:left="360"/>
        <w:jc w:val="both"/>
      </w:pPr>
      <w:r>
        <w:rPr>
          <w:rFonts w:ascii="Times New Roman" w:cs="Times New Roman" w:eastAsia="Times New Roman" w:hAnsi="Times New Roman"/>
          <w:b w:val="false"/>
          <w:bCs w:val="false"/>
          <w:i w:val="false"/>
          <w:iCs w:val="false"/>
          <w:smallCaps w:val="false"/>
          <w:color w:val="000000"/>
          <w:sz w:val="20"/>
          <w:szCs w:val="20"/>
        </w:rPr>
        <w:t xml:space="preserve">•  </w:t>
      </w:r>
      <w:r>
        <w:rPr>
          <w:rFonts w:ascii="Times New Roman" w:cs="Times New Roman" w:eastAsia="Times New Roman" w:hAnsi="Times New Roman"/>
          <w:b w:val="false"/>
          <w:bCs w:val="false"/>
          <w:i w:val="false"/>
          <w:iCs w:val="false"/>
          <w:smallCaps w:val="false"/>
          <w:color w:val="000000"/>
          <w:sz w:val="20"/>
          <w:szCs w:val="20"/>
        </w:rPr>
        <w:t xml:space="preserve">Rate of change: day-over-day percentage change in hhs_care</w:t>
      </w:r>
    </w:p>
    <w:p>
      <w:pPr>
        <w:spacing w:after="60" w:line="240"/>
        <w:ind w:left="360"/>
        <w:jc w:val="both"/>
      </w:pPr>
      <w:r>
        <w:rPr>
          <w:rFonts w:ascii="Times New Roman" w:cs="Times New Roman" w:eastAsia="Times New Roman" w:hAnsi="Times New Roman"/>
          <w:b w:val="false"/>
          <w:bCs w:val="false"/>
          <w:i w:val="false"/>
          <w:iCs w:val="false"/>
          <w:smallCaps w:val="false"/>
          <w:color w:val="000000"/>
          <w:sz w:val="20"/>
          <w:szCs w:val="20"/>
        </w:rPr>
        <w:t xml:space="preserve">•  </w:t>
      </w:r>
      <w:r>
        <w:rPr>
          <w:rFonts w:ascii="Times New Roman" w:cs="Times New Roman" w:eastAsia="Times New Roman" w:hAnsi="Times New Roman"/>
          <w:b w:val="false"/>
          <w:bCs w:val="false"/>
          <w:i w:val="false"/>
          <w:iCs w:val="false"/>
          <w:smallCaps w:val="false"/>
          <w:color w:val="000000"/>
          <w:sz w:val="20"/>
          <w:szCs w:val="20"/>
        </w:rPr>
        <w:t xml:space="preserve">STL decomposition components: trend, seasonal, and residual extracted from the series</w:t>
      </w:r>
    </w:p>
    <w:p>
      <w:pPr>
        <w:spacing w:after="80" w:line="240"/>
        <w:jc w:val="both"/>
      </w:pPr>
      <w:r>
        <w:rPr>
          <w:rFonts w:ascii="Times New Roman" w:cs="Times New Roman" w:eastAsia="Times New Roman" w:hAnsi="Times New Roman"/>
          <w:b w:val="false"/>
          <w:bCs w:val="false"/>
          <w:i w:val="false"/>
          <w:iCs w:val="false"/>
          <w:smallCaps w:val="false"/>
          <w:color w:val="000000"/>
          <w:sz w:val="20"/>
          <w:szCs w:val="20"/>
        </w:rPr>
        <w:t xml:space="preserve">Creating these features introduced NaN values in the first 30 rows (the look-back window). These rows were dropped before splitting the dataset, leaving a clean feature matrix for training and testing.</w:t>
      </w:r>
    </w:p>
    <w:p>
      <w:pPr>
        <w:spacing w:after="80" w:before="160" w:line="240"/>
      </w:pPr>
      <w:r>
        <w:rPr>
          <w:rFonts w:ascii="Times New Roman" w:cs="Times New Roman" w:eastAsia="Times New Roman" w:hAnsi="Times New Roman"/>
          <w:b/>
          <w:bCs/>
          <w:i/>
          <w:iCs/>
          <w:smallCaps w:val="false"/>
          <w:color w:val="000000"/>
          <w:sz w:val="20"/>
          <w:szCs w:val="20"/>
        </w:rPr>
        <w:t xml:space="preserve">C.  </w:t>
      </w:r>
      <w:r>
        <w:rPr>
          <w:rFonts w:ascii="Times New Roman" w:cs="Times New Roman" w:eastAsia="Times New Roman" w:hAnsi="Times New Roman"/>
          <w:b w:val="false"/>
          <w:bCs w:val="false"/>
          <w:i/>
          <w:iCs/>
          <w:smallCaps w:val="false"/>
          <w:color w:val="000000"/>
          <w:sz w:val="20"/>
          <w:szCs w:val="20"/>
        </w:rPr>
        <w:t xml:space="preserve">Train-Test Split and Validation</w:t>
      </w:r>
    </w:p>
    <w:p>
      <w:pPr>
        <w:spacing w:after="8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We split the dataset chronologically: the first 80% of observations were used for training and the final 20% for testing. Chronological splitting is essential for time-series data — random splits would leak future information into the training set, producing unrealistically optimistic accuracy estimates.</w:t>
      </w:r>
    </w:p>
    <w:p>
      <w:pPr>
        <w:spacing w:after="8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Within the test set, we used walk-forward validation. Rather than fitting one model and evaluating it on the entire test period, we evaluated each model in sequential windows of 7, 14, and 30 days, moving forward one step at a time. This matches how forecasting would work in practice: each day, the model sees all data up to that point and produces a forecast for the next N days.</w:t>
      </w:r>
    </w:p>
    <w:p>
      <w:pPr>
        <w:spacing w:after="80" w:before="160" w:line="240"/>
      </w:pPr>
      <w:r>
        <w:rPr>
          <w:rFonts w:ascii="Times New Roman" w:cs="Times New Roman" w:eastAsia="Times New Roman" w:hAnsi="Times New Roman"/>
          <w:b/>
          <w:bCs/>
          <w:i/>
          <w:iCs/>
          <w:smallCaps w:val="false"/>
          <w:color w:val="000000"/>
          <w:sz w:val="20"/>
          <w:szCs w:val="20"/>
        </w:rPr>
        <w:t xml:space="preserve">D.  </w:t>
      </w:r>
      <w:r>
        <w:rPr>
          <w:rFonts w:ascii="Times New Roman" w:cs="Times New Roman" w:eastAsia="Times New Roman" w:hAnsi="Times New Roman"/>
          <w:b w:val="false"/>
          <w:bCs w:val="false"/>
          <w:i/>
          <w:iCs/>
          <w:smallCaps w:val="false"/>
          <w:color w:val="000000"/>
          <w:sz w:val="20"/>
          <w:szCs w:val="20"/>
        </w:rPr>
        <w:t xml:space="preserve">Models</w:t>
      </w:r>
    </w:p>
    <w:p>
      <w:pPr>
        <w:spacing w:after="8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We tested seven models covering a range of complexity and approaches:</w:t>
      </w:r>
    </w:p>
    <w:p>
      <w:pPr>
        <w:spacing w:after="60" w:line="240"/>
        <w:jc w:val="both"/>
      </w:pPr>
      <w:r>
        <w:rPr>
          <w:rFonts w:ascii="Times New Roman" w:cs="Times New Roman" w:eastAsia="Times New Roman" w:hAnsi="Times New Roman"/>
          <w:b/>
          <w:bCs/>
          <w:i w:val="false"/>
          <w:iCs w:val="false"/>
          <w:smallCaps w:val="false"/>
          <w:color w:val="000000"/>
          <w:sz w:val="20"/>
          <w:szCs w:val="20"/>
        </w:rPr>
        <w:t xml:space="preserve">Naïve Persistence: </w:t>
      </w:r>
      <w:r>
        <w:rPr>
          <w:rFonts w:ascii="Times New Roman" w:cs="Times New Roman" w:eastAsia="Times New Roman" w:hAnsi="Times New Roman"/>
          <w:b w:val="false"/>
          <w:bCs w:val="false"/>
          <w:i w:val="false"/>
          <w:iCs w:val="false"/>
          <w:smallCaps w:val="false"/>
          <w:color w:val="000000"/>
          <w:sz w:val="20"/>
          <w:szCs w:val="20"/>
        </w:rPr>
        <w:t xml:space="preserve">ŷ(t+1) = y(t). The simplest possible forecast — tomorrow equals today. Used as a baseline to ensure all other models add genuine predictive value.</w:t>
      </w:r>
    </w:p>
    <w:p>
      <w:pPr>
        <w:spacing w:after="60" w:line="240"/>
        <w:jc w:val="both"/>
      </w:pPr>
      <w:r>
        <w:rPr>
          <w:rFonts w:ascii="Times New Roman" w:cs="Times New Roman" w:eastAsia="Times New Roman" w:hAnsi="Times New Roman"/>
          <w:b/>
          <w:bCs/>
          <w:i w:val="false"/>
          <w:iCs w:val="false"/>
          <w:smallCaps w:val="false"/>
          <w:color w:val="000000"/>
          <w:sz w:val="20"/>
          <w:szCs w:val="20"/>
        </w:rPr>
        <w:t xml:space="preserve">Moving Average: </w:t>
      </w:r>
      <w:r>
        <w:rPr>
          <w:rFonts w:ascii="Times New Roman" w:cs="Times New Roman" w:eastAsia="Times New Roman" w:hAnsi="Times New Roman"/>
          <w:b w:val="false"/>
          <w:bCs w:val="false"/>
          <w:i w:val="false"/>
          <w:iCs w:val="false"/>
          <w:smallCaps w:val="false"/>
          <w:color w:val="000000"/>
          <w:sz w:val="20"/>
          <w:szCs w:val="20"/>
        </w:rPr>
        <w:t xml:space="preserve">7-day simple moving average of historical care load. Smooths short-term noise at the cost of lagging behind sudden changes.</w:t>
      </w:r>
    </w:p>
    <w:p>
      <w:pPr>
        <w:spacing w:after="60" w:line="240"/>
        <w:jc w:val="both"/>
      </w:pPr>
      <w:r>
        <w:rPr>
          <w:rFonts w:ascii="Times New Roman" w:cs="Times New Roman" w:eastAsia="Times New Roman" w:hAnsi="Times New Roman"/>
          <w:b/>
          <w:bCs/>
          <w:i w:val="false"/>
          <w:iCs w:val="false"/>
          <w:smallCaps w:val="false"/>
          <w:color w:val="000000"/>
          <w:sz w:val="20"/>
          <w:szCs w:val="20"/>
        </w:rPr>
        <w:t xml:space="preserve">ARIMA(p,d,q): </w:t>
      </w:r>
      <w:r>
        <w:rPr>
          <w:rFonts w:ascii="Times New Roman" w:cs="Times New Roman" w:eastAsia="Times New Roman" w:hAnsi="Times New Roman"/>
          <w:b w:val="false"/>
          <w:bCs w:val="false"/>
          <w:i w:val="false"/>
          <w:iCs w:val="false"/>
          <w:smallCaps w:val="false"/>
          <w:color w:val="000000"/>
          <w:sz w:val="20"/>
          <w:szCs w:val="20"/>
        </w:rPr>
        <w:t xml:space="preserve">Parameters selected via auto-ARIMA using AIC criterion. Models the series using its own past values and past forecast errors.</w:t>
      </w:r>
    </w:p>
    <w:p>
      <w:pPr>
        <w:spacing w:after="60" w:line="240"/>
        <w:jc w:val="both"/>
      </w:pPr>
      <w:r>
        <w:rPr>
          <w:rFonts w:ascii="Times New Roman" w:cs="Times New Roman" w:eastAsia="Times New Roman" w:hAnsi="Times New Roman"/>
          <w:b/>
          <w:bCs/>
          <w:i w:val="false"/>
          <w:iCs w:val="false"/>
          <w:smallCaps w:val="false"/>
          <w:color w:val="000000"/>
          <w:sz w:val="20"/>
          <w:szCs w:val="20"/>
        </w:rPr>
        <w:t xml:space="preserve">SARIMA(p,d,q)(P,D,Q)s: </w:t>
      </w:r>
      <w:r>
        <w:rPr>
          <w:rFonts w:ascii="Times New Roman" w:cs="Times New Roman" w:eastAsia="Times New Roman" w:hAnsi="Times New Roman"/>
          <w:b w:val="false"/>
          <w:bCs w:val="false"/>
          <w:i w:val="false"/>
          <w:iCs w:val="false"/>
          <w:smallCaps w:val="false"/>
          <w:color w:val="000000"/>
          <w:sz w:val="20"/>
          <w:szCs w:val="20"/>
        </w:rPr>
        <w:t xml:space="preserve">Extends ARIMA with seasonal autoregressive and moving-average terms, with seasonality period s=7 (weekly) and s=365 (annual) tested.</w:t>
      </w:r>
    </w:p>
    <w:p>
      <w:pPr>
        <w:spacing w:after="60" w:line="240"/>
        <w:jc w:val="both"/>
      </w:pPr>
      <w:r>
        <w:rPr>
          <w:rFonts w:ascii="Times New Roman" w:cs="Times New Roman" w:eastAsia="Times New Roman" w:hAnsi="Times New Roman"/>
          <w:b/>
          <w:bCs/>
          <w:i w:val="false"/>
          <w:iCs w:val="false"/>
          <w:smallCaps w:val="false"/>
          <w:color w:val="000000"/>
          <w:sz w:val="20"/>
          <w:szCs w:val="20"/>
        </w:rPr>
        <w:t xml:space="preserve">Exponential Smoothing (Holt-Winters): </w:t>
      </w:r>
      <w:r>
        <w:rPr>
          <w:rFonts w:ascii="Times New Roman" w:cs="Times New Roman" w:eastAsia="Times New Roman" w:hAnsi="Times New Roman"/>
          <w:b w:val="false"/>
          <w:bCs w:val="false"/>
          <w:i w:val="false"/>
          <w:iCs w:val="false"/>
          <w:smallCaps w:val="false"/>
          <w:color w:val="000000"/>
          <w:sz w:val="20"/>
          <w:szCs w:val="20"/>
        </w:rPr>
        <w:t xml:space="preserve">Triple exponential smoothing with additive trend and multiplicative seasonal components. Parameters optimized by minimizing sum of squared errors.</w:t>
      </w:r>
    </w:p>
    <w:p>
      <w:pPr>
        <w:spacing w:after="60" w:line="240"/>
        <w:jc w:val="both"/>
      </w:pPr>
      <w:r>
        <w:rPr>
          <w:rFonts w:ascii="Times New Roman" w:cs="Times New Roman" w:eastAsia="Times New Roman" w:hAnsi="Times New Roman"/>
          <w:b/>
          <w:bCs/>
          <w:i w:val="false"/>
          <w:iCs w:val="false"/>
          <w:smallCaps w:val="false"/>
          <w:color w:val="000000"/>
          <w:sz w:val="20"/>
          <w:szCs w:val="20"/>
        </w:rPr>
        <w:t xml:space="preserve">Random Forest: </w:t>
      </w:r>
      <w:r>
        <w:rPr>
          <w:rFonts w:ascii="Times New Roman" w:cs="Times New Roman" w:eastAsia="Times New Roman" w:hAnsi="Times New Roman"/>
          <w:b w:val="false"/>
          <w:bCs w:val="false"/>
          <w:i w:val="false"/>
          <w:iCs w:val="false"/>
          <w:smallCaps w:val="false"/>
          <w:color w:val="000000"/>
          <w:sz w:val="20"/>
          <w:szCs w:val="20"/>
        </w:rPr>
        <w:t xml:space="preserve">Ensemble of 200 decision trees, each trained on a random subset of features and observations. Predictions are the mean across all trees. Hyperparameters tuned via 5-fold cross-validation on the training set.</w:t>
      </w:r>
    </w:p>
    <w:p>
      <w:pPr>
        <w:spacing w:after="80" w:line="240"/>
        <w:jc w:val="both"/>
      </w:pPr>
      <w:r>
        <w:rPr>
          <w:rFonts w:ascii="Times New Roman" w:cs="Times New Roman" w:eastAsia="Times New Roman" w:hAnsi="Times New Roman"/>
          <w:b/>
          <w:bCs/>
          <w:i w:val="false"/>
          <w:iCs w:val="false"/>
          <w:smallCaps w:val="false"/>
          <w:color w:val="000000"/>
          <w:sz w:val="20"/>
          <w:szCs w:val="20"/>
        </w:rPr>
        <w:t xml:space="preserve">Gradient Boosting: </w:t>
      </w:r>
      <w:r>
        <w:rPr>
          <w:rFonts w:ascii="Times New Roman" w:cs="Times New Roman" w:eastAsia="Times New Roman" w:hAnsi="Times New Roman"/>
          <w:b w:val="false"/>
          <w:bCs w:val="false"/>
          <w:i w:val="false"/>
          <w:iCs w:val="false"/>
          <w:smallCaps w:val="false"/>
          <w:color w:val="000000"/>
          <w:sz w:val="20"/>
          <w:szCs w:val="20"/>
        </w:rPr>
        <w:t xml:space="preserve">Sequential ensemble where each tree corrects the residual errors of the previous. Implemented via scikit-learn's GradientBoostingRegressor with learning rate 0.1, 100 estimators, and max depth 4.</w:t>
      </w:r>
    </w:p>
    <w:p>
      <w:pPr>
        <w:spacing w:after="80" w:before="160" w:line="240"/>
      </w:pPr>
      <w:r>
        <w:rPr>
          <w:rFonts w:ascii="Times New Roman" w:cs="Times New Roman" w:eastAsia="Times New Roman" w:hAnsi="Times New Roman"/>
          <w:b/>
          <w:bCs/>
          <w:i/>
          <w:iCs/>
          <w:smallCaps w:val="false"/>
          <w:color w:val="000000"/>
          <w:sz w:val="20"/>
          <w:szCs w:val="20"/>
        </w:rPr>
        <w:t xml:space="preserve">E.  </w:t>
      </w:r>
      <w:r>
        <w:rPr>
          <w:rFonts w:ascii="Times New Roman" w:cs="Times New Roman" w:eastAsia="Times New Roman" w:hAnsi="Times New Roman"/>
          <w:b w:val="false"/>
          <w:bCs w:val="false"/>
          <w:i/>
          <w:iCs/>
          <w:smallCaps w:val="false"/>
          <w:color w:val="000000"/>
          <w:sz w:val="20"/>
          <w:szCs w:val="20"/>
        </w:rPr>
        <w:t xml:space="preserve">Evaluation Metrics</w:t>
      </w:r>
    </w:p>
    <w:p>
      <w:pPr>
        <w:spacing w:after="8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We used three standard accuracy metrics and five operational KPIs. The accuracy metrics are:</w:t>
      </w:r>
    </w:p>
    <w:p>
      <w:pPr>
        <w:spacing w:after="60" w:line="240"/>
        <w:jc w:val="both"/>
      </w:pPr>
      <w:r>
        <w:rPr>
          <w:rFonts w:ascii="Times New Roman" w:cs="Times New Roman" w:eastAsia="Times New Roman" w:hAnsi="Times New Roman"/>
          <w:b w:val="false"/>
          <w:bCs w:val="false"/>
          <w:i w:val="false"/>
          <w:iCs w:val="false"/>
          <w:smallCaps w:val="false"/>
          <w:color w:val="000000"/>
          <w:sz w:val="20"/>
          <w:szCs w:val="20"/>
        </w:rPr>
        <w:t xml:space="preserve">MAE = (1/n) Σ|y</w:t>
      </w:r>
      <w:r>
        <w:rPr>
          <w:rFonts w:ascii="Times New Roman" w:cs="Times New Roman" w:eastAsia="Times New Roman" w:hAnsi="Times New Roman"/>
          <w:b w:val="false"/>
          <w:bCs w:val="false"/>
          <w:i w:val="false"/>
          <w:iCs w:val="false"/>
          <w:smallCaps w:val="false"/>
          <w:color w:val="000000"/>
          <w:sz w:val="16"/>
          <w:szCs w:val="16"/>
        </w:rPr>
        <w:t xml:space="preserve">t</w:t>
      </w:r>
      <w:r>
        <w:rPr>
          <w:rFonts w:ascii="Times New Roman" w:cs="Times New Roman" w:eastAsia="Times New Roman" w:hAnsi="Times New Roman"/>
          <w:b w:val="false"/>
          <w:bCs w:val="false"/>
          <w:i w:val="false"/>
          <w:iCs w:val="false"/>
          <w:smallCaps w:val="false"/>
          <w:color w:val="000000"/>
          <w:sz w:val="20"/>
          <w:szCs w:val="20"/>
        </w:rPr>
        <w:t xml:space="preserve"> − ŷ</w:t>
      </w:r>
      <w:r>
        <w:rPr>
          <w:rFonts w:ascii="Times New Roman" w:cs="Times New Roman" w:eastAsia="Times New Roman" w:hAnsi="Times New Roman"/>
          <w:b w:val="false"/>
          <w:bCs w:val="false"/>
          <w:i w:val="false"/>
          <w:iCs w:val="false"/>
          <w:smallCaps w:val="false"/>
          <w:color w:val="000000"/>
          <w:sz w:val="16"/>
          <w:szCs w:val="16"/>
        </w:rPr>
        <w:t xml:space="preserve">t</w:t>
      </w:r>
      <w:r>
        <w:rPr>
          <w:rFonts w:ascii="Times New Roman" w:cs="Times New Roman" w:eastAsia="Times New Roman" w:hAnsi="Times New Roman"/>
          <w:b w:val="false"/>
          <w:bCs w:val="false"/>
          <w:i w:val="false"/>
          <w:iCs w:val="false"/>
          <w:smallCaps w:val="false"/>
          <w:color w:val="000000"/>
          <w:sz w:val="20"/>
          <w:szCs w:val="20"/>
        </w:rPr>
        <w:t xml:space="preserve">|</w:t>
      </w:r>
    </w:p>
    <w:p>
      <w:pPr>
        <w:spacing w:after="60" w:line="240"/>
        <w:jc w:val="both"/>
      </w:pPr>
      <w:r>
        <w:rPr>
          <w:rFonts w:ascii="Times New Roman" w:cs="Times New Roman" w:eastAsia="Times New Roman" w:hAnsi="Times New Roman"/>
          <w:b w:val="false"/>
          <w:bCs w:val="false"/>
          <w:i w:val="false"/>
          <w:iCs w:val="false"/>
          <w:smallCaps w:val="false"/>
          <w:color w:val="000000"/>
          <w:sz w:val="20"/>
          <w:szCs w:val="20"/>
        </w:rPr>
        <w:t xml:space="preserve">RMSE = √[(1/n) Σ(y</w:t>
      </w:r>
      <w:r>
        <w:rPr>
          <w:rFonts w:ascii="Times New Roman" w:cs="Times New Roman" w:eastAsia="Times New Roman" w:hAnsi="Times New Roman"/>
          <w:b w:val="false"/>
          <w:bCs w:val="false"/>
          <w:i w:val="false"/>
          <w:iCs w:val="false"/>
          <w:smallCaps w:val="false"/>
          <w:color w:val="000000"/>
          <w:sz w:val="16"/>
          <w:szCs w:val="16"/>
        </w:rPr>
        <w:t xml:space="preserve">t</w:t>
      </w:r>
      <w:r>
        <w:rPr>
          <w:rFonts w:ascii="Times New Roman" w:cs="Times New Roman" w:eastAsia="Times New Roman" w:hAnsi="Times New Roman"/>
          <w:b w:val="false"/>
          <w:bCs w:val="false"/>
          <w:i w:val="false"/>
          <w:iCs w:val="false"/>
          <w:smallCaps w:val="false"/>
          <w:color w:val="000000"/>
          <w:sz w:val="20"/>
          <w:szCs w:val="20"/>
        </w:rPr>
        <w:t xml:space="preserve"> − ŷ</w:t>
      </w:r>
      <w:r>
        <w:rPr>
          <w:rFonts w:ascii="Times New Roman" w:cs="Times New Roman" w:eastAsia="Times New Roman" w:hAnsi="Times New Roman"/>
          <w:b w:val="false"/>
          <w:bCs w:val="false"/>
          <w:i w:val="false"/>
          <w:iCs w:val="false"/>
          <w:smallCaps w:val="false"/>
          <w:color w:val="000000"/>
          <w:sz w:val="16"/>
          <w:szCs w:val="16"/>
        </w:rPr>
        <w:t xml:space="preserve">t</w:t>
      </w:r>
      <w:r>
        <w:rPr>
          <w:rFonts w:ascii="Times New Roman" w:cs="Times New Roman" w:eastAsia="Times New Roman" w:hAnsi="Times New Roman"/>
          <w:b w:val="false"/>
          <w:bCs w:val="false"/>
          <w:i w:val="false"/>
          <w:iCs w:val="false"/>
          <w:smallCaps w:val="false"/>
          <w:color w:val="000000"/>
          <w:sz w:val="20"/>
          <w:szCs w:val="20"/>
        </w:rPr>
        <w:t xml:space="preserve">)²]</w:t>
      </w:r>
    </w:p>
    <w:p>
      <w:pPr>
        <w:spacing w:after="100" w:line="240"/>
        <w:jc w:val="both"/>
      </w:pPr>
      <w:r>
        <w:rPr>
          <w:rFonts w:ascii="Times New Roman" w:cs="Times New Roman" w:eastAsia="Times New Roman" w:hAnsi="Times New Roman"/>
          <w:b w:val="false"/>
          <w:bCs w:val="false"/>
          <w:i w:val="false"/>
          <w:iCs w:val="false"/>
          <w:smallCaps w:val="false"/>
          <w:color w:val="000000"/>
          <w:sz w:val="20"/>
          <w:szCs w:val="20"/>
        </w:rPr>
        <w:t xml:space="preserve">MAPE = (100/n) Σ|y</w:t>
      </w:r>
      <w:r>
        <w:rPr>
          <w:rFonts w:ascii="Times New Roman" w:cs="Times New Roman" w:eastAsia="Times New Roman" w:hAnsi="Times New Roman"/>
          <w:b w:val="false"/>
          <w:bCs w:val="false"/>
          <w:i w:val="false"/>
          <w:iCs w:val="false"/>
          <w:smallCaps w:val="false"/>
          <w:color w:val="000000"/>
          <w:sz w:val="16"/>
          <w:szCs w:val="16"/>
        </w:rPr>
        <w:t xml:space="preserve">t</w:t>
      </w:r>
      <w:r>
        <w:rPr>
          <w:rFonts w:ascii="Times New Roman" w:cs="Times New Roman" w:eastAsia="Times New Roman" w:hAnsi="Times New Roman"/>
          <w:b w:val="false"/>
          <w:bCs w:val="false"/>
          <w:i w:val="false"/>
          <w:iCs w:val="false"/>
          <w:smallCaps w:val="false"/>
          <w:color w:val="000000"/>
          <w:sz w:val="20"/>
          <w:szCs w:val="20"/>
        </w:rPr>
        <w:t xml:space="preserve"> − ŷ</w:t>
      </w:r>
      <w:r>
        <w:rPr>
          <w:rFonts w:ascii="Times New Roman" w:cs="Times New Roman" w:eastAsia="Times New Roman" w:hAnsi="Times New Roman"/>
          <w:b w:val="false"/>
          <w:bCs w:val="false"/>
          <w:i w:val="false"/>
          <w:iCs w:val="false"/>
          <w:smallCaps w:val="false"/>
          <w:color w:val="000000"/>
          <w:sz w:val="16"/>
          <w:szCs w:val="16"/>
        </w:rPr>
        <w:t xml:space="preserve">t</w:t>
      </w:r>
      <w:r>
        <w:rPr>
          <w:rFonts w:ascii="Times New Roman" w:cs="Times New Roman" w:eastAsia="Times New Roman" w:hAnsi="Times New Roman"/>
          <w:b w:val="false"/>
          <w:bCs w:val="false"/>
          <w:i w:val="false"/>
          <w:iCs w:val="false"/>
          <w:smallCaps w:val="false"/>
          <w:color w:val="000000"/>
          <w:sz w:val="20"/>
          <w:szCs w:val="20"/>
        </w:rPr>
        <w:t xml:space="preserve">| / |y</w:t>
      </w:r>
      <w:r>
        <w:rPr>
          <w:rFonts w:ascii="Times New Roman" w:cs="Times New Roman" w:eastAsia="Times New Roman" w:hAnsi="Times New Roman"/>
          <w:b w:val="false"/>
          <w:bCs w:val="false"/>
          <w:i w:val="false"/>
          <w:iCs w:val="false"/>
          <w:smallCaps w:val="false"/>
          <w:color w:val="000000"/>
          <w:sz w:val="16"/>
          <w:szCs w:val="16"/>
        </w:rPr>
        <w:t xml:space="preserve">t</w:t>
      </w:r>
      <w:r>
        <w:rPr>
          <w:rFonts w:ascii="Times New Roman" w:cs="Times New Roman" w:eastAsia="Times New Roman" w:hAnsi="Times New Roman"/>
          <w:b w:val="false"/>
          <w:bCs w:val="false"/>
          <w:i w:val="false"/>
          <w:iCs w:val="false"/>
          <w:smallCaps w:val="false"/>
          <w:color w:val="000000"/>
          <w:sz w:val="20"/>
          <w:szCs w:val="20"/>
        </w:rPr>
        <w:t xml:space="preserve">|</w:t>
      </w:r>
    </w:p>
    <w:p>
      <w:pPr>
        <w:spacing w:after="8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The five operational KPIs are defined as follows. Forecast Accuracy (%) = 100 − MAPE, converting the error percentage into an intuitive accuracy score. Surge Lead Time (days) is the difference in days between when the model first predicts care load crossing a defined threshold and when it actually crosses it — positive values indicate early warning, negative values indicate late detection. Capacity Breach Probability is the fraction of forecast days on which predicted care load exceeds the threshold. Forecast Stability Index is the inverse of the coefficient of variation of predictions across walk-forward folds — a higher value means the model produces more consistent forecasts. Model Robustness measures how much RMSE changes across the three forecast horizons (7, 14, 30 days) — a robust model degrades smoothly rather than collapsing at longer horizons.</w:t>
      </w:r>
    </w:p>
    <w:p>
      <w:pPr>
        <w:spacing w:after="80" w:before="160" w:line="240"/>
      </w:pPr>
      <w:r>
        <w:rPr>
          <w:rFonts w:ascii="Times New Roman" w:cs="Times New Roman" w:eastAsia="Times New Roman" w:hAnsi="Times New Roman"/>
          <w:b/>
          <w:bCs/>
          <w:i/>
          <w:iCs/>
          <w:smallCaps w:val="false"/>
          <w:color w:val="000000"/>
          <w:sz w:val="20"/>
          <w:szCs w:val="20"/>
        </w:rPr>
        <w:t xml:space="preserve">F.  </w:t>
      </w:r>
      <w:r>
        <w:rPr>
          <w:rFonts w:ascii="Times New Roman" w:cs="Times New Roman" w:eastAsia="Times New Roman" w:hAnsi="Times New Roman"/>
          <w:b w:val="false"/>
          <w:bCs w:val="false"/>
          <w:i/>
          <w:iCs/>
          <w:smallCaps w:val="false"/>
          <w:color w:val="000000"/>
          <w:sz w:val="20"/>
          <w:szCs w:val="20"/>
        </w:rPr>
        <w:t xml:space="preserve">Capacity Threshold</w:t>
      </w:r>
    </w:p>
    <w:p>
      <w:pPr>
        <w:spacing w:after="80" w:line="240"/>
        <w:ind w:firstLine="360"/>
        <w:jc w:val="both"/>
      </w:pPr>
      <w:r>
        <w:rPr>
          <w:rFonts w:ascii="Times New Roman" w:cs="Times New Roman" w:eastAsia="Times New Roman" w:hAnsi="Times New Roman"/>
          <w:b w:val="false"/>
          <w:bCs w:val="false"/>
          <w:i w:val="false"/>
          <w:iCs w:val="false"/>
          <w:smallCaps w:val="false"/>
          <w:color w:val="000000"/>
          <w:sz w:val="20"/>
          <w:szCs w:val="20"/>
        </w:rPr>
        <w:t xml:space="preserve">Several KPIs require a defined capacity threshold. Because official HHS licensed capacity figures were not available in the public dataset, we used the 95th percentile of care load in the test period as a proxy: 2,511 children. This is a statistical approximation; program managers implementing this system in production should substitute the actual licensed capacity figure. The threshold is exposed as an adjustable parameter in the Streamlit dashboard.</w:t>
      </w:r>
    </w:p>
    <w:p>
      <w:pPr>
        <w:pBdr>
          <w:bottom w:val="single" w:color="D1D5DB" w:sz="4" w:space="2"/>
        </w:pBdr>
        <w:spacing w:after="120" w:before="200" w:line="240"/>
        <w:jc w:val="center"/>
      </w:pPr>
      <w:r>
        <w:rPr>
          <w:rFonts w:ascii="Times New Roman" w:cs="Times New Roman" w:eastAsia="Times New Roman" w:hAnsi="Times New Roman"/>
          <w:b/>
          <w:bCs/>
          <w:i w:val="false"/>
          <w:iCs w:val="false"/>
          <w:smallCaps/>
          <w:color w:val="1B2A4A"/>
          <w:sz w:val="20"/>
          <w:szCs w:val="20"/>
        </w:rPr>
        <w:t xml:space="preserve">IV.  References</w:t>
      </w:r>
    </w:p>
    <w:p>
      <w:pPr>
        <w:spacing w:after="60" w:line="240"/>
        <w:ind w:left="500" w:hanging="500"/>
        <w:jc w:val="both"/>
      </w:pPr>
      <w:r>
        <w:rPr>
          <w:rFonts w:ascii="Times New Roman" w:cs="Times New Roman" w:eastAsia="Times New Roman" w:hAnsi="Times New Roman"/>
          <w:b/>
          <w:bCs/>
          <w:i w:val="false"/>
          <w:iCs w:val="false"/>
          <w:smallCaps w:val="false"/>
          <w:color w:val="000000"/>
          <w:sz w:val="18"/>
          <w:szCs w:val="18"/>
        </w:rPr>
        <w:t xml:space="preserve">[1]  </w:t>
      </w:r>
      <w:r>
        <w:rPr>
          <w:rFonts w:ascii="Times New Roman" w:cs="Times New Roman" w:eastAsia="Times New Roman" w:hAnsi="Times New Roman"/>
          <w:b w:val="false"/>
          <w:bCs w:val="false"/>
          <w:i w:val="false"/>
          <w:iCs w:val="false"/>
          <w:smallCaps w:val="false"/>
          <w:color w:val="000000"/>
          <w:sz w:val="18"/>
          <w:szCs w:val="18"/>
        </w:rPr>
        <w:t xml:space="preserve">U.S. Department of Health and Human Services, Office of Refugee Resettlement, "About the Program," HHS.gov, 2024.</w:t>
      </w:r>
    </w:p>
    <w:p>
      <w:pPr>
        <w:spacing w:after="60" w:line="240"/>
        <w:ind w:left="500" w:hanging="500"/>
        <w:jc w:val="both"/>
      </w:pPr>
      <w:r>
        <w:rPr>
          <w:rFonts w:ascii="Times New Roman" w:cs="Times New Roman" w:eastAsia="Times New Roman" w:hAnsi="Times New Roman"/>
          <w:b/>
          <w:bCs/>
          <w:i w:val="false"/>
          <w:iCs w:val="false"/>
          <w:smallCaps w:val="false"/>
          <w:color w:val="000000"/>
          <w:sz w:val="18"/>
          <w:szCs w:val="18"/>
        </w:rPr>
        <w:t xml:space="preserve">[2]  </w:t>
      </w:r>
      <w:r>
        <w:rPr>
          <w:rFonts w:ascii="Times New Roman" w:cs="Times New Roman" w:eastAsia="Times New Roman" w:hAnsi="Times New Roman"/>
          <w:b w:val="false"/>
          <w:bCs w:val="false"/>
          <w:i w:val="false"/>
          <w:iCs w:val="false"/>
          <w:smallCaps w:val="false"/>
          <w:color w:val="000000"/>
          <w:sz w:val="18"/>
          <w:szCs w:val="18"/>
        </w:rPr>
        <w:t xml:space="preserve">U.S. House of Representatives, Committee on Homeland Security, "The Biden Border Crisis," Staff Report, 2021.</w:t>
      </w:r>
    </w:p>
    <w:p>
      <w:pPr>
        <w:spacing w:after="60" w:line="240"/>
        <w:ind w:left="500" w:hanging="500"/>
        <w:jc w:val="both"/>
      </w:pPr>
      <w:r>
        <w:rPr>
          <w:rFonts w:ascii="Times New Roman" w:cs="Times New Roman" w:eastAsia="Times New Roman" w:hAnsi="Times New Roman"/>
          <w:b/>
          <w:bCs/>
          <w:i w:val="false"/>
          <w:iCs w:val="false"/>
          <w:smallCaps w:val="false"/>
          <w:color w:val="000000"/>
          <w:sz w:val="18"/>
          <w:szCs w:val="18"/>
        </w:rPr>
        <w:t xml:space="preserve">[3]  </w:t>
      </w:r>
      <w:r>
        <w:rPr>
          <w:rFonts w:ascii="Times New Roman" w:cs="Times New Roman" w:eastAsia="Times New Roman" w:hAnsi="Times New Roman"/>
          <w:b w:val="false"/>
          <w:bCs w:val="false"/>
          <w:i w:val="false"/>
          <w:iCs w:val="false"/>
          <w:smallCaps w:val="false"/>
          <w:color w:val="000000"/>
          <w:sz w:val="18"/>
          <w:szCs w:val="18"/>
        </w:rPr>
        <w:t xml:space="preserve">G. E. P. Box and G. M. Jenkins, Time Series Analysis: Forecasting and Control, San Francisco: Holden-Day, 1970.</w:t>
      </w:r>
    </w:p>
    <w:p>
      <w:pPr>
        <w:spacing w:after="60" w:line="240"/>
        <w:ind w:left="500" w:hanging="500"/>
        <w:jc w:val="both"/>
      </w:pPr>
      <w:r>
        <w:rPr>
          <w:rFonts w:ascii="Times New Roman" w:cs="Times New Roman" w:eastAsia="Times New Roman" w:hAnsi="Times New Roman"/>
          <w:b/>
          <w:bCs/>
          <w:i w:val="false"/>
          <w:iCs w:val="false"/>
          <w:smallCaps w:val="false"/>
          <w:color w:val="000000"/>
          <w:sz w:val="18"/>
          <w:szCs w:val="18"/>
        </w:rPr>
        <w:t xml:space="preserve">[4]  </w:t>
      </w:r>
      <w:r>
        <w:rPr>
          <w:rFonts w:ascii="Times New Roman" w:cs="Times New Roman" w:eastAsia="Times New Roman" w:hAnsi="Times New Roman"/>
          <w:b w:val="false"/>
          <w:bCs w:val="false"/>
          <w:i w:val="false"/>
          <w:iCs w:val="false"/>
          <w:smallCaps w:val="false"/>
          <w:color w:val="000000"/>
          <w:sz w:val="18"/>
          <w:szCs w:val="18"/>
        </w:rPr>
        <w:t xml:space="preserve">A. Batal, J. Tench, S. MacLean, J. Arthur, and P. L. Hillner, "Predicting patient visits to an urgent care clinic using calendar variables," Academic Emergency Medicine, vol. 8, pp. 48–53, 2001.</w:t>
      </w:r>
    </w:p>
    <w:p>
      <w:pPr>
        <w:spacing w:after="60" w:line="240"/>
        <w:ind w:left="500" w:hanging="500"/>
        <w:jc w:val="both"/>
      </w:pPr>
      <w:r>
        <w:rPr>
          <w:rFonts w:ascii="Times New Roman" w:cs="Times New Roman" w:eastAsia="Times New Roman" w:hAnsi="Times New Roman"/>
          <w:b/>
          <w:bCs/>
          <w:i w:val="false"/>
          <w:iCs w:val="false"/>
          <w:smallCaps w:val="false"/>
          <w:color w:val="000000"/>
          <w:sz w:val="18"/>
          <w:szCs w:val="18"/>
        </w:rPr>
        <w:t xml:space="preserve">[5]  </w:t>
      </w:r>
      <w:r>
        <w:rPr>
          <w:rFonts w:ascii="Times New Roman" w:cs="Times New Roman" w:eastAsia="Times New Roman" w:hAnsi="Times New Roman"/>
          <w:b w:val="false"/>
          <w:bCs w:val="false"/>
          <w:i w:val="false"/>
          <w:iCs w:val="false"/>
          <w:smallCaps w:val="false"/>
          <w:color w:val="000000"/>
          <w:sz w:val="18"/>
          <w:szCs w:val="18"/>
        </w:rPr>
        <w:t xml:space="preserve">J. C. Ridge, S. K. Jones, M. S. Nielsen, and A. K. Shahani, "Capacity planning for intensive care units," European Journal of Operational Research, vol. 105, pp. 346–355, 1998.</w:t>
      </w:r>
    </w:p>
    <w:p>
      <w:pPr>
        <w:spacing w:after="60" w:line="240"/>
        <w:ind w:left="500" w:hanging="500"/>
        <w:jc w:val="both"/>
      </w:pPr>
      <w:r>
        <w:rPr>
          <w:rFonts w:ascii="Times New Roman" w:cs="Times New Roman" w:eastAsia="Times New Roman" w:hAnsi="Times New Roman"/>
          <w:b/>
          <w:bCs/>
          <w:i w:val="false"/>
          <w:iCs w:val="false"/>
          <w:smallCaps w:val="false"/>
          <w:color w:val="000000"/>
          <w:sz w:val="18"/>
          <w:szCs w:val="18"/>
        </w:rPr>
        <w:t xml:space="preserve">[6]  </w:t>
      </w:r>
      <w:r>
        <w:rPr>
          <w:rFonts w:ascii="Times New Roman" w:cs="Times New Roman" w:eastAsia="Times New Roman" w:hAnsi="Times New Roman"/>
          <w:b w:val="false"/>
          <w:bCs w:val="false"/>
          <w:i w:val="false"/>
          <w:iCs w:val="false"/>
          <w:smallCaps w:val="false"/>
          <w:color w:val="000000"/>
          <w:sz w:val="18"/>
          <w:szCs w:val="18"/>
        </w:rPr>
        <w:t xml:space="preserve">N. Sato, S. Kumagai, H. Yamashita, and H. Kimura, "Application of ARIMA model for forecasting weekly dengue incidence in Japan," Epidemiology and Infection, vol. 145, pp. 2817–2826, 2017.</w:t>
      </w:r>
    </w:p>
    <w:p>
      <w:pPr>
        <w:spacing w:after="60" w:line="240"/>
        <w:ind w:left="500" w:hanging="500"/>
        <w:jc w:val="both"/>
      </w:pPr>
      <w:r>
        <w:rPr>
          <w:rFonts w:ascii="Times New Roman" w:cs="Times New Roman" w:eastAsia="Times New Roman" w:hAnsi="Times New Roman"/>
          <w:b/>
          <w:bCs/>
          <w:i w:val="false"/>
          <w:iCs w:val="false"/>
          <w:smallCaps w:val="false"/>
          <w:color w:val="000000"/>
          <w:sz w:val="18"/>
          <w:szCs w:val="18"/>
        </w:rPr>
        <w:t xml:space="preserve">[7]  </w:t>
      </w:r>
      <w:r>
        <w:rPr>
          <w:rFonts w:ascii="Times New Roman" w:cs="Times New Roman" w:eastAsia="Times New Roman" w:hAnsi="Times New Roman"/>
          <w:b w:val="false"/>
          <w:bCs w:val="false"/>
          <w:i w:val="false"/>
          <w:iCs w:val="false"/>
          <w:smallCaps w:val="false"/>
          <w:color w:val="000000"/>
          <w:sz w:val="18"/>
          <w:szCs w:val="18"/>
        </w:rPr>
        <w:t xml:space="preserve">J. W. Taylor, "Short-term electricity demand forecasting using double seasonal exponential smoothing," Journal of the Operational Research Society, vol. 54, pp. 799–805, 2003.</w:t>
      </w:r>
    </w:p>
    <w:p>
      <w:pPr>
        <w:spacing w:after="60" w:line="240"/>
        <w:ind w:left="500" w:hanging="500"/>
        <w:jc w:val="both"/>
      </w:pPr>
      <w:r>
        <w:rPr>
          <w:rFonts w:ascii="Times New Roman" w:cs="Times New Roman" w:eastAsia="Times New Roman" w:hAnsi="Times New Roman"/>
          <w:b/>
          <w:bCs/>
          <w:i w:val="false"/>
          <w:iCs w:val="false"/>
          <w:smallCaps w:val="false"/>
          <w:color w:val="000000"/>
          <w:sz w:val="18"/>
          <w:szCs w:val="18"/>
        </w:rPr>
        <w:t xml:space="preserve">[8]  </w:t>
      </w:r>
      <w:r>
        <w:rPr>
          <w:rFonts w:ascii="Times New Roman" w:cs="Times New Roman" w:eastAsia="Times New Roman" w:hAnsi="Times New Roman"/>
          <w:b w:val="false"/>
          <w:bCs w:val="false"/>
          <w:i w:val="false"/>
          <w:iCs w:val="false"/>
          <w:smallCaps w:val="false"/>
          <w:color w:val="000000"/>
          <w:sz w:val="18"/>
          <w:szCs w:val="18"/>
        </w:rPr>
        <w:t xml:space="preserve">M. Catala, S. Cardona, J. Ibanez, and S. Saura, "Asylum seekers forecasting in Europe," International Migration, vol. 56, pp. 156–172, 2018.</w:t>
      </w:r>
    </w:p>
    <w:p>
      <w:pPr>
        <w:spacing w:after="60" w:line="240"/>
        <w:ind w:left="500" w:hanging="500"/>
        <w:jc w:val="both"/>
      </w:pPr>
      <w:r>
        <w:rPr>
          <w:rFonts w:ascii="Times New Roman" w:cs="Times New Roman" w:eastAsia="Times New Roman" w:hAnsi="Times New Roman"/>
          <w:b/>
          <w:bCs/>
          <w:i w:val="false"/>
          <w:iCs w:val="false"/>
          <w:smallCaps w:val="false"/>
          <w:color w:val="000000"/>
          <w:sz w:val="18"/>
          <w:szCs w:val="18"/>
        </w:rPr>
        <w:t xml:space="preserve">[9]  </w:t>
      </w:r>
      <w:r>
        <w:rPr>
          <w:rFonts w:ascii="Times New Roman" w:cs="Times New Roman" w:eastAsia="Times New Roman" w:hAnsi="Times New Roman"/>
          <w:b w:val="false"/>
          <w:bCs w:val="false"/>
          <w:i w:val="false"/>
          <w:iCs w:val="false"/>
          <w:smallCaps w:val="false"/>
          <w:color w:val="000000"/>
          <w:sz w:val="18"/>
          <w:szCs w:val="18"/>
        </w:rPr>
        <w:t xml:space="preserve">L. Breiman, "Random forests," Machine Learning, vol. 45, pp. 5–32, 2001.</w:t>
      </w:r>
    </w:p>
    <w:p>
      <w:pPr>
        <w:spacing w:after="60" w:line="240"/>
        <w:ind w:left="500" w:hanging="500"/>
        <w:jc w:val="both"/>
      </w:pPr>
      <w:r>
        <w:rPr>
          <w:rFonts w:ascii="Times New Roman" w:cs="Times New Roman" w:eastAsia="Times New Roman" w:hAnsi="Times New Roman"/>
          <w:b/>
          <w:bCs/>
          <w:i w:val="false"/>
          <w:iCs w:val="false"/>
          <w:smallCaps w:val="false"/>
          <w:color w:val="000000"/>
          <w:sz w:val="18"/>
          <w:szCs w:val="18"/>
        </w:rPr>
        <w:t xml:space="preserve">[10]  </w:t>
      </w:r>
      <w:r>
        <w:rPr>
          <w:rFonts w:ascii="Times New Roman" w:cs="Times New Roman" w:eastAsia="Times New Roman" w:hAnsi="Times New Roman"/>
          <w:b w:val="false"/>
          <w:bCs w:val="false"/>
          <w:i w:val="false"/>
          <w:iCs w:val="false"/>
          <w:smallCaps w:val="false"/>
          <w:color w:val="000000"/>
          <w:sz w:val="18"/>
          <w:szCs w:val="18"/>
        </w:rPr>
        <w:t xml:space="preserve">T. Hastie, R. Tibshirani, and J. Friedman, The Elements of Statistical Learning, 2nd ed. New York: Springer, 2009.</w:t>
      </w:r>
    </w:p>
    <w:p>
      <w:pPr>
        <w:spacing w:after="60" w:line="240"/>
        <w:ind w:left="500" w:hanging="500"/>
        <w:jc w:val="both"/>
      </w:pPr>
      <w:r>
        <w:rPr>
          <w:rFonts w:ascii="Times New Roman" w:cs="Times New Roman" w:eastAsia="Times New Roman" w:hAnsi="Times New Roman"/>
          <w:b/>
          <w:bCs/>
          <w:i w:val="false"/>
          <w:iCs w:val="false"/>
          <w:smallCaps w:val="false"/>
          <w:color w:val="000000"/>
          <w:sz w:val="18"/>
          <w:szCs w:val="18"/>
        </w:rPr>
        <w:t xml:space="preserve">[11]  </w:t>
      </w:r>
      <w:r>
        <w:rPr>
          <w:rFonts w:ascii="Times New Roman" w:cs="Times New Roman" w:eastAsia="Times New Roman" w:hAnsi="Times New Roman"/>
          <w:b w:val="false"/>
          <w:bCs w:val="false"/>
          <w:i w:val="false"/>
          <w:iCs w:val="false"/>
          <w:smallCaps w:val="false"/>
          <w:color w:val="000000"/>
          <w:sz w:val="18"/>
          <w:szCs w:val="18"/>
        </w:rPr>
        <w:t xml:space="preserve">H. Tyralis and G. Papacharalampous, "Variable selection in time series forecasting using random forests," Algorithms, vol. 10, p. 114, 2017.</w:t>
      </w:r>
    </w:p>
    <w:p>
      <w:pPr>
        <w:spacing w:after="60" w:line="240"/>
        <w:ind w:left="500" w:hanging="500"/>
        <w:jc w:val="both"/>
      </w:pPr>
      <w:r>
        <w:rPr>
          <w:rFonts w:ascii="Times New Roman" w:cs="Times New Roman" w:eastAsia="Times New Roman" w:hAnsi="Times New Roman"/>
          <w:b/>
          <w:bCs/>
          <w:i w:val="false"/>
          <w:iCs w:val="false"/>
          <w:smallCaps w:val="false"/>
          <w:color w:val="000000"/>
          <w:sz w:val="18"/>
          <w:szCs w:val="18"/>
        </w:rPr>
        <w:t xml:space="preserve">[12]  </w:t>
      </w:r>
      <w:r>
        <w:rPr>
          <w:rFonts w:ascii="Times New Roman" w:cs="Times New Roman" w:eastAsia="Times New Roman" w:hAnsi="Times New Roman"/>
          <w:b w:val="false"/>
          <w:bCs w:val="false"/>
          <w:i w:val="false"/>
          <w:iCs w:val="false"/>
          <w:smallCaps w:val="false"/>
          <w:color w:val="000000"/>
          <w:sz w:val="18"/>
          <w:szCs w:val="18"/>
        </w:rPr>
        <w:t xml:space="preserve">S. Cuccaro-Alamin, R. Foust, R. Vaithianathan, and E. Putnam-Hornstein, "Risk assessment and decision making in child protective services," Children and Youth Services Review, vol. 79, pp. 215–223, 2017.</w:t>
      </w:r>
    </w:p>
    <w:p>
      <w:pPr>
        <w:spacing w:after="60" w:line="240"/>
        <w:ind w:left="500" w:hanging="500"/>
        <w:jc w:val="both"/>
      </w:pPr>
      <w:r>
        <w:rPr>
          <w:rFonts w:ascii="Times New Roman" w:cs="Times New Roman" w:eastAsia="Times New Roman" w:hAnsi="Times New Roman"/>
          <w:b/>
          <w:bCs/>
          <w:i w:val="false"/>
          <w:iCs w:val="false"/>
          <w:smallCaps w:val="false"/>
          <w:color w:val="000000"/>
          <w:sz w:val="18"/>
          <w:szCs w:val="18"/>
        </w:rPr>
        <w:t xml:space="preserve">[13]  </w:t>
      </w:r>
      <w:r>
        <w:rPr>
          <w:rFonts w:ascii="Times New Roman" w:cs="Times New Roman" w:eastAsia="Times New Roman" w:hAnsi="Times New Roman"/>
          <w:b w:val="false"/>
          <w:bCs w:val="false"/>
          <w:i w:val="false"/>
          <w:iCs w:val="false"/>
          <w:smallCaps w:val="false"/>
          <w:color w:val="000000"/>
          <w:sz w:val="18"/>
          <w:szCs w:val="18"/>
        </w:rPr>
        <w:t xml:space="preserve">J. P. Unaccompanied Children, "Policy Brief: Long-term Trends in UAC Arrivals," Migration Policy Institute, 2022.</w:t>
      </w:r>
    </w:p>
    <w:p>
      <w:pPr>
        <w:spacing w:after="60" w:line="240"/>
        <w:ind w:left="500" w:hanging="500"/>
        <w:jc w:val="both"/>
      </w:pPr>
      <w:r>
        <w:rPr>
          <w:rFonts w:ascii="Times New Roman" w:cs="Times New Roman" w:eastAsia="Times New Roman" w:hAnsi="Times New Roman"/>
          <w:b/>
          <w:bCs/>
          <w:i w:val="false"/>
          <w:iCs w:val="false"/>
          <w:smallCaps w:val="false"/>
          <w:color w:val="000000"/>
          <w:sz w:val="18"/>
          <w:szCs w:val="18"/>
        </w:rPr>
        <w:t xml:space="preserve">[14]  </w:t>
      </w:r>
      <w:r>
        <w:rPr>
          <w:rFonts w:ascii="Times New Roman" w:cs="Times New Roman" w:eastAsia="Times New Roman" w:hAnsi="Times New Roman"/>
          <w:b w:val="false"/>
          <w:bCs w:val="false"/>
          <w:i w:val="false"/>
          <w:iCs w:val="false"/>
          <w:smallCaps w:val="false"/>
          <w:color w:val="000000"/>
          <w:sz w:val="18"/>
          <w:szCs w:val="18"/>
        </w:rPr>
        <w:t xml:space="preserve">Human Rights Watch, "In the Freezer: Abusive Conditions for Women and Children in US Immigration Holding Cells," 2018.</w:t>
      </w:r>
    </w:p>
    <w:p>
      <w:pPr>
        <w:spacing w:after="60" w:line="240"/>
        <w:ind w:left="500" w:hanging="500"/>
        <w:jc w:val="both"/>
      </w:pPr>
      <w:r>
        <w:rPr>
          <w:rFonts w:ascii="Times New Roman" w:cs="Times New Roman" w:eastAsia="Times New Roman" w:hAnsi="Times New Roman"/>
          <w:b/>
          <w:bCs/>
          <w:i w:val="false"/>
          <w:iCs w:val="false"/>
          <w:smallCaps w:val="false"/>
          <w:color w:val="000000"/>
          <w:sz w:val="18"/>
          <w:szCs w:val="18"/>
        </w:rPr>
        <w:t xml:space="preserve">[15]  </w:t>
      </w:r>
      <w:r>
        <w:rPr>
          <w:rFonts w:ascii="Times New Roman" w:cs="Times New Roman" w:eastAsia="Times New Roman" w:hAnsi="Times New Roman"/>
          <w:b w:val="false"/>
          <w:bCs w:val="false"/>
          <w:i w:val="false"/>
          <w:iCs w:val="false"/>
          <w:smallCaps w:val="false"/>
          <w:color w:val="000000"/>
          <w:sz w:val="18"/>
          <w:szCs w:val="18"/>
        </w:rPr>
        <w:t xml:space="preserve">HHS Office of Planning, Research, and Evaluation, "Characteristics and Outcomes of Unaccompanied Alien Children," Research Brief, 2020.</w:t>
      </w:r>
    </w:p>
    <w:p>
      <w:pPr>
        <w:spacing w:after="60" w:line="240"/>
        <w:ind w:left="500" w:hanging="500"/>
        <w:jc w:val="both"/>
      </w:pPr>
      <w:r>
        <w:rPr>
          <w:rFonts w:ascii="Times New Roman" w:cs="Times New Roman" w:eastAsia="Times New Roman" w:hAnsi="Times New Roman"/>
          <w:b/>
          <w:bCs/>
          <w:i w:val="false"/>
          <w:iCs w:val="false"/>
          <w:smallCaps w:val="false"/>
          <w:color w:val="000000"/>
          <w:sz w:val="18"/>
          <w:szCs w:val="18"/>
        </w:rPr>
        <w:t xml:space="preserve">[16]  </w:t>
      </w:r>
      <w:r>
        <w:rPr>
          <w:rFonts w:ascii="Times New Roman" w:cs="Times New Roman" w:eastAsia="Times New Roman" w:hAnsi="Times New Roman"/>
          <w:b w:val="false"/>
          <w:bCs w:val="false"/>
          <w:i w:val="false"/>
          <w:iCs w:val="false"/>
          <w:smallCaps w:val="false"/>
          <w:color w:val="000000"/>
          <w:sz w:val="18"/>
          <w:szCs w:val="18"/>
        </w:rPr>
        <w:t xml:space="preserve">D. S. Massey, J. Durand, and K. A. Pren, "Explaining undocumented migration to the U.S.," International Migration Review, vol. 48, pp. 1028–1061, 2014.</w:t>
      </w:r>
    </w:p>
    <w:p>
      <w:pPr>
        <w:spacing w:after="60" w:line="240"/>
        <w:ind w:left="500" w:hanging="500"/>
        <w:jc w:val="both"/>
      </w:pPr>
      <w:r>
        <w:rPr>
          <w:rFonts w:ascii="Times New Roman" w:cs="Times New Roman" w:eastAsia="Times New Roman" w:hAnsi="Times New Roman"/>
          <w:b/>
          <w:bCs/>
          <w:i w:val="false"/>
          <w:iCs w:val="false"/>
          <w:smallCaps w:val="false"/>
          <w:color w:val="000000"/>
          <w:sz w:val="18"/>
          <w:szCs w:val="18"/>
        </w:rPr>
        <w:t xml:space="preserve">[17]  </w:t>
      </w:r>
      <w:r>
        <w:rPr>
          <w:rFonts w:ascii="Times New Roman" w:cs="Times New Roman" w:eastAsia="Times New Roman" w:hAnsi="Times New Roman"/>
          <w:b w:val="false"/>
          <w:bCs w:val="false"/>
          <w:i w:val="false"/>
          <w:iCs w:val="false"/>
          <w:smallCaps w:val="false"/>
          <w:color w:val="000000"/>
          <w:sz w:val="18"/>
          <w:szCs w:val="18"/>
        </w:rPr>
        <w:t xml:space="preserve">J. D. C. Little, "A proof for the queuing formula: L = λW," Operations Research, vol. 9, pp. 383–387, 1961.</w:t>
      </w:r>
    </w:p>
    <w:p>
      <w:pPr>
        <w:spacing w:after="60" w:line="240"/>
        <w:ind w:left="500" w:hanging="500"/>
        <w:jc w:val="both"/>
      </w:pPr>
      <w:r>
        <w:rPr>
          <w:rFonts w:ascii="Times New Roman" w:cs="Times New Roman" w:eastAsia="Times New Roman" w:hAnsi="Times New Roman"/>
          <w:b/>
          <w:bCs/>
          <w:i w:val="false"/>
          <w:iCs w:val="false"/>
          <w:smallCaps w:val="false"/>
          <w:color w:val="000000"/>
          <w:sz w:val="18"/>
          <w:szCs w:val="18"/>
        </w:rPr>
        <w:t xml:space="preserve">[18]  </w:t>
      </w:r>
      <w:r>
        <w:rPr>
          <w:rFonts w:ascii="Times New Roman" w:cs="Times New Roman" w:eastAsia="Times New Roman" w:hAnsi="Times New Roman"/>
          <w:b w:val="false"/>
          <w:bCs w:val="false"/>
          <w:i w:val="false"/>
          <w:iCs w:val="false"/>
          <w:smallCaps w:val="false"/>
          <w:color w:val="000000"/>
          <w:sz w:val="18"/>
          <w:szCs w:val="18"/>
        </w:rPr>
        <w:t xml:space="preserve">L. Ozdamar and G. Wasner, "Humanitarian logistics planning in disaster relief operations," Journal of the Operational Research Society, vol. 55, pp. 475–491, 2004.</w:t>
      </w:r>
    </w:p>
    <w:p>
      <w:pPr>
        <w:spacing w:after="60" w:line="240"/>
        <w:ind w:left="500" w:hanging="500"/>
        <w:jc w:val="both"/>
      </w:pPr>
      <w:r>
        <w:rPr>
          <w:rFonts w:ascii="Times New Roman" w:cs="Times New Roman" w:eastAsia="Times New Roman" w:hAnsi="Times New Roman"/>
          <w:b/>
          <w:bCs/>
          <w:i w:val="false"/>
          <w:iCs w:val="false"/>
          <w:smallCaps w:val="false"/>
          <w:color w:val="000000"/>
          <w:sz w:val="18"/>
          <w:szCs w:val="18"/>
        </w:rPr>
        <w:t xml:space="preserve">[19]  </w:t>
      </w:r>
      <w:r>
        <w:rPr>
          <w:rFonts w:ascii="Times New Roman" w:cs="Times New Roman" w:eastAsia="Times New Roman" w:hAnsi="Times New Roman"/>
          <w:b w:val="false"/>
          <w:bCs w:val="false"/>
          <w:i w:val="false"/>
          <w:iCs w:val="false"/>
          <w:smallCaps w:val="false"/>
          <w:color w:val="000000"/>
          <w:sz w:val="18"/>
          <w:szCs w:val="18"/>
        </w:rPr>
        <w:t xml:space="preserve">G. Kovács and K. Spens, "Humanitarian logistics in disaster relief operations," International Journal of Physical Distribution &amp; Logistics Management, vol. 37, pp. 99–114, 2007.</w:t>
      </w:r>
    </w:p>
    <w:p>
      <w:pPr>
        <w:spacing w:after="60" w:line="240"/>
        <w:ind w:left="500" w:hanging="500"/>
        <w:jc w:val="both"/>
      </w:pPr>
      <w:r>
        <w:rPr>
          <w:rFonts w:ascii="Times New Roman" w:cs="Times New Roman" w:eastAsia="Times New Roman" w:hAnsi="Times New Roman"/>
          <w:b/>
          <w:bCs/>
          <w:i w:val="false"/>
          <w:iCs w:val="false"/>
          <w:smallCaps w:val="false"/>
          <w:color w:val="000000"/>
          <w:sz w:val="18"/>
          <w:szCs w:val="18"/>
        </w:rPr>
        <w:t xml:space="preserve">[20]  </w:t>
      </w:r>
      <w:r>
        <w:rPr>
          <w:rFonts w:ascii="Times New Roman" w:cs="Times New Roman" w:eastAsia="Times New Roman" w:hAnsi="Times New Roman"/>
          <w:b w:val="false"/>
          <w:bCs w:val="false"/>
          <w:i w:val="false"/>
          <w:iCs w:val="false"/>
          <w:smallCaps w:val="false"/>
          <w:color w:val="000000"/>
          <w:sz w:val="18"/>
          <w:szCs w:val="18"/>
        </w:rPr>
        <w:t xml:space="preserve">T. Gneiting and A. E. Raftery, "Strictly proper scoring rules, prediction, and estimation," Journal of the American Statistical Association, vol. 102, pp. 359–378, 2007.</w:t>
      </w:r>
    </w:p>
    <w:sectPr>
      <w:type w:val="continuous"/>
      <w:pgSz w:w="11906" w:h="16838" w:orient="portrait"/>
      <w:pgMar w:top="1440" w:right="1440" w:bottom="1440" w:left="144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0"/>
      <w:jc w:val="center"/>
    </w:pPr>
    <w:r>
      <w:rPr>
        <w:rFonts w:ascii="Times New Roman" w:cs="Times New Roman" w:eastAsia="Times New Roman" w:hAnsi="Times New Roman"/>
        <w:b w:val="false"/>
        <w:bCs w:val="false"/>
        <w:i w:val="false"/>
        <w:iCs w:val="false"/>
        <w:smallCaps w:val="false"/>
        <w:color w:val="555555"/>
        <w:sz w:val="16"/>
        <w:szCs w:val="16"/>
      </w:rPr>
      <w:t xml:space="preserve">2025 HHS UAC Forecasting Internship Project  |  Page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spacing w:after="0"/>
      <w:jc w:val="center"/>
    </w:pPr>
    <w:r>
      <w:rPr>
        <w:rFonts w:ascii="Times New Roman" w:cs="Times New Roman" w:eastAsia="Times New Roman" w:hAnsi="Times New Roman"/>
        <w:b w:val="false"/>
        <w:bCs w:val="false"/>
        <w:i/>
        <w:iCs/>
        <w:smallCaps w:val="false"/>
        <w:color w:val="555555"/>
        <w:sz w:val="16"/>
        <w:szCs w:val="16"/>
      </w:rPr>
      <w:t xml:space="preserve">UAC Program Forecasting — IEEE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pPr>
      <w:rPr>
        <w:rFonts w:ascii="Symbol" w:cs="Symbol" w:eastAsia="Symbol" w:hAnsi="Symbo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2026-07-05T07:06:05.909Z</dcterms:created>
  <dcterms:modified xsi:type="dcterms:W3CDTF">2026-07-05T07:06:05.922Z</dcterms:modified>
</cp:coreProperties>
</file>

<file path=docProps/custom.xml><?xml version="1.0" encoding="utf-8"?>
<Properties xmlns="http://schemas.openxmlformats.org/officeDocument/2006/custom-properties" xmlns:vt="http://schemas.openxmlformats.org/officeDocument/2006/docPropsVTypes"/>
</file>