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240" w:after="240"/>
      </w:pPr>
      <w:r>
        <w:rPr>
          <w:b/>
          <w:sz w:val="44"/>
          <w:color w:val="0F172A"/>
        </w:rPr>
        <w:t>企业级软件技术开发与服务合作协议</w:t>
      </w:r>
    </w:p>
    <w:p>
      <w:pPr>
        <w:jc w:val="center"/>
        <w:spacing w:after="360"/>
      </w:pPr>
      <w:r>
        <w:rPr>
          <w:sz w:val="22"/>
          <w:color w:val="64748B"/>
        </w:rPr>
        <w:t>合同编号：OMNIDOC-2026-TECH-0889 | 签署日期：2026 年 10 月 09 日</w:t>
      </w:r>
    </w:p>
    <w:p>
      <w:r>
        <w:rPr>
          <w:b/>
          <w:sz w:val="28"/>
          <w:color w:val="2563EB"/>
        </w:rPr>
        <w:t>第一条 合作双方与项目目标</w:t>
      </w:r>
    </w:p>
    <w:p>
      <w:pPr>
        <w:spacing w:after="180"/>
      </w:pPr>
      <w:r>
        <w:t>甲方（委托方）：未来数智科技有限公司</w:t>
      </w:r>
    </w:p>
    <w:p>
      <w:pPr>
        <w:spacing w:after="240"/>
      </w:pPr>
      <w:r>
        <w:t>乙方（开发方）：极速架构软件工作室（OmniDoc 核心团队）</w:t>
      </w:r>
    </w:p>
    <w:p>
      <w:pPr>
        <w:spacing w:after="200"/>
      </w:pPr>
      <w:r>
        <w:t>双方本着平等互利、优势互补的原则，就“新一代桌面端极速万能文档预览系统”的开发与交付达成如下排他性合作协议。乙方负责底层 Rust 引擎驱动与各文档渲染适配，确保冷启动时间不高于 300 毫秒，运行时内存不高于 50MB。</w:t>
      </w:r>
    </w:p>
    <w:p>
      <w:r>
        <w:rPr>
          <w:b/>
          <w:sz w:val="28"/>
          <w:color w:val="2563EB"/>
        </w:rPr>
        <w:t>第二条 交付里程碑与验收标准</w:t>
      </w:r>
    </w:p>
    <w:tbl>
      <w:tblPr>
        <w:tblW w:w="9200" w:type="dxa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4" w:space="0" w:color="E2E8F0"/>
          <w:insideV w:val="single" w:sz="4" w:space="0" w:color="E2E8F0"/>
        </w:tblBorders>
      </w:tblPr>
      <w:tr>
        <w:tc>
          <w:tcPr>
            <w:tcW w:w="1600" w:type="dxa"/>
            <w:shd w:val="clear" w:color="auto" w:fill="F1F5F9"/>
          </w:tcPr>
          <w:p>
            <w:r>
              <w:rPr>
                <w:b/>
              </w:rPr>
              <w:t>阶段编号</w:t>
            </w:r>
          </w:p>
        </w:tc>
        <w:tc>
          <w:tcPr>
            <w:tcW w:w="3000" w:type="dxa"/>
            <w:shd w:val="clear" w:color="auto" w:fill="F1F5F9"/>
          </w:tcPr>
          <w:p>
            <w:r>
              <w:rPr>
                <w:b/>
              </w:rPr>
              <w:t>里程碑关键交付物</w:t>
            </w:r>
          </w:p>
        </w:tc>
        <w:tc>
          <w:tcPr>
            <w:tcW w:w="2600" w:type="dxa"/>
            <w:shd w:val="clear" w:color="auto" w:fill="F1F5F9"/>
          </w:tcPr>
          <w:p>
            <w:r>
              <w:rPr>
                <w:b/>
              </w:rPr>
              <w:t>技术验收指标</w:t>
            </w:r>
          </w:p>
        </w:tc>
        <w:tc>
          <w:tcPr>
            <w:tcW w:w="2000" w:type="dxa"/>
            <w:shd w:val="clear" w:color="auto" w:fill="F1F5F9"/>
          </w:tcPr>
          <w:p>
            <w:r>
              <w:rPr>
                <w:b/>
              </w:rPr>
              <w:t>阶段结算金额</w:t>
            </w:r>
          </w:p>
        </w:tc>
      </w:tr>
      <w:tr>
        <w:tc>
          <w:p>
            <w:r>
              <w:t>第一期 M1</w:t>
            </w:r>
          </w:p>
        </w:tc>
        <w:tc>
          <w:p>
            <w:r>
              <w:t>多格式文件内核与 Rust 交互</w:t>
            </w:r>
          </w:p>
        </w:tc>
        <w:tc>
          <w:p>
            <w:r>
              <w:t>完成 TXT/MD/XLSX 支持</w:t>
            </w:r>
          </w:p>
        </w:tc>
        <w:tc>
          <w:p>
            <w:r>
              <w:t>¥ 120,000 元</w:t>
            </w:r>
          </w:p>
        </w:tc>
      </w:tr>
      <w:tr>
        <w:tc>
          <w:p>
            <w:r>
              <w:t>第二期 M2</w:t>
            </w:r>
          </w:p>
        </w:tc>
        <w:tc>
          <w:p>
            <w:r>
              <w:t>DOCX 与 PPTX 预览引擎强化</w:t>
            </w:r>
          </w:p>
        </w:tc>
        <w:tc>
          <w:p>
            <w:r>
              <w:t>胶卷缩略图与多格求和算盘</w:t>
            </w:r>
          </w:p>
        </w:tc>
        <w:tc>
          <w:p>
            <w:r>
              <w:t>¥ 160,000 元</w:t>
            </w:r>
          </w:p>
        </w:tc>
      </w:tr>
      <w:tr>
        <w:tc>
          <w:p>
            <w:r>
              <w:t>第三期 M3</w:t>
            </w:r>
          </w:p>
        </w:tc>
        <w:tc>
          <w:p>
            <w:r>
              <w:t>macOS / Windows 正式安装包打包</w:t>
            </w:r>
          </w:p>
        </w:tc>
        <w:tc>
          <w:p>
            <w:r>
              <w:t>安装包小于 15MB 且自测达标</w:t>
            </w:r>
          </w:p>
        </w:tc>
        <w:tc>
          <w:p>
            <w:r>
              <w:t>¥ 80,000 元</w:t>
            </w:r>
          </w:p>
        </w:tc>
      </w:tr>
    </w:tbl>
    <w:p>
      <w:pPr>
        <w:spacing w:before="360"/>
      </w:pPr>
      <w:r>
        <w:rPr>
          <w:b/>
          <w:sz w:val="28"/>
          <w:color w:val="2563EB"/>
        </w:rPr>
        <w:t>第三条 商业保密与版权归属</w:t>
      </w:r>
    </w:p>
    <w:p>
      <w:r>
        <w:t>双方在合作过程中所接触到的对方专有技术、业务数据及知识产权，均属于最高级别商业保密信息。未经另一方书面授权，任何一方不得向任何第三方披露或擅自使用。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PingFang SC" w:eastAsia="PingFang SC" w:hAnsi="PingFang SC"/>
        <w:sz w:val="24"/>
        <w:color w:val="1E293B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