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b/>
          <w:bCs/>
          <w:color w:val="1A1A2E"/>
          <w:sz w:val="72"/>
          <w:szCs w:val="72"/>
        </w:rPr>
        <w:t xml:space="preserve">d/acc</w:t>
      </w:r>
    </w:p>
    <w:p>
      <w:pPr>
        <w:spacing w:after="60"/>
        <w:jc w:val="center"/>
      </w:pPr>
      <w:r>
        <w:rPr>
          <w:rFonts w:ascii="Arial" w:cs="Arial" w:eastAsia="Arial" w:hAnsi="Arial"/>
          <w:color w:val="4A90D9"/>
          <w:spacing w:val="200"/>
          <w:sz w:val="28"/>
          <w:szCs w:val="28"/>
        </w:rPr>
        <w:t xml:space="preserve">DEFENSIVE ACCELERATIONISM</w:t>
      </w:r>
    </w:p>
    <w:p>
      <w:pPr>
        <w:spacing w:before="200" w:after="200"/>
      </w:pPr>
    </w:p>
    <w:p>
      <w:pPr>
        <w:pBdr>
          <w:top w:val="single" w:color="4A90D9" w:sz="2" w:space="12"/>
          <w:bottom w:val="single" w:color="4A90D9" w:sz="2" w:space="12"/>
        </w:pBdr>
        <w:spacing w:before="100" w:after="100"/>
        <w:jc w:val="center"/>
      </w:pPr>
      <w:r>
        <w:rPr>
          <w:rFonts w:ascii="Georgia" w:cs="Georgia" w:eastAsia="Georgia" w:hAnsi="Georgia"/>
          <w:color w:val="222222"/>
          <w:sz w:val="26"/>
          <w:szCs w:val="26"/>
        </w:rPr>
        <w:t xml:space="preserve">A Canonical Taxonomy, Theoretical Framework,</w:t>
      </w:r>
    </w:p>
    <w:p>
      <w:pPr>
        <w:spacing w:after="200"/>
        <w:jc w:val="center"/>
      </w:pPr>
      <w:r>
        <w:rPr>
          <w:rFonts w:ascii="Georgia" w:cs="Georgia" w:eastAsia="Georgia" w:hAnsi="Georgia"/>
          <w:color w:val="222222"/>
          <w:sz w:val="26"/>
          <w:szCs w:val="26"/>
        </w:rPr>
        <w:t xml:space="preserve">and Capital Allocation Strategy</w:t>
      </w:r>
    </w:p>
    <w:p>
      <w:pPr>
        <w:spacing w:before="400" w:after="400"/>
      </w:pPr>
    </w:p>
    <w:p>
      <w:pPr>
        <w:spacing w:after="80"/>
        <w:jc w:val="center"/>
      </w:pPr>
      <w:r>
        <w:rPr>
          <w:rFonts w:ascii="Arial" w:cs="Arial" w:eastAsia="Arial" w:hAnsi="Arial"/>
          <w:color w:val="555555"/>
          <w:sz w:val="22"/>
          <w:szCs w:val="22"/>
        </w:rPr>
        <w:t xml:space="preserve">OpenCivics / Allo Capital</w:t>
      </w:r>
    </w:p>
    <w:p>
      <w:pPr>
        <w:spacing w:after="80"/>
        <w:jc w:val="center"/>
      </w:pPr>
      <w:r>
        <w:rPr>
          <w:rFonts w:ascii="Arial" w:cs="Arial" w:eastAsia="Arial" w:hAnsi="Arial"/>
          <w:color w:val="555555"/>
          <w:sz w:val="22"/>
          <w:szCs w:val="22"/>
        </w:rPr>
        <w:t xml:space="preserve">February 2026</w:t>
      </w:r>
    </w:p>
    <w:p>
      <w:pPr>
        <w:spacing w:before="600" w:after="600"/>
      </w:pPr>
    </w:p>
    <w:p>
      <w:pPr>
        <w:jc w:val="center"/>
      </w:pPr>
      <w:r>
        <w:rPr>
          <w:rFonts w:ascii="Arial" w:cs="Arial" w:eastAsia="Arial" w:hAnsi="Arial"/>
          <w:color w:val="888888"/>
          <w:spacing w:val="100"/>
          <w:sz w:val="18"/>
          <w:szCs w:val="18"/>
        </w:rPr>
        <w:t xml:space="preserve">WORKING DRAFT — v1.0</w:t>
      </w:r>
    </w:p>
    <w:p>
      <w:r>
        <w:br w:type="page"/>
      </w:r>
    </w:p>
    <w:p>
      <w:pPr>
        <w:spacing w:before="1600" w:after="1600"/>
      </w:pPr>
    </w:p>
    <w:p>
      <w:pPr>
        <w:spacing w:before="200" w:after="60" w:line="340"/>
        <w:jc w:val="center"/>
      </w:pPr>
      <w:r>
        <w:rPr>
          <w:rFonts w:ascii="Georgia" w:cs="Georgia" w:eastAsia="Georgia" w:hAnsi="Georgia"/>
          <w:i/>
          <w:iCs/>
          <w:color w:val="555555"/>
          <w:sz w:val="24"/>
          <w:szCs w:val="24"/>
        </w:rPr>
        <w:t xml:space="preserve">“Build technologies that shift the offense/defense balance toward defense, and do so in a way that does not rely on handing over more power to centralized authorities.”</w:t>
      </w:r>
    </w:p>
    <w:p>
      <w:pPr>
        <w:spacing w:before="0" w:after="240"/>
        <w:jc w:val="center"/>
      </w:pPr>
      <w:r>
        <w:rPr>
          <w:rFonts w:ascii="Georgia" w:cs="Georgia" w:eastAsia="Georgia" w:hAnsi="Georgia"/>
          <w:color w:val="888888"/>
          <w:sz w:val="20"/>
          <w:szCs w:val="20"/>
        </w:rPr>
        <w:t xml:space="preserve">— Vitalik Buterin, My Techno-Optimism (2023)</w:t>
      </w:r>
    </w:p>
    <w:p>
      <w:pPr>
        <w:spacing w:before="600" w:after="600"/>
      </w:pPr>
    </w:p>
    <w:p>
      <w:pPr>
        <w:spacing w:before="200" w:after="60" w:line="340"/>
        <w:jc w:val="center"/>
      </w:pPr>
      <w:r>
        <w:rPr>
          <w:rFonts w:ascii="Georgia" w:cs="Georgia" w:eastAsia="Georgia" w:hAnsi="Georgia"/>
          <w:i/>
          <w:iCs/>
          <w:color w:val="555555"/>
          <w:sz w:val="24"/>
          <w:szCs w:val="24"/>
        </w:rPr>
        <w:t xml:space="preserve">“We need active human intention to choose the directions that we want, as the formula of ‘maximize profit’ will not arrive at them automatically.”</w:t>
      </w:r>
    </w:p>
    <w:p>
      <w:pPr>
        <w:spacing w:before="0" w:after="240"/>
        <w:jc w:val="center"/>
      </w:pPr>
      <w:r>
        <w:rPr>
          <w:rFonts w:ascii="Georgia" w:cs="Georgia" w:eastAsia="Georgia" w:hAnsi="Georgia"/>
          <w:color w:val="888888"/>
          <w:sz w:val="20"/>
          <w:szCs w:val="20"/>
        </w:rPr>
        <w:t xml:space="preserve">— Vitalik Buterin, d/acc: One Year Later (2025)</w:t>
      </w:r>
    </w:p>
    <w:p>
      <w:r>
        <w:br w:type="page"/>
      </w:r>
    </w:p>
    <w:p>
      <w:pPr>
        <w:pStyle w:val="Heading1"/>
        <w:spacing w:before="400" w:after="200"/>
      </w:pPr>
      <w:r>
        <w:rPr>
          <w:rFonts w:ascii="Arial" w:cs="Arial" w:eastAsia="Arial" w:hAnsi="Arial"/>
          <w:b/>
          <w:bCs/>
          <w:color w:val="1A1A2E"/>
          <w:sz w:val="36"/>
          <w:szCs w:val="36"/>
        </w:rPr>
        <w:t xml:space="preserve">Abstract</w:t>
      </w:r>
    </w:p>
    <w:p>
      <w:pPr>
        <w:spacing w:before="60" w:after="120" w:line="340"/>
      </w:pPr>
      <w:r>
        <w:rPr>
          <w:rFonts w:ascii="Georgia" w:cs="Georgia" w:eastAsia="Georgia" w:hAnsi="Georgia"/>
          <w:color w:val="222222"/>
          <w:sz w:val="22"/>
          <w:szCs w:val="22"/>
        </w:rPr>
        <w:t xml:space="preserve">This paper formalizes defensive accelerationism (d/acc) as a unified theoretical framework spanning game theory, mechanism design, information theory, and complexity economics. It provides three contributions. First, it establishes the theoretical foundations that explain why d/acc technologies work: the offense/defense cost balance, the trust substitution thesis, and the anti-rival economics of defensive public goods. Second, it proposes a canonical multi-dimensional taxonomy that extends Vitalik Buterin’s original framework with eight trust domains, six technology stack layers, four functional roles, and a dynamic breakaway classification system. Third, it translates these theoretical structures into a practical capital allocation strategy, demonstrating that d/acc investment is not a concession to social impact but a structurally superior approach to value creation in anti-rival technology markets.</w:t>
      </w:r>
    </w:p>
    <w:p>
      <w:pPr>
        <w:spacing w:before="120" w:after="120"/>
      </w:pPr>
    </w:p>
    <w:p>
      <w:pPr>
        <w:spacing w:before="60" w:after="120" w:line="340"/>
      </w:pPr>
      <w:r>
        <w:rPr>
          <w:rFonts w:ascii="Georgia" w:cs="Georgia" w:eastAsia="Georgia" w:hAnsi="Georgia"/>
          <w:color w:val="222222"/>
          <w:sz w:val="22"/>
          <w:szCs w:val="22"/>
        </w:rPr>
        <w:t xml:space="preserve">The central finding is this: d/acc is a design pattern for civilizational immune systems. Every defensive technology in the taxonomy maps onto a specific immune function—distributed defense, adaptive learning, self/non-self recognition, multi-layered protection, proportional response, memory, and regeneration. This isomorphism is not decorative. It reveals structural gaps in the current taxonomy, validates existing category assignments, and provides a heuristic for evaluating whether a portfolio achieves comprehensive civilizational coverage.</w:t>
      </w:r>
    </w:p>
    <w:p>
      <w:pPr>
        <w:pBdr>
          <w:bottom w:val="single" w:color="D0D5DD" w:sz="1" w:space="8"/>
        </w:pBdr>
        <w:spacing w:before="300" w:after="300"/>
      </w:pPr>
    </w:p>
    <w:p>
      <w:pPr>
        <w:pStyle w:val="Heading1"/>
        <w:spacing w:before="400" w:after="200"/>
      </w:pPr>
      <w:r>
        <w:rPr>
          <w:rFonts w:ascii="Arial" w:cs="Arial" w:eastAsia="Arial" w:hAnsi="Arial"/>
          <w:b/>
          <w:bCs/>
          <w:color w:val="1A1A2E"/>
          <w:sz w:val="36"/>
          <w:szCs w:val="36"/>
        </w:rPr>
        <w:t xml:space="preserve">1. Introduction: The Problem of Power Concentration</w:t>
      </w:r>
    </w:p>
    <w:p>
      <w:pPr>
        <w:spacing w:before="60" w:after="120" w:line="340"/>
      </w:pPr>
      <w:r>
        <w:rPr>
          <w:rFonts w:ascii="Georgia" w:cs="Georgia" w:eastAsia="Georgia" w:hAnsi="Georgia"/>
          <w:color w:val="222222"/>
          <w:sz w:val="22"/>
          <w:szCs w:val="22"/>
        </w:rPr>
        <w:t xml:space="preserve">Throughout history, a single structural asymmetry has driven the concentration of power: it has been cheaper to attack than to defend, and cheaper to centralize than to coordinate. States emerged because individuals could not defend themselves against organized violence. Banks emerged because individuals could not verify counterparty trustworthiness. Media institutions emerged because individuals could not independently verify claims about the world. In each case, the solution to a coordination or defense problem was the creation of a centralized intermediary—an institution empowered to act on behalf of many.</w:t>
      </w:r>
    </w:p>
    <w:p>
      <w:pPr>
        <w:spacing w:before="60" w:after="120" w:line="340"/>
      </w:pPr>
      <w:r>
        <w:rPr>
          <w:rFonts w:ascii="Georgia" w:cs="Georgia" w:eastAsia="Georgia" w:hAnsi="Georgia"/>
          <w:color w:val="222222"/>
          <w:sz w:val="22"/>
          <w:szCs w:val="22"/>
        </w:rPr>
        <w:t xml:space="preserve">This pattern is not accidental. Ronald Coase demonstrated in 1937 that firms exist because transaction costs make peer-to-peer coordination more expensive than hierarchical coordination. The logic extends beyond firms: any coordination problem with high transaction costs will tend to produce centralized solutions. States, banks, media companies, identity providers, and supply chain intermediaries are all Coasean institutions—they exist because the alternative (direct peer-to-peer coordination) was historically impractical.</w:t>
      </w:r>
    </w:p>
    <w:p>
      <w:pPr>
        <w:spacing w:before="60" w:after="120" w:line="340"/>
      </w:pPr>
      <w:r>
        <w:rPr>
          <w:rFonts w:ascii="Georgia" w:cs="Georgia" w:eastAsia="Georgia" w:hAnsi="Georgia"/>
          <w:color w:val="222222"/>
          <w:sz w:val="22"/>
          <w:szCs w:val="22"/>
        </w:rPr>
        <w:t xml:space="preserve">The cost of this arrangement is well-documented. Centralized institutions become honeypots—high-value targets for adversaries. They develop principal-agent problems—the interests of the institution diverge from the interests of its constituents. They create single points of failure—the collapse of one institution cascades through all who depend on it. And they accumulate power over time—mission creep transforms protective institutions into controlling ones.</w:t>
      </w:r>
    </w:p>
    <w:p>
      <w:pPr>
        <w:spacing w:before="60" w:after="120" w:line="340"/>
      </w:pPr>
      <w:r>
        <w:rPr>
          <w:rFonts w:ascii="Georgia" w:cs="Georgia" w:eastAsia="Georgia" w:hAnsi="Georgia"/>
          <w:color w:val="222222"/>
          <w:sz w:val="22"/>
          <w:szCs w:val="22"/>
        </w:rPr>
        <w:t xml:space="preserve">Vitalik Buterin’s defensive accelerationism (d/acc) framework, introduced in “My Techno-Optimism” (November 2023) and refined in “d/acc: One Year Later” (January 2025), identifies a class of technologies that can structurally alter this dynamic. These are technologies that make defense cheap, coordination cheap, and verification cheap—simultaneously. They don’t merely improve existing institutions; they eliminate the structural conditions that made centralized institutions necessary in the first place.</w:t>
      </w:r>
    </w:p>
    <w:p>
      <w:pPr>
        <w:spacing w:before="60" w:after="120" w:line="340"/>
      </w:pPr>
      <w:r>
        <w:rPr>
          <w:rFonts w:ascii="Georgia" w:cs="Georgia" w:eastAsia="Georgia" w:hAnsi="Georgia"/>
          <w:color w:val="222222"/>
          <w:sz w:val="22"/>
          <w:szCs w:val="22"/>
        </w:rPr>
        <w:t xml:space="preserve">This paper formalizes that intuition into a rigorous framework. It provides the theoretical foundations that Buterin’s original essays implied but did not formalize, proposes a canonical taxonomy suitable for both academic reference and practical capital allocation, and demonstrates why d/acc investment is not merely ethically preferable but economically superior to conventional technology investing.</w:t>
      </w:r>
    </w:p>
    <w:p>
      <w:pPr>
        <w:pBdr>
          <w:bottom w:val="single" w:color="D0D5DD" w:sz="1" w:space="8"/>
        </w:pBdr>
        <w:spacing w:before="300" w:after="300"/>
      </w:pPr>
    </w:p>
    <w:p>
      <w:pPr>
        <w:pStyle w:val="Heading1"/>
        <w:spacing w:before="400" w:after="200"/>
      </w:pPr>
      <w:r>
        <w:rPr>
          <w:rFonts w:ascii="Arial" w:cs="Arial" w:eastAsia="Arial" w:hAnsi="Arial"/>
          <w:b/>
          <w:bCs/>
          <w:color w:val="1A1A2E"/>
          <w:sz w:val="36"/>
          <w:szCs w:val="36"/>
        </w:rPr>
        <w:t xml:space="preserve">2. Theoretical Foundations</w:t>
      </w:r>
    </w:p>
    <w:p>
      <w:pPr>
        <w:spacing w:before="60" w:after="120" w:line="340"/>
      </w:pPr>
      <w:r>
        <w:rPr>
          <w:rFonts w:ascii="Georgia" w:cs="Georgia" w:eastAsia="Georgia" w:hAnsi="Georgia"/>
          <w:color w:val="222222"/>
          <w:sz w:val="22"/>
          <w:szCs w:val="22"/>
        </w:rPr>
        <w:t xml:space="preserve">The d/acc framework rests on three theoretical pillars. Each draws from an established discipline—game theory, information theory, and mechanism design—and each explains a different dimension of why defensive technologies create value. Together, they provide a complete theory of d/acc as an economic and social phenomenon.</w:t>
      </w:r>
    </w:p>
    <w:p>
      <w:pPr>
        <w:pStyle w:val="Heading2"/>
        <w:spacing w:before="320" w:after="160"/>
      </w:pPr>
      <w:r>
        <w:rPr>
          <w:rFonts w:ascii="Arial" w:cs="Arial" w:eastAsia="Arial" w:hAnsi="Arial"/>
          <w:b/>
          <w:bCs/>
          <w:color w:val="2D5F8A"/>
          <w:sz w:val="28"/>
          <w:szCs w:val="28"/>
        </w:rPr>
        <w:t xml:space="preserve">2.1 Pillar I: The Offense/Defense Balance</w:t>
      </w:r>
    </w:p>
    <w:p>
      <w:pPr>
        <w:spacing w:before="60" w:after="120" w:line="340"/>
      </w:pPr>
      <w:r>
        <w:rPr>
          <w:rFonts w:ascii="Georgia" w:cs="Georgia" w:eastAsia="Georgia" w:hAnsi="Georgia"/>
          <w:i/>
          <w:iCs/>
          <w:color w:val="555555"/>
          <w:sz w:val="22"/>
          <w:szCs w:val="22"/>
        </w:rPr>
        <w:t xml:space="preserve">Foundation: Game Theory and Security Economics</w:t>
      </w:r>
    </w:p>
    <w:p>
      <w:pPr>
        <w:spacing w:before="60" w:after="60"/>
      </w:pPr>
    </w:p>
    <w:p>
      <w:pPr>
        <w:spacing w:before="60" w:after="120" w:line="340"/>
      </w:pPr>
      <w:r>
        <w:rPr>
          <w:rFonts w:ascii="Georgia" w:cs="Georgia" w:eastAsia="Georgia" w:hAnsi="Georgia"/>
          <w:color w:val="222222"/>
          <w:sz w:val="22"/>
          <w:szCs w:val="22"/>
        </w:rPr>
        <w:t xml:space="preserve">Every adversarial interaction—from warfare to cybersecurity to financial fraud—can be modeled as a game between an attacker and a defender. The attacker commits resources to offense; the defender commits resources to defense. The equilibrium of this game depends on a single structural parameter: the ratio of the cost of offense to the cost of defense.</w:t>
      </w:r>
    </w:p>
    <w:p>
      <w:pPr>
        <w:spacing w:before="60" w:after="120" w:line="340"/>
      </w:pPr>
      <w:r>
        <w:rPr>
          <w:rFonts w:ascii="Georgia" w:cs="Georgia" w:eastAsia="Georgia" w:hAnsi="Georgia"/>
          <w:color w:val="222222"/>
          <w:sz w:val="22"/>
          <w:szCs w:val="22"/>
        </w:rPr>
        <w:t xml:space="preserve">When offense is cheap relative to defense, the equilibrium has specific, predictable properties. Only large institutions can afford meaningful defense, because effective defense requires scale. Individuals must surrender autonomy in exchange for institutional protection. Power concentrates in the hands of institutional defenders—states, corporations, security agencies. These institutions become high-value targets, inviting ever-more-sophisticated attacks. An arms race ensues, with both sides escalating expenditure.</w:t>
      </w:r>
    </w:p>
    <w:p>
      <w:pPr>
        <w:spacing w:before="60" w:after="120" w:line="340"/>
      </w:pPr>
      <w:r>
        <w:rPr>
          <w:rFonts w:ascii="Georgia" w:cs="Georgia" w:eastAsia="Georgia" w:hAnsi="Georgia"/>
          <w:color w:val="222222"/>
          <w:sz w:val="22"/>
          <w:szCs w:val="22"/>
        </w:rPr>
        <w:t xml:space="preserve">When defense is cheap relative to offense, the equilibrium inverts. Individuals can afford their own defense. Trust becomes mathematical rather than institutional—you verify a cryptographic proof rather than trusting a counterparty’s reputation. Power distributes, because there is no longer an economic advantage to concentration. No honeypots exist, because data and authority are distributed. And cooperation becomes the dominant strategy, because the cost of being exploited is bounded by cheap individual defense while the benefits of coordination are amplified by cheap collective action.</w:t>
      </w:r>
    </w:p>
    <w:p>
      <w:pPr>
        <w:spacing w:before="60" w:after="120" w:line="340"/>
      </w:pPr>
      <w:r>
        <w:rPr>
          <w:rFonts w:ascii="Georgia" w:cs="Georgia" w:eastAsia="Georgia" w:hAnsi="Georgia"/>
          <w:color w:val="222222"/>
          <w:sz w:val="22"/>
          <w:szCs w:val="22"/>
        </w:rPr>
        <w:t xml:space="preserve">This is not an analogy. It is the literal mechanism by which d/acc technologies create value. Every technology in the d/acc taxonomy operates on the offense/defense cost ratio in a specific domain. Zero-knowledge proofs reduce the cost of verification from “autdit an entire system” to “check a mathematical proof.” Fully homomorphic encryption reduces the cost of data defense from “secure a perimeter” to “encrypt once, compute forever.” Open-source hardware reduces the cost of hardware trust from “audit a proprietary manufacturer” to “verify an open design.”</w:t>
      </w:r>
    </w:p>
    <w:p>
      <w:pPr>
        <w:pStyle w:val="Heading3"/>
        <w:spacing w:before="240" w:after="120"/>
      </w:pPr>
      <w:r>
        <w:rPr>
          <w:rFonts w:ascii="Arial" w:cs="Arial" w:eastAsia="Arial" w:hAnsi="Arial"/>
          <w:b/>
          <w:bCs/>
          <w:color w:val="222222"/>
          <w:sz w:val="24"/>
          <w:szCs w:val="24"/>
        </w:rPr>
        <w:t xml:space="preserve">The Three-Variable Intervention</w:t>
      </w:r>
    </w:p>
    <w:p>
      <w:pPr>
        <w:spacing w:before="60" w:after="120" w:line="340"/>
      </w:pPr>
      <w:r>
        <w:rPr>
          <w:rFonts w:ascii="Georgia" w:cs="Georgia" w:eastAsia="Georgia" w:hAnsi="Georgia"/>
          <w:color w:val="222222"/>
          <w:sz w:val="22"/>
          <w:szCs w:val="22"/>
        </w:rPr>
        <w:t xml:space="preserve">d/acc technologies are distinctive because they intervene on three variables simultaneously, not just one:</w:t>
      </w:r>
    </w:p>
    <w:p>
      <w:pPr>
        <w:pStyle w:val="ListParagraph"/>
        <w:numPr>
          <w:ilvl w:val="0"/>
          <w:numId w:val="2"/>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Cost Reduction.</w:t>
      </w:r>
      <w:r>
        <w:rPr>
          <w:rFonts w:ascii="Georgia" w:cs="Georgia" w:eastAsia="Georgia" w:hAnsi="Georgia"/>
          <w:color w:val="222222"/>
          <w:sz w:val="22"/>
          <w:szCs w:val="22"/>
        </w:rPr>
        <w:t xml:space="preserve"> They reduce the cost of defense dramatically. A single ZK circuit can verify millions of transactions. A single encryption key protects all communications. A single open-source hardware design serves millions of devices. The marginal cost of defense approaches zero while the fixed cost of initial development is amortized across all users.</w:t>
      </w:r>
    </w:p>
    <w:p>
      <w:pPr>
        <w:pStyle w:val="ListParagraph"/>
        <w:numPr>
          <w:ilvl w:val="0"/>
          <w:numId w:val="2"/>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Effectiveness Increase.</w:t>
      </w:r>
      <w:r>
        <w:rPr>
          <w:rFonts w:ascii="Georgia" w:cs="Georgia" w:eastAsia="Georgia" w:hAnsi="Georgia"/>
          <w:color w:val="222222"/>
          <w:sz w:val="22"/>
          <w:szCs w:val="22"/>
        </w:rPr>
        <w:t xml:space="preserve"> They make defense qualitatively better, not merely cheaper. Fully homomorphic encryption does not merely protect data more efficiently—it makes data breaches structurally meaningless, because the data was never decrypted. Formal verification does not merely catch more bugs—it makes entire classes of exploits mathematically impossible. This is a categorical improvement, not an incremental one.</w:t>
      </w:r>
    </w:p>
    <w:p>
      <w:pPr>
        <w:pStyle w:val="ListParagraph"/>
        <w:numPr>
          <w:ilvl w:val="0"/>
          <w:numId w:val="2"/>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Coordination Cost Collapse.</w:t>
      </w:r>
      <w:r>
        <w:rPr>
          <w:rFonts w:ascii="Georgia" w:cs="Georgia" w:eastAsia="Georgia" w:hAnsi="Georgia"/>
          <w:color w:val="222222"/>
          <w:sz w:val="22"/>
          <w:szCs w:val="22"/>
        </w:rPr>
        <w:t xml:space="preserve"> They make collective defense cheap. Bug bounty platforms coordinate security research across thousands of researchers without centralized management. Multisig wallets distribute custody across multiple parties without committees. Decentralized autonomous organizations coordinate resource allocation for defensive infrastructure without bureaucracies.</w:t>
      </w:r>
    </w:p>
    <w:p>
      <w:pPr>
        <w:spacing w:before="60" w:after="120" w:line="340"/>
      </w:pPr>
      <w:r>
        <w:rPr>
          <w:rFonts w:ascii="Georgia" w:cs="Georgia" w:eastAsia="Georgia" w:hAnsi="Georgia"/>
          <w:color w:val="222222"/>
          <w:sz w:val="22"/>
          <w:szCs w:val="22"/>
        </w:rPr>
        <w:t xml:space="preserve">When all three variables shift simultaneously, the Nash equilibrium undergoes a qualitative transition. The game changes from one in which concentrating power is the rational strategy to one in which distributing power is the rational strategy. This is not a policy preference or an ethical judgment. It is a mathematical consequence of changed cost structures.</w:t>
      </w:r>
    </w:p>
    <w:p>
      <w:pPr>
        <w:pStyle w:val="Heading3"/>
        <w:spacing w:before="240" w:after="120"/>
      </w:pPr>
      <w:r>
        <w:rPr>
          <w:rFonts w:ascii="Arial" w:cs="Arial" w:eastAsia="Arial" w:hAnsi="Arial"/>
          <w:b/>
          <w:bCs/>
          <w:color w:val="222222"/>
          <w:sz w:val="24"/>
          <w:szCs w:val="24"/>
        </w:rPr>
        <w:t xml:space="preserve">Investment Implication</w:t>
      </w:r>
    </w:p>
    <w:p>
      <w:pPr>
        <w:spacing w:before="60" w:after="120" w:line="340"/>
      </w:pPr>
      <w:r>
        <w:rPr>
          <w:rFonts w:ascii="Georgia" w:cs="Georgia" w:eastAsia="Georgia" w:hAnsi="Georgia"/>
          <w:color w:val="222222"/>
          <w:sz w:val="22"/>
          <w:szCs w:val="22"/>
        </w:rPr>
        <w:t xml:space="preserve">The highest-value d/acc investments are those that most dramatically shift the offense/defense cost ratio in the largest trust domains. This is the formal justification for prioritizing zero-knowledge infrastructure and fully homomorphic encryption: they shift the cost ratio for all verification and all computation, respectively—the two broadest possible domains.</w:t>
      </w:r>
    </w:p>
    <w:p>
      <w:pPr>
        <w:pStyle w:val="Heading2"/>
        <w:spacing w:before="320" w:after="160"/>
      </w:pPr>
      <w:r>
        <w:rPr>
          <w:rFonts w:ascii="Arial" w:cs="Arial" w:eastAsia="Arial" w:hAnsi="Arial"/>
          <w:b/>
          <w:bCs/>
          <w:color w:val="2D5F8A"/>
          <w:sz w:val="28"/>
          <w:szCs w:val="28"/>
        </w:rPr>
        <w:t xml:space="preserve">2.2 Pillar II: The Trust Substitution Thesis</w:t>
      </w:r>
    </w:p>
    <w:p>
      <w:pPr>
        <w:spacing w:before="60" w:after="120" w:line="340"/>
      </w:pPr>
      <w:r>
        <w:rPr>
          <w:rFonts w:ascii="Georgia" w:cs="Georgia" w:eastAsia="Georgia" w:hAnsi="Georgia"/>
          <w:i/>
          <w:iCs/>
          <w:color w:val="555555"/>
          <w:sz w:val="22"/>
          <w:szCs w:val="22"/>
        </w:rPr>
        <w:t xml:space="preserve">Foundation: Information Theory and Institutional Economics</w:t>
      </w:r>
    </w:p>
    <w:p>
      <w:pPr>
        <w:spacing w:before="60" w:after="60"/>
      </w:pPr>
    </w:p>
    <w:p>
      <w:pPr>
        <w:spacing w:before="60" w:after="120" w:line="340"/>
      </w:pPr>
      <w:r>
        <w:rPr>
          <w:rFonts w:ascii="Georgia" w:cs="Georgia" w:eastAsia="Georgia" w:hAnsi="Georgia"/>
          <w:color w:val="222222"/>
          <w:sz w:val="22"/>
          <w:szCs w:val="22"/>
        </w:rPr>
        <w:t xml:space="preserve">Every sector in the d/acc taxonomy—without exception—performs a single fundamental operation: it takes a trust relationship that currently requires a centralized intermediary and replaces it with a decentralized mechanism that is verifiable, composable, and resistant to capture. We call this operation trust substitution.</w:t>
      </w:r>
    </w:p>
    <w:p>
      <w:pPr>
        <w:spacing w:before="60" w:after="120" w:line="340"/>
      </w:pPr>
      <w:r>
        <w:rPr>
          <w:rFonts w:ascii="Georgia" w:cs="Georgia" w:eastAsia="Georgia" w:hAnsi="Georgia"/>
          <w:color w:val="222222"/>
          <w:sz w:val="22"/>
          <w:szCs w:val="22"/>
        </w:rPr>
        <w:t xml:space="preserve">Trust substitution is not trustlessness. It is the replacement of one form of trust (institutional, opaque, revocable) with another form of trust (mathematical, transparent, sovereign). When you use a zero-knowledge proof, you are not eliminating trust—you are trusting mathematics instead of a counterparty. When you use a decentralized identity system, you are not eliminating credentials—you are trusting self-sovereign attestations instead of a platform-controlled database. The operation is substitution, not elimination.</w:t>
      </w:r>
    </w:p>
    <w:p>
      <w:pPr>
        <w:spacing w:before="60" w:after="120" w:line="340"/>
      </w:pPr>
      <w:r>
        <w:rPr>
          <w:rFonts w:ascii="Georgia" w:cs="Georgia" w:eastAsia="Georgia" w:hAnsi="Georgia"/>
          <w:color w:val="222222"/>
          <w:sz w:val="22"/>
          <w:szCs w:val="22"/>
        </w:rPr>
        <w:t xml:space="preserve">The completeness of this pattern across all d/acc sectors is remarkable. It holds for every sector we have analyzed, from digital defense to physical coordination: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Sector</w:t>
            </w:r>
          </w:p>
        </w:tc>
        <w:tc>
          <w:tcPr>
            <w:tcW w:type="dxa" w:w="32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Institutional Trust (Old)</w:t>
            </w:r>
          </w:p>
        </w:tc>
        <w:tc>
          <w:tcPr>
            <w:tcW w:type="dxa" w:w="32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Mathematical Trust (New)</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ZK Systems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counterparty</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math</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Privacy Computing</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operator</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computation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Decentralized Identity</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identity provider</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attestation</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Secure Communication</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platform</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protocol</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Formal Verification</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auditor</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proof</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Epistemic Infrastructure</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media</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market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Governance Tooling</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governors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governance protocol</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Decentralized Money</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central bank</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algorithm</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Biodefense &amp; Health</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institution</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infrastructure</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Open Source Hardware</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manufacturer</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open design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Decentralized Energy</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utility</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grid protocol</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Oracle Networks</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reporter</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aggregation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AI Verification</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AI provider</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the verifiable inference</w:t>
            </w:r>
          </w:p>
        </w:tc>
      </w:tr>
    </w:tbl>
    <w:p>
      <w:pPr>
        <w:spacing w:before="120" w:after="120"/>
      </w:pPr>
    </w:p>
    <w:p>
      <w:pPr>
        <w:spacing w:before="60" w:after="120" w:line="340"/>
      </w:pPr>
      <w:r>
        <w:rPr>
          <w:rFonts w:ascii="Georgia" w:cs="Georgia" w:eastAsia="Georgia" w:hAnsi="Georgia"/>
          <w:color w:val="222222"/>
          <w:sz w:val="22"/>
          <w:szCs w:val="22"/>
        </w:rPr>
        <w:t xml:space="preserve">This universality is significant. It means the d/acc taxonomy is not an ad hoc collection of “good technologies.” It is a systematically identifiable class: technologies that perform trust substitution—replacing institutional dependencies with mathematical mechanisms. Any technology that performs this operation in a domain not yet covered by the taxonomy is a candidate for inclusion. Any technology that does not perform this operation is, by definition, outside the scope of d/acc, regardless of how beneficial it may otherwise be.</w:t>
      </w:r>
    </w:p>
    <w:p>
      <w:pPr>
        <w:pStyle w:val="Heading3"/>
        <w:spacing w:before="240" w:after="120"/>
      </w:pPr>
      <w:r>
        <w:rPr>
          <w:rFonts w:ascii="Arial" w:cs="Arial" w:eastAsia="Arial" w:hAnsi="Arial"/>
          <w:b/>
          <w:bCs/>
          <w:color w:val="222222"/>
          <w:sz w:val="24"/>
          <w:szCs w:val="24"/>
        </w:rPr>
        <w:t xml:space="preserve">The Trust Domain Concept</w:t>
      </w:r>
    </w:p>
    <w:p>
      <w:pPr>
        <w:spacing w:before="60" w:after="120" w:line="340"/>
      </w:pPr>
      <w:r>
        <w:rPr>
          <w:rFonts w:ascii="Georgia" w:cs="Georgia" w:eastAsia="Georgia" w:hAnsi="Georgia"/>
          <w:color w:val="222222"/>
          <w:sz w:val="22"/>
          <w:szCs w:val="22"/>
        </w:rPr>
        <w:t xml:space="preserve">Trust substitution implies that d/acc technologies can be classified by which trust relationship they decentralize. We identify eight fundamental trust domains—irreducible categories of trust that span the full range of human coordination: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Trust Domain</w:t>
            </w:r>
          </w:p>
        </w:tc>
        <w:tc>
          <w:tcPr>
            <w:tcW w:type="dxa" w:w="6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Core Question</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1</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Computational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Can I trust the output of this computation?</w:t>
            </w:r>
          </w:p>
        </w:tc>
      </w:tr>
      <w:tr>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2</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Identity</w:t>
            </w:r>
          </w:p>
        </w:tc>
        <w:tc>
          <w:tcPr>
            <w:tcW w:type="dxa" w:w="6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Can I trust who I am dealing with?</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Monetary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Can I trust the medium of exchange?</w:t>
            </w:r>
          </w:p>
        </w:tc>
      </w:tr>
      <w:tr>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4</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Epistemic</w:t>
            </w:r>
          </w:p>
        </w:tc>
        <w:tc>
          <w:tcPr>
            <w:tcW w:type="dxa" w:w="6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Can I trust what I believe I know?</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5</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Coordination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Can I trust that collective action will occur?</w:t>
            </w:r>
          </w:p>
        </w:tc>
      </w:tr>
      <w:tr>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6</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Physical</w:t>
            </w:r>
          </w:p>
        </w:tc>
        <w:tc>
          <w:tcPr>
            <w:tcW w:type="dxa" w:w="6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Can I trust my physical infrastructure?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7</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Communication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Can I trust my messages are private and authentic?</w:t>
            </w:r>
          </w:p>
        </w:tc>
      </w:tr>
      <w:tr>
        <w:tc>
          <w:tcPr>
            <w:tcW w:type="dxa" w:w="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8</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Agentic</w:t>
            </w:r>
          </w:p>
        </w:tc>
        <w:tc>
          <w:tcPr>
            <w:tcW w:type="dxa" w:w="6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Can I trust autonomous agent behavior?</w:t>
            </w:r>
          </w:p>
        </w:tc>
      </w:tr>
    </w:tbl>
    <w:p>
      <w:pPr>
        <w:spacing w:before="60" w:after="60"/>
      </w:pPr>
    </w:p>
    <w:p>
      <w:pPr>
        <w:spacing w:before="60" w:after="120" w:line="340"/>
      </w:pPr>
      <w:r>
        <w:rPr>
          <w:rFonts w:ascii="Georgia" w:cs="Georgia" w:eastAsia="Georgia" w:hAnsi="Georgia"/>
          <w:color w:val="222222"/>
          <w:sz w:val="22"/>
          <w:szCs w:val="22"/>
        </w:rPr>
        <w:t xml:space="preserve">These eight domains are proposed as exhaustive: every trust relationship relevant to human civilization falls within one of them. The eighth domain—Agentic Trust—is a new addition reflecting the emergence of AI systems as autonomous actors in economic and social life. The need for verifiable AI inference, humanness proofs, and decentralized AI training all fall within this domain.</w:t>
      </w:r>
    </w:p>
    <w:p>
      <w:pPr>
        <w:pStyle w:val="Heading2"/>
        <w:spacing w:before="320" w:after="160"/>
      </w:pPr>
      <w:r>
        <w:rPr>
          <w:rFonts w:ascii="Arial" w:cs="Arial" w:eastAsia="Arial" w:hAnsi="Arial"/>
          <w:b/>
          <w:bCs/>
          <w:color w:val="2D5F8A"/>
          <w:sz w:val="28"/>
          <w:szCs w:val="28"/>
        </w:rPr>
        <w:t xml:space="preserve">2.3 Pillar III: Anti-Rival Economics</w:t>
      </w:r>
    </w:p>
    <w:p>
      <w:pPr>
        <w:spacing w:before="60" w:after="120" w:line="340"/>
      </w:pPr>
      <w:r>
        <w:rPr>
          <w:rFonts w:ascii="Georgia" w:cs="Georgia" w:eastAsia="Georgia" w:hAnsi="Georgia"/>
          <w:i/>
          <w:iCs/>
          <w:color w:val="555555"/>
          <w:sz w:val="22"/>
          <w:szCs w:val="22"/>
        </w:rPr>
        <w:t xml:space="preserve">Foundation: Mechanism Design and Public Goods Theory</w:t>
      </w:r>
    </w:p>
    <w:p>
      <w:pPr>
        <w:spacing w:before="60" w:after="60"/>
      </w:pPr>
    </w:p>
    <w:p>
      <w:pPr>
        <w:spacing w:before="60" w:after="120" w:line="340"/>
      </w:pPr>
      <w:r>
        <w:rPr>
          <w:rFonts w:ascii="Georgia" w:cs="Georgia" w:eastAsia="Georgia" w:hAnsi="Georgia"/>
          <w:color w:val="222222"/>
          <w:sz w:val="22"/>
          <w:szCs w:val="22"/>
        </w:rPr>
        <w:t xml:space="preserve">This pillar establishes why d/acc is not a form of “impact investing” and why characterizing it as such fundamentally misunderstands its economic properties.</w:t>
      </w:r>
    </w:p>
    <w:p>
      <w:pPr>
        <w:spacing w:before="60" w:after="120" w:line="340"/>
      </w:pPr>
      <w:r>
        <w:rPr>
          <w:rFonts w:ascii="Georgia" w:cs="Georgia" w:eastAsia="Georgia" w:hAnsi="Georgia"/>
          <w:color w:val="222222"/>
          <w:sz w:val="22"/>
          <w:szCs w:val="22"/>
        </w:rPr>
        <w:t xml:space="preserve">In conventional impact investing, there is a well-documented tradeoff between financial returns and social benefit. You accept lower returns in exchange for social good. This tradeoff exists because most social goods are public goods—non-excludable and non-rivalrous—which means the investor cannot capture a proportionate share of the value they create. Impact investors accept this leakage as the cost of doing good.</w:t>
      </w:r>
    </w:p>
    <w:p>
      <w:pPr>
        <w:spacing w:before="60" w:after="120" w:line="340"/>
      </w:pPr>
      <w:r>
        <w:rPr>
          <w:rFonts w:ascii="Georgia" w:cs="Georgia" w:eastAsia="Georgia" w:hAnsi="Georgia"/>
          <w:color w:val="222222"/>
          <w:sz w:val="22"/>
          <w:szCs w:val="22"/>
        </w:rPr>
        <w:t xml:space="preserve">d/acc technologies are structurally different. They are not public goods in the traditional sense. They are anti-rival goods—a category identified by Steven Weber and further developed by Joshua Gans and others—in which a good becomes more valuable to each individual user as more people use it. This is a stronger property than network effects:</w:t>
      </w:r>
    </w:p>
    <w:p>
      <w:pPr>
        <w:pStyle w:val="ListParagraph"/>
        <w:numPr>
          <w:ilvl w:val="0"/>
          <w:numId w:val="3"/>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Encryption:</w:t>
      </w:r>
      <w:r>
        <w:rPr>
          <w:rFonts w:ascii="Georgia" w:cs="Georgia" w:eastAsia="Georgia" w:hAnsi="Georgia"/>
          <w:color w:val="222222"/>
          <w:sz w:val="22"/>
          <w:szCs w:val="22"/>
        </w:rPr>
        <w:t xml:space="preserve"> If only one person uses end-to-end encryption, they are conspicuous—their encrypted communications draw attention. If everyone uses encryption, no individual user is distinguishable. Universal adoption doesn’t just protect more people; it makes protection qualitatively better for each person by eliminating metadata-based targeting.</w:t>
      </w:r>
    </w:p>
    <w:p>
      <w:pPr>
        <w:pStyle w:val="ListParagraph"/>
        <w:numPr>
          <w:ilvl w:val="0"/>
          <w:numId w:val="3"/>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ZK Identity:</w:t>
      </w:r>
      <w:r>
        <w:rPr>
          <w:rFonts w:ascii="Georgia" w:cs="Georgia" w:eastAsia="Georgia" w:hAnsi="Georgia"/>
          <w:color w:val="222222"/>
          <w:sz w:val="22"/>
          <w:szCs w:val="22"/>
        </w:rPr>
        <w:t xml:space="preserve"> A single zero-knowledge credential is a curiosity. A universal ZK credential system changes the fundamental structure of identity verification. The system is not merely larger—it is categorically different. Verifiers can accept ZK proofs as standard practice rather than as exotic exceptions.</w:t>
      </w:r>
    </w:p>
    <w:p>
      <w:pPr>
        <w:pStyle w:val="ListParagraph"/>
        <w:numPr>
          <w:ilvl w:val="0"/>
          <w:numId w:val="3"/>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Prediction Markets:</w:t>
      </w:r>
      <w:r>
        <w:rPr>
          <w:rFonts w:ascii="Georgia" w:cs="Georgia" w:eastAsia="Georgia" w:hAnsi="Georgia"/>
          <w:color w:val="222222"/>
          <w:sz w:val="22"/>
          <w:szCs w:val="22"/>
        </w:rPr>
        <w:t xml:space="preserve"> A small prediction market is a gambling venue with noisy signals. A large prediction market is an epistemic institution whose aggregate forecasts demonstrably outperform expert panels, media organizations, and intelligence agencies. Scale changes the nature of the good.</w:t>
      </w:r>
    </w:p>
    <w:p>
      <w:pPr>
        <w:pStyle w:val="ListParagraph"/>
        <w:numPr>
          <w:ilvl w:val="0"/>
          <w:numId w:val="3"/>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Quadratic Funding:</w:t>
      </w:r>
      <w:r>
        <w:rPr>
          <w:rFonts w:ascii="Georgia" w:cs="Georgia" w:eastAsia="Georgia" w:hAnsi="Georgia"/>
          <w:color w:val="222222"/>
          <w:sz w:val="22"/>
          <w:szCs w:val="22"/>
        </w:rPr>
        <w:t xml:space="preserve"> With 100 contributors, quadratic funding is an academic experiment. With 10 million contributors, it is a democratic funding mechanism whose allocation quality rivals or exceeds that of government budgeting processes. The mechanism’s power is a direct function of participation.</w:t>
      </w:r>
    </w:p>
    <w:p>
      <w:pPr>
        <w:spacing w:before="60" w:after="120" w:line="340"/>
      </w:pPr>
      <w:r>
        <w:rPr>
          <w:rFonts w:ascii="Georgia" w:cs="Georgia" w:eastAsia="Georgia" w:hAnsi="Georgia"/>
          <w:color w:val="222222"/>
          <w:sz w:val="22"/>
          <w:szCs w:val="22"/>
        </w:rPr>
        <w:t xml:space="preserve">The investment implication is profound: in anti-rival goods, the social benefit and the financial return are structurally identical. Wider adoption does not dilute returns—it amplifies them. Every new user makes the existing investment more valuable, not less. This means d/acc capital allocation faces no impact-return tradeoff. It is not philanthropic investing with a conscience. It is a structurally superior form of investing in technology markets characterized by anti-rivalry.</w:t>
      </w:r>
    </w:p>
    <w:p>
      <w:pPr>
        <w:pStyle w:val="Heading3"/>
        <w:spacing w:before="240" w:after="120"/>
      </w:pPr>
      <w:r>
        <w:rPr>
          <w:rFonts w:ascii="Arial" w:cs="Arial" w:eastAsia="Arial" w:hAnsi="Arial"/>
          <w:b/>
          <w:bCs/>
          <w:color w:val="222222"/>
          <w:sz w:val="24"/>
          <w:szCs w:val="24"/>
        </w:rPr>
        <w:t xml:space="preserve">The Defensive Commons</w:t>
      </w:r>
    </w:p>
    <w:p>
      <w:pPr>
        <w:spacing w:before="60" w:after="120" w:line="340"/>
      </w:pPr>
      <w:r>
        <w:rPr>
          <w:rFonts w:ascii="Georgia" w:cs="Georgia" w:eastAsia="Georgia" w:hAnsi="Georgia"/>
          <w:color w:val="222222"/>
          <w:sz w:val="22"/>
          <w:szCs w:val="22"/>
        </w:rPr>
        <w:t xml:space="preserve">The anti-rival property of defensive technologies produces what we term the Defensive Commons—a shared infrastructure of defense that strengthens with participation, in direct contrast to the well-known tragedy of the commons.</w:t>
      </w:r>
    </w:p>
    <w:p>
      <w:pPr>
        <w:spacing w:before="60" w:after="120" w:line="340"/>
      </w:pPr>
      <w:r>
        <w:rPr>
          <w:rFonts w:ascii="Georgia" w:cs="Georgia" w:eastAsia="Georgia" w:hAnsi="Georgia"/>
          <w:color w:val="222222"/>
          <w:sz w:val="22"/>
          <w:szCs w:val="22"/>
        </w:rPr>
        <w:t xml:space="preserve">In the traditional commons, shared resources deplete: each user’s consumption reduces what is available to others, and the rational individual strategy is overexploitation. In the defensive commons, shared resources compound: each user’s adoption of defensive infrastructure strengthens what is available to everyone, and the rational individual strategy is maximum participation. Every user who adopts encryption makes the network safer for all users. Every attestation added to an identity network makes all credentials in the network more valuable. Every participant in a prediction market improves the calibration of forecasts that all participants rely upon.</w:t>
      </w:r>
    </w:p>
    <w:p>
      <w:pPr>
        <w:spacing w:before="60" w:after="120" w:line="340"/>
      </w:pPr>
      <w:r>
        <w:rPr>
          <w:rFonts w:ascii="Georgia" w:cs="Georgia" w:eastAsia="Georgia" w:hAnsi="Georgia"/>
          <w:color w:val="222222"/>
          <w:sz w:val="22"/>
          <w:szCs w:val="22"/>
        </w:rPr>
        <w:t xml:space="preserve">This is the economic foundation for d/acc capital allocation as a rational, self-interested strategy—not merely as an altruistic one. The Defensive Commons means that d/acc investors are not subsidizing a public good; they are investing in an infrastructure that becomes exponentially more valuable as adoption grows.</w:t>
      </w:r>
    </w:p>
    <w:p>
      <w:pPr>
        <w:pBdr>
          <w:bottom w:val="single" w:color="D0D5DD" w:sz="1" w:space="8"/>
        </w:pBdr>
        <w:spacing w:before="300" w:after="300"/>
      </w:pPr>
    </w:p>
    <w:p>
      <w:pPr>
        <w:pStyle w:val="Heading1"/>
        <w:spacing w:before="400" w:after="200"/>
      </w:pPr>
      <w:r>
        <w:rPr>
          <w:rFonts w:ascii="Arial" w:cs="Arial" w:eastAsia="Arial" w:hAnsi="Arial"/>
          <w:b/>
          <w:bCs/>
          <w:color w:val="1A1A2E"/>
          <w:sz w:val="36"/>
          <w:szCs w:val="36"/>
        </w:rPr>
        <w:t xml:space="preserve">3. The Canonical Taxonomy</w:t>
      </w:r>
    </w:p>
    <w:p>
      <w:pPr>
        <w:spacing w:before="60" w:after="120" w:line="340"/>
      </w:pPr>
      <w:r>
        <w:rPr>
          <w:rFonts w:ascii="Georgia" w:cs="Georgia" w:eastAsia="Georgia" w:hAnsi="Georgia"/>
          <w:color w:val="222222"/>
          <w:sz w:val="22"/>
          <w:szCs w:val="22"/>
        </w:rPr>
        <w:t xml:space="preserve">The following taxonomy is proposed as the canonical structure for classifying, evaluating, and organizing d/acc technologies. It preserves the core insights of Buterin’s original framework—the Atoms/Bits distinction, the Survive/Thrive axis, the Four D’s evaluation criteria—while extending them with the theoretical dimensions established above. The taxonomy is multi-dimensional: a given technology occupies a position along each of six independent axes.</w:t>
      </w:r>
    </w:p>
    <w:p>
      <w:pPr>
        <w:pStyle w:val="Heading2"/>
        <w:spacing w:before="320" w:after="160"/>
      </w:pPr>
      <w:r>
        <w:rPr>
          <w:rFonts w:ascii="Arial" w:cs="Arial" w:eastAsia="Arial" w:hAnsi="Arial"/>
          <w:b/>
          <w:bCs/>
          <w:color w:val="2D5F8A"/>
          <w:sz w:val="28"/>
          <w:szCs w:val="28"/>
        </w:rPr>
        <w:t xml:space="preserve">3.1 Layer 0: Foundational Theory</w:t>
      </w:r>
    </w:p>
    <w:p>
      <w:pPr>
        <w:spacing w:before="60" w:after="120" w:line="340"/>
      </w:pPr>
      <w:r>
        <w:rPr>
          <w:rFonts w:ascii="Georgia" w:cs="Georgia" w:eastAsia="Georgia" w:hAnsi="Georgia"/>
          <w:color w:val="222222"/>
          <w:sz w:val="22"/>
          <w:szCs w:val="22"/>
        </w:rPr>
        <w:t xml:space="preserve">The theoretical pillars established in Section 2 form the base layer. They explain why d/acc technologies create value and provide the measurable properties against which any technology can be evaluated.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560"/>
        <w:gridCol w:w="2400"/>
      </w:tblGrid>
      <w:tr>
        <w:trPr>
          <w:tblHeader/>
        </w:trPr>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Pillar</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Discipline</w:t>
            </w:r>
          </w:p>
        </w:tc>
        <w:tc>
          <w:tcPr>
            <w:tcW w:type="dxa" w:w="3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Core Claim</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Measurable Properties</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Offense/Defense Balance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Game Theory</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Technologies that reduce the cost of defense relative to offense shift equilibria from concentration to distribution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Defense multiplier, offense resistance</w:t>
            </w:r>
          </w:p>
        </w:tc>
      </w:tr>
      <w:tr>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Substitution</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Information Theory</w:t>
            </w:r>
          </w:p>
        </w:tc>
        <w:tc>
          <w:tcPr>
            <w:tcW w:type="dxa" w:w="35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Technologies that replace institutional trust with mathematical trust eliminate structural dependencies on centralized intermediaries</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 domain coverage, capture resistance</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Anti-Rival Economics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Mechanism Design</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Technologies whose per-user value increases with adoption create compounding returns where social benefit and financial return are identical</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Composability score, network effect coefficient</w:t>
            </w:r>
          </w:p>
        </w:tc>
      </w:tr>
    </w:tbl>
    <w:p>
      <w:pPr>
        <w:pStyle w:val="Heading2"/>
        <w:spacing w:before="320" w:after="160"/>
      </w:pPr>
      <w:r>
        <w:rPr>
          <w:rFonts w:ascii="Arial" w:cs="Arial" w:eastAsia="Arial" w:hAnsi="Arial"/>
          <w:b/>
          <w:bCs/>
          <w:color w:val="2D5F8A"/>
          <w:sz w:val="28"/>
          <w:szCs w:val="28"/>
        </w:rPr>
        <w:t xml:space="preserve">3.2 Layer 1: The Operational Matrix</w:t>
      </w:r>
    </w:p>
    <w:p>
      <w:pPr>
        <w:spacing w:before="60" w:after="120" w:line="340"/>
      </w:pPr>
      <w:r>
        <w:rPr>
          <w:rFonts w:ascii="Georgia" w:cs="Georgia" w:eastAsia="Georgia" w:hAnsi="Georgia"/>
          <w:color w:val="222222"/>
          <w:sz w:val="22"/>
          <w:szCs w:val="22"/>
        </w:rPr>
        <w:t xml:space="preserve">Buterin’s original framework organizes d/acc technologies along two axes: substrate (digital vs. physical) and function (survival vs. flourishing). We preserve this 2×2 structure as the primary organizational tool but extend it to a 3×2 matrix by adding a critical middle row: the Hybrid Interface between atoms and bits.</w:t>
      </w:r>
    </w:p>
    <w:p>
      <w:pPr>
        <w:spacing w:before="60" w:after="120" w:line="340"/>
      </w:pPr>
      <w:r>
        <w:rPr>
          <w:rFonts w:ascii="Georgia" w:cs="Georgia" w:eastAsia="Georgia" w:hAnsi="Georgia"/>
          <w:color w:val="222222"/>
          <w:sz w:val="22"/>
          <w:szCs w:val="22"/>
        </w:rPr>
        <w:t xml:space="preserve">The justification for this extension is the portal’s own principle: the d/acc alignment of a system is limited by its least d/acc-aligned dependency. For any system that bridges the physical and digital worlds—oracles, hardware attestation, sensor networks, decentralized physical infrastructure—the interface is almost always the weakest link. A perfectly decentralized smart contract that relies on a centralized oracle is not d/acc. These interface technologies share a common vulnerability profile and a common design challenge that justifies unified taxonomic treatment.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Substrate</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Survive (Defense)</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Thrive (Coordination)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Arial" w:cs="Arial" w:eastAsia="Arial" w:hAnsi="Arial"/>
                <w:b/>
                <w:bCs/>
                <w:color w:val="1A1A2E"/>
                <w:sz w:val="18"/>
                <w:szCs w:val="18"/>
              </w:rPr>
              <w:t xml:space="preserve">ATOMS</w:t>
            </w:r>
            <w:r>
              <w:rPr>
                <w:rFonts w:ascii="Arial" w:cs="Arial" w:eastAsia="Arial" w:hAnsi="Arial"/>
                <w:color w:val="555555"/>
                <w:sz w:val="16"/>
                <w:szCs w:val="16"/>
              </w:rPr>
              <w:t xml:space="preserve">
(Physical)</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Biodefense &amp; Health Systems
Open Source Hardware &amp; Silicon
Resilient Manufacturing</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Decentralized Energy
Property Rights &amp; Registries
Carbon &amp; Environmental Markets
Civic Technology</w:t>
            </w:r>
          </w:p>
        </w:tc>
      </w:tr>
      <w:tr>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Arial" w:cs="Arial" w:eastAsia="Arial" w:hAnsi="Arial"/>
                <w:b/>
                <w:bCs/>
                <w:color w:val="1A1A2E"/>
                <w:sz w:val="18"/>
                <w:szCs w:val="18"/>
              </w:rPr>
              <w:t xml:space="preserve">ATOMS↔BITS</w:t>
            </w:r>
            <w:r>
              <w:rPr>
                <w:rFonts w:ascii="Arial" w:cs="Arial" w:eastAsia="Arial" w:hAnsi="Arial"/>
                <w:color w:val="555555"/>
                <w:sz w:val="16"/>
                <w:szCs w:val="16"/>
              </w:rPr>
              <w:t xml:space="preserve">
(Hybrid Interface)</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Hardware Attestation
Secure Enclaves
Verified Supply Chain</w:t>
            </w:r>
          </w:p>
        </w:tc>
        <w:tc>
          <w:tcPr>
            <w:tcW w:type="dxa" w:w="35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DePIN Networks
IoT + Blockchain
Oracle Networks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Arial" w:cs="Arial" w:eastAsia="Arial" w:hAnsi="Arial"/>
                <w:b/>
                <w:bCs/>
                <w:color w:val="1A1A2E"/>
                <w:sz w:val="18"/>
                <w:szCs w:val="18"/>
              </w:rPr>
              <w:t xml:space="preserve">BITS</w:t>
            </w:r>
            <w:r>
              <w:rPr>
                <w:rFonts w:ascii="Arial" w:cs="Arial" w:eastAsia="Arial" w:hAnsi="Arial"/>
                <w:color w:val="555555"/>
                <w:sz w:val="16"/>
                <w:szCs w:val="16"/>
              </w:rPr>
              <w:t xml:space="preserve">
(Digital)</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Zero-Knowledge Systems
Privacy-Preserving Computation
Decentralized Identity &amp; Attestation
Secure Communication
Formal Verification &amp; Security
Secrets-as-a-Service
AI Defense &amp; Verification</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Democratic Funding Mechanisms
Epistemic Infrastructure
Governance Tooling
Decentralized Monetary Infrastructure
Cross-Chain Infrastructure
Data Availability &amp; Storage
Streaming &amp; Treasury</w:t>
            </w:r>
          </w:p>
        </w:tc>
      </w:tr>
    </w:tbl>
    <w:p>
      <w:pPr>
        <w:pStyle w:val="Heading2"/>
        <w:spacing w:before="320" w:after="160"/>
      </w:pPr>
      <w:r>
        <w:rPr>
          <w:rFonts w:ascii="Arial" w:cs="Arial" w:eastAsia="Arial" w:hAnsi="Arial"/>
          <w:b/>
          <w:bCs/>
          <w:color w:val="2D5F8A"/>
          <w:sz w:val="28"/>
          <w:szCs w:val="28"/>
        </w:rPr>
        <w:t xml:space="preserve">3.3 Layer 2: The Technology Stack</w:t>
      </w:r>
    </w:p>
    <w:p>
      <w:pPr>
        <w:spacing w:before="60" w:after="120" w:line="340"/>
      </w:pPr>
      <w:r>
        <w:rPr>
          <w:rFonts w:ascii="Georgia" w:cs="Georgia" w:eastAsia="Georgia" w:hAnsi="Georgia"/>
          <w:color w:val="222222"/>
          <w:sz w:val="22"/>
          <w:szCs w:val="22"/>
        </w:rPr>
        <w:t xml:space="preserve">d/acc technologies exist at different levels of abstraction, from physical hardware to social coordination mechanisms. The d/acc alignment of any system is limited by the least d/acc-aligned layer in its stack—a principle analogous to the weakest-link property in security engineering.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80"/>
        <w:gridCol w:w="3280"/>
      </w:tblGrid>
      <w:tr>
        <w:trPr>
          <w:tblHeader/>
        </w:trPr>
        <w:tc>
          <w:tcPr>
            <w:tcW w:type="dxa" w:w="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Level</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Layer</w:t>
            </w:r>
          </w:p>
        </w:tc>
        <w:tc>
          <w:tcPr>
            <w:tcW w:type="dxa" w:w="32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Function</w:t>
            </w:r>
          </w:p>
        </w:tc>
        <w:tc>
          <w:tcPr>
            <w:tcW w:type="dxa" w:w="32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Examples</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Substrate</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Physical hardware and infrastructure</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RISC-V, GrapheneOS, solar, Starlink</w:t>
            </w:r>
          </w:p>
        </w:tc>
      </w:tr>
      <w:tr>
        <w:tc>
          <w:tcPr>
            <w:tcW w:type="dxa" w:w="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II</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Cryptographic</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Mathematical primitives</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ZK proofs, FHE, MPC, encryption</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III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Protocol</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Consensus, settlement, execution</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L1/L2 blockchains, rollups</w:t>
            </w:r>
          </w:p>
        </w:tc>
      </w:tr>
      <w:tr>
        <w:tc>
          <w:tcPr>
            <w:tcW w:type="dxa" w:w="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IV</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Middleware</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Data and connectivity services</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Oracles, bridges, DA, indexing</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V</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Application</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User-facing services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DeFi, identity, messaging, governance apps</w:t>
            </w:r>
          </w:p>
        </w:tc>
      </w:tr>
      <w:tr>
        <w:tc>
          <w:tcPr>
            <w:tcW w:type="dxa" w:w="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VI</w:t>
            </w:r>
          </w:p>
        </w:tc>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Coordination</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Meta-coordination mechanisms</w:t>
            </w:r>
          </w:p>
        </w:tc>
        <w:tc>
          <w:tcPr>
            <w:tcW w:type="dxa" w:w="32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QF, prediction markets, civic tech</w:t>
            </w:r>
          </w:p>
        </w:tc>
      </w:tr>
    </w:tbl>
    <w:p>
      <w:pPr>
        <w:spacing w:before="60" w:after="60"/>
      </w:pPr>
    </w:p>
    <w:p>
      <w:pPr>
        <w:spacing w:before="60" w:after="120" w:line="340"/>
      </w:pPr>
      <w:r>
        <w:rPr>
          <w:rFonts w:ascii="Georgia" w:cs="Georgia" w:eastAsia="Georgia" w:hAnsi="Georgia"/>
          <w:color w:val="222222"/>
          <w:sz w:val="22"/>
          <w:szCs w:val="22"/>
        </w:rPr>
        <w:t xml:space="preserve">This stack model serves a critical analytical function: it reveals hidden dependencies. A Tier 1 application (ZK-based identity) built on a Tier 3 middleware layer (centralized oracle) and a non-d/acc substrate (proprietary hardware from a single semiconductor manufacturer) is not, in practice, a Tier 1 d/acc technology. The stack model forces honest accounting of these dependencies.</w:t>
      </w:r>
    </w:p>
    <w:p>
      <w:pPr>
        <w:pStyle w:val="Heading2"/>
        <w:spacing w:before="320" w:after="160"/>
      </w:pPr>
      <w:r>
        <w:rPr>
          <w:rFonts w:ascii="Arial" w:cs="Arial" w:eastAsia="Arial" w:hAnsi="Arial"/>
          <w:b/>
          <w:bCs/>
          <w:color w:val="2D5F8A"/>
          <w:sz w:val="28"/>
          <w:szCs w:val="28"/>
        </w:rPr>
        <w:t xml:space="preserve">3.4 Layer 3: Functional Roles</w:t>
      </w:r>
    </w:p>
    <w:p>
      <w:pPr>
        <w:spacing w:before="60" w:after="120" w:line="340"/>
      </w:pPr>
      <w:r>
        <w:rPr>
          <w:rFonts w:ascii="Georgia" w:cs="Georgia" w:eastAsia="Georgia" w:hAnsi="Georgia"/>
          <w:color w:val="222222"/>
          <w:sz w:val="22"/>
          <w:szCs w:val="22"/>
        </w:rPr>
        <w:t xml:space="preserve">Every d/acc technology serves one or more of four functional roles, which correspond to distinct mechanisms by which the offense/defense balance is shifted. These roles extend and formalize the Survive/Thrive axis with greater precision.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Function</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Mechanism</w:t>
            </w:r>
          </w:p>
        </w:tc>
        <w:tc>
          <w:tcPr>
            <w:tcW w:type="dxa" w:w="26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Defense Property</w:t>
            </w:r>
          </w:p>
        </w:tc>
        <w:tc>
          <w:tcPr>
            <w:tcW w:type="dxa" w:w="26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Key Examples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SHIELD</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Raises the cost of attack</w:t>
            </w:r>
          </w:p>
        </w:tc>
        <w:tc>
          <w:tcPr>
            <w:tcW w:type="dxa" w:w="2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Makes offense uneconomical</w:t>
            </w:r>
          </w:p>
        </w:tc>
        <w:tc>
          <w:tcPr>
            <w:tcW w:type="dxa" w:w="2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Encryption, ZK, FHE, hardware security</w:t>
            </w:r>
          </w:p>
        </w:tc>
      </w:tr>
      <w:tr>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VERIFY</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Enables trustless verification</w:t>
            </w:r>
          </w:p>
        </w:tc>
        <w:tc>
          <w:tcPr>
            <w:tcW w:type="dxa" w:w="2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Eliminates intermediary dependency</w:t>
            </w:r>
          </w:p>
        </w:tc>
        <w:tc>
          <w:tcPr>
            <w:tcW w:type="dxa" w:w="2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ZK proofs, formal verification, attestations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COORDINATE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Enables trustless collective action</w:t>
            </w:r>
          </w:p>
        </w:tc>
        <w:tc>
          <w:tcPr>
            <w:tcW w:type="dxa" w:w="2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Makes cooperation cheap</w:t>
            </w:r>
          </w:p>
        </w:tc>
        <w:tc>
          <w:tcPr>
            <w:tcW w:type="dxa" w:w="2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DAOs, QF, prediction markets, multisigs</w:t>
            </w:r>
          </w:p>
        </w:tc>
      </w:tr>
      <w:tr>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ACCELERATE</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Speeds defensive capability development</w:t>
            </w:r>
          </w:p>
        </w:tc>
        <w:tc>
          <w:tcPr>
            <w:tcW w:type="dxa" w:w="2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Compounds defense over time</w:t>
            </w:r>
          </w:p>
        </w:tc>
        <w:tc>
          <w:tcPr>
            <w:tcW w:type="dxa" w:w="268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Open source, grants, developer tools</w:t>
            </w:r>
          </w:p>
        </w:tc>
      </w:tr>
    </w:tbl>
    <w:p>
      <w:pPr>
        <w:spacing w:before="60" w:after="60"/>
      </w:pPr>
    </w:p>
    <w:p>
      <w:pPr>
        <w:spacing w:before="60" w:after="120" w:line="340"/>
      </w:pPr>
      <w:r>
        <w:rPr>
          <w:rFonts w:ascii="Georgia" w:cs="Georgia" w:eastAsia="Georgia" w:hAnsi="Georgia"/>
          <w:color w:val="222222"/>
          <w:sz w:val="22"/>
          <w:szCs w:val="22"/>
        </w:rPr>
        <w:t xml:space="preserve">The highest-value technologies perform multiple functions simultaneously. Zero-knowledge proofs both SHIELD (privacy preservation) and VERIFY (trustless verification). Quadratic funding both COORDINATES (collective resource allocation) and ACCELERATES (funding development of public goods that strengthen the defensive stack). Technologies that combine all four functions—if such exist—would represent the maximum possible d/acc value per unit of investment.</w:t>
      </w:r>
    </w:p>
    <w:p>
      <w:pPr>
        <w:pStyle w:val="Heading2"/>
        <w:spacing w:before="320" w:after="160"/>
      </w:pPr>
      <w:r>
        <w:rPr>
          <w:rFonts w:ascii="Arial" w:cs="Arial" w:eastAsia="Arial" w:hAnsi="Arial"/>
          <w:b/>
          <w:bCs/>
          <w:color w:val="2D5F8A"/>
          <w:sz w:val="28"/>
          <w:szCs w:val="28"/>
        </w:rPr>
        <w:t xml:space="preserve">3.5 Layer 4: Investment Dynamics</w:t>
      </w:r>
    </w:p>
    <w:p>
      <w:pPr>
        <w:spacing w:before="60" w:after="120" w:line="340"/>
      </w:pPr>
      <w:r>
        <w:rPr>
          <w:rFonts w:ascii="Georgia" w:cs="Georgia" w:eastAsia="Georgia" w:hAnsi="Georgia"/>
          <w:color w:val="222222"/>
          <w:sz w:val="22"/>
          <w:szCs w:val="22"/>
        </w:rPr>
        <w:t xml:space="preserve">The name “defensive accelerationism” implies that speed matters. Yet the taxonomy as originally constructed is static—it describes what technologies are, not how they change over time. This layer introduces the temporal dimension by classifying the dynamic by which each technology’s value evolves.</w:t>
      </w:r>
    </w:p>
    <w:p>
      <w:pPr>
        <w:spacing w:before="60" w:after="120" w:line="340"/>
      </w:pPr>
      <w:r>
        <w:rPr>
          <w:rFonts w:ascii="Georgia" w:cs="Georgia" w:eastAsia="Georgia" w:hAnsi="Georgia"/>
          <w:color w:val="222222"/>
          <w:sz w:val="22"/>
          <w:szCs w:val="22"/>
        </w:rPr>
        <w:t xml:space="preserve">We identify four types of breakaway dynamics, each of which produces a characteristic S-curve in adoption and value:</w:t>
      </w:r>
    </w:p>
    <w:p>
      <w:pPr>
        <w:pStyle w:val="Heading3"/>
        <w:spacing w:before="240" w:after="120"/>
      </w:pPr>
      <w:r>
        <w:rPr>
          <w:rFonts w:ascii="Arial" w:cs="Arial" w:eastAsia="Arial" w:hAnsi="Arial"/>
          <w:b/>
          <w:bCs/>
          <w:color w:val="222222"/>
          <w:sz w:val="24"/>
          <w:szCs w:val="24"/>
        </w:rPr>
        <w:t xml:space="preserve">3.5.1 Threshold Breakaways</w:t>
      </w:r>
    </w:p>
    <w:p>
      <w:pPr>
        <w:spacing w:before="60" w:after="120" w:line="340"/>
      </w:pPr>
      <w:r>
        <w:rPr>
          <w:rFonts w:ascii="Georgia" w:cs="Georgia" w:eastAsia="Georgia" w:hAnsi="Georgia"/>
          <w:color w:val="222222"/>
          <w:sz w:val="22"/>
          <w:szCs w:val="22"/>
        </w:rPr>
        <w:t xml:space="preserve">Some technologies are barely useful below a critical performance threshold and overwhelmingly useful above it. The adoption curve is not gradual—it is a phase transition. Fully homomorphic encryption is the paradigmatic example: below approximately 1,000 practical transactions per second, FHE is an academic curiosity applicable only to specialized use cases. Above that threshold, every computation can be confidential, and the addressable market expands from near-zero to the entire $600 billion cloud computing market. The trigger is hardware acceleration—FHE-specific ASICs currently in development. Zero-knowledge proofs are undergoing a similar transition as proof generation costs drop exponentially.</w:t>
      </w:r>
    </w:p>
    <w:p>
      <w:pPr>
        <w:pStyle w:val="Heading3"/>
        <w:spacing w:before="240" w:after="120"/>
      </w:pPr>
      <w:r>
        <w:rPr>
          <w:rFonts w:ascii="Arial" w:cs="Arial" w:eastAsia="Arial" w:hAnsi="Arial"/>
          <w:b/>
          <w:bCs/>
          <w:color w:val="222222"/>
          <w:sz w:val="24"/>
          <w:szCs w:val="24"/>
        </w:rPr>
        <w:t xml:space="preserve">3.5.2 Network Effect Breakaways</w:t>
      </w:r>
    </w:p>
    <w:p>
      <w:pPr>
        <w:spacing w:before="60" w:after="120" w:line="340"/>
      </w:pPr>
      <w:r>
        <w:rPr>
          <w:rFonts w:ascii="Georgia" w:cs="Georgia" w:eastAsia="Georgia" w:hAnsi="Georgia"/>
          <w:color w:val="222222"/>
          <w:sz w:val="22"/>
          <w:szCs w:val="22"/>
        </w:rPr>
        <w:t xml:space="preserve">Some technologies become exponentially more valuable as adoption grows, creating positive feedback loops. Decentralized identity is the paradigmatic example: each new attestation makes the credential network more valuable for all participants. Once a critical mass of attestations exists—likely triggered by government adoption, as in Buenos Aires’s QuarkID deployment—the shift from centralized identity systems becomes self-sustaining. Prediction markets exhibit similar dynamics: more participants produce better-calibrated forecasts, which attract more participants.</w:t>
      </w:r>
    </w:p>
    <w:p>
      <w:pPr>
        <w:pStyle w:val="Heading3"/>
        <w:spacing w:before="240" w:after="120"/>
      </w:pPr>
      <w:r>
        <w:rPr>
          <w:rFonts w:ascii="Arial" w:cs="Arial" w:eastAsia="Arial" w:hAnsi="Arial"/>
          <w:b/>
          <w:bCs/>
          <w:color w:val="222222"/>
          <w:sz w:val="24"/>
          <w:szCs w:val="24"/>
        </w:rPr>
        <w:t xml:space="preserve">3.5.3 Regulatory Ratchet Breakaways</w:t>
      </w:r>
    </w:p>
    <w:p>
      <w:pPr>
        <w:spacing w:before="60" w:after="120" w:line="340"/>
      </w:pPr>
      <w:r>
        <w:rPr>
          <w:rFonts w:ascii="Georgia" w:cs="Georgia" w:eastAsia="Georgia" w:hAnsi="Georgia"/>
          <w:color w:val="222222"/>
          <w:sz w:val="22"/>
          <w:szCs w:val="22"/>
        </w:rPr>
        <w:t xml:space="preserve">Some technologies are pushed toward dominance by regulatory action that creates demand for precisely the capabilities d/acc provides. As the European Union’s MiCA framework and the United States’ GENIUS Act require compliance, the only way to comply while preserving privacy is zero-knowledge compliance infrastructure. As central bank digital currencies threaten monetary sovereignty, demand for non-state money increases. As data localization laws proliferate, demand for privacy-preserving computation grows. In each case, the regulatory push toward centralization creates its own market opposition—a structural tailwind for d/acc investment.</w:t>
      </w:r>
    </w:p>
    <w:p>
      <w:pPr>
        <w:pStyle w:val="Heading3"/>
        <w:spacing w:before="240" w:after="120"/>
      </w:pPr>
      <w:r>
        <w:rPr>
          <w:rFonts w:ascii="Arial" w:cs="Arial" w:eastAsia="Arial" w:hAnsi="Arial"/>
          <w:b/>
          <w:bCs/>
          <w:color w:val="222222"/>
          <w:sz w:val="24"/>
          <w:szCs w:val="24"/>
        </w:rPr>
        <w:t xml:space="preserve">3.5.4 Composability Multipliers</w:t>
      </w:r>
    </w:p>
    <w:p>
      <w:pPr>
        <w:spacing w:before="60" w:after="120" w:line="340"/>
      </w:pPr>
      <w:r>
        <w:rPr>
          <w:rFonts w:ascii="Georgia" w:cs="Georgia" w:eastAsia="Georgia" w:hAnsi="Georgia"/>
          <w:color w:val="222222"/>
          <w:sz w:val="22"/>
          <w:szCs w:val="22"/>
        </w:rPr>
        <w:t xml:space="preserve">Some technologies’ value is dramatically amplified when combined with other d/acc primitives. This is where the greatest investment opportunities live, because investors who evaluate technologies in isolation systematically undervalue composable primitives. The pattern is consistent: the intersection of two d/acc primitives creates emergent capabilities that are larger than the sum of their parts.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800"/>
        <w:gridCol w:w="2200"/>
      </w:tblGrid>
      <w:tr>
        <w:trPr>
          <w:tblHeader/>
        </w:trP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Composition</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Components</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Emergent Capability</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Addressable Market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Verified Privacy</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ZK + FHE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Prove properties of encrypted data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Compliance ($100B+)</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Sovereign Identity</w:t>
            </w:r>
          </w:p>
        </w:tc>
        <w:tc>
          <w:tcPr>
            <w:tcW w:type="dxa" w:w="2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DID + ZK + Attestation + Secrets</w:t>
            </w:r>
          </w:p>
        </w:tc>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Complete self-sovereign digital identity</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Identity ($30B+)</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Democratic Capital</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QF + Impact Certs + Prediction Markets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Evidence-based democratic allocation</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Philanthropy ($50B+)</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Autonomous Environmental</w:t>
            </w:r>
          </w:p>
        </w:tc>
        <w:tc>
          <w:tcPr>
            <w:tcW w:type="dxa" w:w="2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Energy + Carbon + IoT + Oracles</w:t>
            </w:r>
          </w:p>
        </w:tc>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Self-executing environmental markets</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Carbon ($2T+)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Verified AI</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ZK-ML + Decentralized Compute + ID</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Trustless AI inference with provenance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AI Services ($500B+)</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Resilient Computing</w:t>
            </w:r>
          </w:p>
        </w:tc>
        <w:tc>
          <w:tcPr>
            <w:tcW w:type="dxa" w:w="23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Open Hardware + FHE + Decentralized Compute</w:t>
            </w:r>
          </w:p>
        </w:tc>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End-to-end verified confidential computation</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Cloud ($600B+)</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Epistemic Governance</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Prediction Markets + DAO + Reputation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Governance with built-in forecasting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Governance ($50B+)</w:t>
            </w:r>
          </w:p>
        </w:tc>
      </w:tr>
    </w:tbl>
    <w:p>
      <w:pPr>
        <w:pStyle w:val="Heading2"/>
        <w:spacing w:before="320" w:after="160"/>
      </w:pPr>
      <w:r>
        <w:rPr>
          <w:rFonts w:ascii="Arial" w:cs="Arial" w:eastAsia="Arial" w:hAnsi="Arial"/>
          <w:b/>
          <w:bCs/>
          <w:color w:val="2D5F8A"/>
          <w:sz w:val="28"/>
          <w:szCs w:val="28"/>
        </w:rPr>
        <w:t xml:space="preserve">3.6 Layer 5: The Enhanced Evaluation Rubric</w:t>
      </w:r>
    </w:p>
    <w:p>
      <w:pPr>
        <w:spacing w:before="60" w:after="120" w:line="340"/>
      </w:pPr>
      <w:r>
        <w:rPr>
          <w:rFonts w:ascii="Georgia" w:cs="Georgia" w:eastAsia="Georgia" w:hAnsi="Georgia"/>
          <w:color w:val="222222"/>
          <w:sz w:val="22"/>
          <w:szCs w:val="22"/>
        </w:rPr>
        <w:t xml:space="preserve">Buterin’s Four D’s—Defensive, Decentralized, Democratic, Differential—remain the primary evaluation filter. Any technology that fails on any single dimension is disqualified. We supplement this binary filter with five quantitative dimensions that enable comparative evaluation among technologies that pass the filter.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400"/>
        <w:gridCol w:w="1800"/>
      </w:tblGrid>
      <w:tr>
        <w:trPr>
          <w:tblHeader/>
        </w:trP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Dimension</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Question</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Scale</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Type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Defensive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Does it shift power toward protection?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0–25 points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Binary Filter (Four D’s)</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Decentralized</w:t>
            </w:r>
          </w:p>
        </w:tc>
        <w:tc>
          <w:tcPr>
            <w:tcW w:type="dxa" w:w="31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Can it operate without central control?</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0–25 points</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Binary Filter (Four D’s)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Democratic</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Does it empower individuals over institutions?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0–25 points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Binary Filter (Four D’s)</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Differential</w:t>
            </w:r>
          </w:p>
        </w:tc>
        <w:tc>
          <w:tcPr>
            <w:tcW w:type="dxa" w:w="31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Does it accelerate defense faster than offense?</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0–25 points</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Binary Filter (Four D’s)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Defense Multiplier</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How much does $1 multiply defensive capability?</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Low / Med / High / Very High</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Quantitative Extension</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Offense Resistance</w:t>
            </w:r>
          </w:p>
        </w:tc>
        <w:tc>
          <w:tcPr>
            <w:tcW w:type="dxa" w:w="31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How resistant to weaponization?</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Low / Med / High / Very High</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Quantitative Extension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Capture Resistance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How resistant to centralization or co-option?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Low / Med / High / Very High</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Quantitative Extension</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Composability</w:t>
            </w:r>
          </w:p>
        </w:tc>
        <w:tc>
          <w:tcPr>
            <w:tcW w:type="dxa" w:w="31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How many other primitives does it enhance?</w:t>
            </w:r>
          </w:p>
        </w:tc>
        <w:tc>
          <w:tcPr>
            <w:tcW w:type="dxa" w:w="24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0–10 score</w:t>
            </w:r>
          </w:p>
        </w:tc>
        <w:tc>
          <w:tcPr>
            <w:tcW w:type="dxa" w:w="1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Quantitative Extension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Breakaway Proximity</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How close to a phase transition?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1–5 year estimate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Quantitative Extension</w:t>
            </w:r>
          </w:p>
        </w:tc>
      </w:tr>
    </w:tbl>
    <w:p>
      <w:pPr>
        <w:spacing w:before="60" w:after="60"/>
      </w:pPr>
    </w:p>
    <w:p>
      <w:pPr>
        <w:spacing w:before="60" w:after="120" w:line="340"/>
      </w:pPr>
      <w:r>
        <w:rPr>
          <w:rFonts w:ascii="Georgia" w:cs="Georgia" w:eastAsia="Georgia" w:hAnsi="Georgia"/>
          <w:color w:val="222222"/>
          <w:sz w:val="22"/>
          <w:szCs w:val="22"/>
        </w:rPr>
        <w:t xml:space="preserve">The addition of these dimensions transforms the evaluation from a pass/fail filter into a multi-dimensional scoring system that enables portfolio construction. A Tier 1 technology is one that passes the Four D’s filter and scores high on defense multiplier, offense resistance, capture resistance, and composability, with near-term breakaway proximity.</w:t>
      </w:r>
    </w:p>
    <w:p>
      <w:pPr>
        <w:pBdr>
          <w:bottom w:val="single" w:color="D0D5DD" w:sz="1" w:space="8"/>
        </w:pBdr>
        <w:spacing w:before="300" w:after="300"/>
      </w:pPr>
    </w:p>
    <w:p>
      <w:pPr>
        <w:pStyle w:val="Heading1"/>
        <w:spacing w:before="400" w:after="200"/>
      </w:pPr>
      <w:r>
        <w:rPr>
          <w:rFonts w:ascii="Arial" w:cs="Arial" w:eastAsia="Arial" w:hAnsi="Arial"/>
          <w:b/>
          <w:bCs/>
          <w:color w:val="1A1A2E"/>
          <w:sz w:val="36"/>
          <w:szCs w:val="36"/>
        </w:rPr>
        <w:t xml:space="preserve">4. The Unifying Pattern: Civilizational Immune Systems</w:t>
      </w:r>
    </w:p>
    <w:p>
      <w:pPr>
        <w:spacing w:before="60" w:after="120" w:line="340"/>
      </w:pPr>
      <w:r>
        <w:rPr>
          <w:rFonts w:ascii="Georgia" w:cs="Georgia" w:eastAsia="Georgia" w:hAnsi="Georgia"/>
          <w:color w:val="222222"/>
          <w:sz w:val="22"/>
          <w:szCs w:val="22"/>
        </w:rPr>
        <w:t xml:space="preserve">The deepest structural pattern in the d/acc taxonomy—the pattern that unifies the theoretical pillars, the technology stack, the trust domains, and the functional roles—is an isomorphism with biological immune systems.</w:t>
      </w:r>
    </w:p>
    <w:p>
      <w:pPr>
        <w:spacing w:before="60" w:after="120" w:line="340"/>
      </w:pPr>
      <w:r>
        <w:rPr>
          <w:rFonts w:ascii="Georgia" w:cs="Georgia" w:eastAsia="Georgia" w:hAnsi="Georgia"/>
          <w:color w:val="222222"/>
          <w:sz w:val="22"/>
          <w:szCs w:val="22"/>
        </w:rPr>
        <w:t xml:space="preserve">This is not a metaphor deployed for rhetorical effect. It is a structural correspondence between the properties that make biological immune systems effective and the properties that make d/acc technology portfolios effective. The correspondence is precise enough to serve as an analytical tool: it reveals gaps in the taxonomy, validates existing category assignments, and provides a heuristic for evaluating whether a portfolio achieves comprehensive coverage.</w:t>
      </w:r>
    </w:p>
    <w:p>
      <w:pPr>
        <w:spacing w:before="60" w:after="120" w:line="340"/>
      </w:pPr>
      <w:r>
        <w:rPr>
          <w:rFonts w:ascii="Georgia" w:cs="Georgia" w:eastAsia="Georgia" w:hAnsi="Georgia"/>
          <w:color w:val="222222"/>
          <w:sz w:val="22"/>
          <w:szCs w:val="22"/>
        </w:rPr>
        <w:t xml:space="preserve">Biological immune systems are the most sophisticated defense architecture in nature. They have been refined by four billion years of evolutionary selection against adversarial threats of every kind. Their design principles are: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760"/>
        <w:gridCol w:w="2300"/>
      </w:tblGrid>
      <w:tr>
        <w:trPr>
          <w:tblHeader/>
        </w:trP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Immune Property</w:t>
            </w:r>
          </w:p>
        </w:tc>
        <w:tc>
          <w:tcPr>
            <w:tcW w:type="dxa" w:w="27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Biological Function</w:t>
            </w:r>
          </w:p>
        </w:tc>
        <w:tc>
          <w:tcPr>
            <w:tcW w:type="dxa" w:w="2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d/acc Equivalent</w:t>
            </w:r>
          </w:p>
        </w:tc>
        <w:tc>
          <w:tcPr>
            <w:tcW w:type="dxa" w:w="23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pPr>
              <w:spacing w:before="40" w:after="40"/>
            </w:pPr>
            <w:r>
              <w:rPr>
                <w:rFonts w:ascii="Arial" w:cs="Arial" w:eastAsia="Arial" w:hAnsi="Arial"/>
                <w:b/>
                <w:bCs/>
                <w:color w:val="FFFFFF"/>
                <w:sz w:val="18"/>
                <w:szCs w:val="18"/>
              </w:rPr>
              <w:t xml:space="preserve">Coverage Status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Distributed</w:t>
            </w:r>
          </w:p>
        </w:tc>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No central controller; T-cells and B-cells operate independently across the body</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Decentralized architecture: blockchains, P2P networks, open source</w:t>
            </w:r>
          </w:p>
        </w:tc>
        <w:tc>
          <w:tcPr>
            <w:tcW w:type="dxa" w:w="2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Comprehensive</w:t>
            </w:r>
          </w:p>
        </w:tc>
      </w:tr>
      <w:tr>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Adaptive</w:t>
            </w:r>
          </w:p>
        </w:tc>
        <w:tc>
          <w:tcPr>
            <w:tcW w:type="dxa" w:w="27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Learns from novel attacks; generates new antibodies; gets stronger over time</w:t>
            </w:r>
          </w:p>
        </w:tc>
        <w:tc>
          <w:tcPr>
            <w:tcW w:type="dxa" w:w="2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Machine learning defense, bug bounties, governance upgrades, AI-based detection</w:t>
            </w:r>
          </w:p>
        </w:tc>
        <w:tc>
          <w:tcPr>
            <w:tcW w:type="dxa" w:w="23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Gap: AI defense layer needed</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Multi-Layered</w:t>
            </w:r>
          </w:p>
        </w:tc>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Skin, mucous membranes, innate immunity, adaptive immunity—defense in depth</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Technology stack: substrate, cryptographic, protocol, middleware, application, coordination</w:t>
            </w:r>
          </w:p>
        </w:tc>
        <w:tc>
          <w:tcPr>
            <w:tcW w:type="dxa" w:w="2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Covered; formalize as defense-in-depth</w:t>
            </w:r>
          </w:p>
        </w:tc>
      </w:tr>
      <w:tr>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Self / Non-Self</w:t>
            </w:r>
          </w:p>
        </w:tc>
        <w:tc>
          <w:tcPr>
            <w:tcW w:type="dxa" w:w="27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Distinguishes what belongs to the organism from what does not</w:t>
            </w:r>
          </w:p>
        </w:tc>
        <w:tc>
          <w:tcPr>
            <w:tcW w:type="dxa" w:w="2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Identity and attestation: DID, ZK identity, Sybil resistance, humanness proofs</w:t>
            </w:r>
          </w:p>
        </w:tc>
        <w:tc>
          <w:tcPr>
            <w:tcW w:type="dxa" w:w="23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Well covered</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Proportional</w:t>
            </w:r>
          </w:p>
        </w:tc>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Escalates response only as needed; avoids autoimmune responses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Access control, graduated governance, secrets management, privacy-preserving compliance</w:t>
            </w:r>
          </w:p>
        </w:tc>
        <w:tc>
          <w:tcPr>
            <w:tcW w:type="dxa" w:w="2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Partially covered</w:t>
            </w:r>
          </w:p>
        </w:tc>
      </w:tr>
      <w:tr>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Memory</w:t>
            </w:r>
          </w:p>
        </w:tc>
        <w:tc>
          <w:tcPr>
            <w:tcW w:type="dxa" w:w="27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Remembers previous attacks; responds faster to known threats</w:t>
            </w:r>
          </w:p>
        </w:tc>
        <w:tc>
          <w:tcPr>
            <w:tcW w:type="dxa" w:w="27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On-chain history, reputation systems, formal verification, attestation registries</w:t>
            </w:r>
          </w:p>
        </w:tc>
        <w:tc>
          <w:tcPr>
            <w:tcW w:type="dxa" w:w="23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Partially covered</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Regenerative</w:t>
            </w:r>
          </w:p>
        </w:tc>
        <w:tc>
          <w:tcPr>
            <w:tcW w:type="dxa" w:w="2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Heals and rebuilds damaged tissue after attack</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Resilient infrastructure, social recovery, redundancy, key rotation</w:t>
            </w:r>
          </w:p>
        </w:tc>
        <w:tc>
          <w:tcPr>
            <w:tcW w:type="dxa" w:w="2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before="40" w:after="40"/>
            </w:pPr>
            <w:r>
              <w:rPr>
                <w:rFonts w:ascii="Georgia" w:cs="Georgia" w:eastAsia="Georgia" w:hAnsi="Georgia"/>
                <w:color w:val="222222"/>
                <w:sz w:val="18"/>
                <w:szCs w:val="18"/>
              </w:rPr>
              <w:t xml:space="preserve">Gap: no explicit recovery sector</w:t>
            </w:r>
          </w:p>
        </w:tc>
      </w:tr>
    </w:tbl>
    <w:p>
      <w:pPr>
        <w:spacing w:before="120" w:after="120"/>
      </w:pPr>
    </w:p>
    <w:p>
      <w:pPr>
        <w:spacing w:before="60" w:after="120" w:line="340"/>
      </w:pPr>
      <w:r>
        <w:rPr>
          <w:rFonts w:ascii="Georgia" w:cs="Georgia" w:eastAsia="Georgia" w:hAnsi="Georgia"/>
          <w:color w:val="222222"/>
          <w:sz w:val="22"/>
          <w:szCs w:val="22"/>
        </w:rPr>
        <w:t xml:space="preserve">The immune system isomorphism reveals four specific insights for the taxonomy:</w:t>
      </w:r>
    </w:p>
    <w:p>
      <w:pPr>
        <w:pStyle w:val="ListParagraph"/>
        <w:numPr>
          <w:ilvl w:val="0"/>
          <w:numId w:val="4"/>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The AI defense gap is the adaptive immunity gap.</w:t>
      </w:r>
      <w:r>
        <w:rPr>
          <w:rFonts w:ascii="Georgia" w:cs="Georgia" w:eastAsia="Georgia" w:hAnsi="Georgia"/>
          <w:color w:val="222222"/>
          <w:sz w:val="22"/>
          <w:szCs w:val="22"/>
        </w:rPr>
        <w:t xml:space="preserve"> The current taxonomy has strong innate immunity—pre-built defenses like encryption that protect against known threat classes. But it lacks adaptive immunity—defenses that learn from novel attacks and evolve in response. AI defense technologies (ZK-ML for verifiable inference, defensive AI for anomaly detection, humanness verification for Sybil resistance) constitute the adaptive immune layer that the taxonomy currently lacks.</w:t>
      </w:r>
    </w:p>
    <w:p>
      <w:pPr>
        <w:pStyle w:val="ListParagraph"/>
        <w:numPr>
          <w:ilvl w:val="0"/>
          <w:numId w:val="4"/>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The hybrid interface is the mucosal membrane.</w:t>
      </w:r>
      <w:r>
        <w:rPr>
          <w:rFonts w:ascii="Georgia" w:cs="Georgia" w:eastAsia="Georgia" w:hAnsi="Georgia"/>
          <w:color w:val="222222"/>
          <w:sz w:val="22"/>
          <w:szCs w:val="22"/>
        </w:rPr>
        <w:t xml:space="preserve"> In biology, mucous membranes—the linings of the respiratory tract, digestive system, and other surfaces—are where the organism is most vulnerable to pathogen entry, because they are where the protected interior meets the uncontrolled exterior. In d/acc, the atoms-to-bits interface (oracles, hardware attestation, IoT sensors, DePIN) is the analogous vulnerability surface. This is where the trusted digital domain meets the untrusted physical domain, and where attacks most often succeed.</w:t>
      </w:r>
    </w:p>
    <w:p>
      <w:pPr>
        <w:pStyle w:val="ListParagraph"/>
        <w:numPr>
          <w:ilvl w:val="0"/>
          <w:numId w:val="4"/>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Composability is the complement cascade.</w:t>
      </w:r>
      <w:r>
        <w:rPr>
          <w:rFonts w:ascii="Georgia" w:cs="Georgia" w:eastAsia="Georgia" w:hAnsi="Georgia"/>
          <w:color w:val="222222"/>
          <w:sz w:val="22"/>
          <w:szCs w:val="22"/>
        </w:rPr>
        <w:t xml:space="preserve"> In immunology, the complement system is a cascade of proteins in which each protein activates the next, creating an exponentially amplified immune response from a small initial signal. d/acc composability operates identically: zero-knowledge proofs enable privacy-preserving identity, which enables compliant decentralized finance, which enables institutional adoption, which enables network effects that strengthen all upstream components.</w:t>
      </w:r>
    </w:p>
    <w:p>
      <w:pPr>
        <w:pStyle w:val="ListParagraph"/>
        <w:numPr>
          <w:ilvl w:val="0"/>
          <w:numId w:val="4"/>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The regenerative function is underrepresented.</w:t>
      </w:r>
      <w:r>
        <w:rPr>
          <w:rFonts w:ascii="Georgia" w:cs="Georgia" w:eastAsia="Georgia" w:hAnsi="Georgia"/>
          <w:color w:val="222222"/>
          <w:sz w:val="22"/>
          <w:szCs w:val="22"/>
        </w:rPr>
        <w:t xml:space="preserve"> Biological immune systems do not merely defend—they heal. After an attack, the organism rebuilds damaged tissue and restores function. The d/acc taxonomy includes elements of recovery (social recovery wallets, resilient infrastructure, key rotation) but has no systematic treatment of civilizational recovery—how decentralized systems rebuild after catastrophic failure. This matters for any claim of resilience.</w:t>
      </w:r>
    </w:p>
    <w:p>
      <w:pPr>
        <w:pBdr>
          <w:bottom w:val="single" w:color="D0D5DD" w:sz="1" w:space="8"/>
        </w:pBdr>
        <w:spacing w:before="300" w:after="300"/>
      </w:pPr>
    </w:p>
    <w:p>
      <w:pPr>
        <w:pStyle w:val="Heading1"/>
        <w:spacing w:before="400" w:after="200"/>
      </w:pPr>
      <w:r>
        <w:rPr>
          <w:rFonts w:ascii="Arial" w:cs="Arial" w:eastAsia="Arial" w:hAnsi="Arial"/>
          <w:b/>
          <w:bCs/>
          <w:color w:val="1A1A2E"/>
          <w:sz w:val="36"/>
          <w:szCs w:val="36"/>
        </w:rPr>
        <w:t xml:space="preserve">5. Implications for Capital Allocation</w:t>
      </w:r>
    </w:p>
    <w:p>
      <w:pPr>
        <w:spacing w:before="60" w:after="120" w:line="340"/>
      </w:pPr>
      <w:r>
        <w:rPr>
          <w:rFonts w:ascii="Georgia" w:cs="Georgia" w:eastAsia="Georgia" w:hAnsi="Georgia"/>
          <w:color w:val="222222"/>
          <w:sz w:val="22"/>
          <w:szCs w:val="22"/>
        </w:rPr>
        <w:t xml:space="preserve">The theoretical framework developed above has direct, actionable implications for how capital should be deployed across d/acc technology markets. This section translates theory into strategy.</w:t>
      </w:r>
    </w:p>
    <w:p>
      <w:pPr>
        <w:pStyle w:val="Heading2"/>
        <w:spacing w:before="320" w:after="160"/>
      </w:pPr>
      <w:r>
        <w:rPr>
          <w:rFonts w:ascii="Arial" w:cs="Arial" w:eastAsia="Arial" w:hAnsi="Arial"/>
          <w:b/>
          <w:bCs/>
          <w:color w:val="2D5F8A"/>
          <w:sz w:val="28"/>
          <w:szCs w:val="28"/>
        </w:rPr>
        <w:t xml:space="preserve">5.1 The Anti-Rival Thesis as Investment Narrative</w:t>
      </w:r>
    </w:p>
    <w:p>
      <w:pPr>
        <w:spacing w:before="60" w:after="120" w:line="340"/>
      </w:pPr>
      <w:r>
        <w:rPr>
          <w:rFonts w:ascii="Georgia" w:cs="Georgia" w:eastAsia="Georgia" w:hAnsi="Georgia"/>
          <w:color w:val="222222"/>
          <w:sz w:val="22"/>
          <w:szCs w:val="22"/>
        </w:rPr>
        <w:t xml:space="preserve">The central pitch to capital allocators is not “invest in good technologies.” It is this:</w:t>
      </w:r>
    </w:p>
    <w:p>
      <w:pPr>
        <w:pBdr>
          <w:left w:val="single" w:color="4A90D9" w:sz="3" w:space="12"/>
        </w:pBdr>
        <w:spacing w:before="120" w:after="160" w:line="340"/>
        <w:ind w:left="720"/>
      </w:pPr>
      <w:r>
        <w:rPr>
          <w:rFonts w:ascii="Georgia" w:cs="Georgia" w:eastAsia="Georgia" w:hAnsi="Georgia"/>
          <w:i/>
          <w:iCs/>
          <w:color w:val="555555"/>
          <w:sz w:val="22"/>
          <w:szCs w:val="22"/>
        </w:rPr>
        <w:t xml:space="preserve">We invest in anti-rival technology markets—markets where each user’s adoption increases the value of the asset for all existing holders. In these markets, the social benefit of wider adoption and the financial return to investors are structurally identical. This is not impact investing with lower returns. It is investing in a superior class of goods whose return profile is a direct function of adoption dynamics.</w:t>
      </w:r>
    </w:p>
    <w:p>
      <w:pPr>
        <w:spacing w:before="60" w:after="120" w:line="340"/>
      </w:pPr>
      <w:r>
        <w:rPr>
          <w:rFonts w:ascii="Georgia" w:cs="Georgia" w:eastAsia="Georgia" w:hAnsi="Georgia"/>
          <w:color w:val="222222"/>
          <w:sz w:val="22"/>
          <w:szCs w:val="22"/>
        </w:rPr>
        <w:t xml:space="preserve">This framing rejects the false choice between returns and impact. d/acc is not positioned as a concession to ethics. It is positioned as a structurally better investment category—one with compounding, adoption-driven returns in markets where conventional capital allocators have systematically underinvested due to unfamiliarity with anti-rival economics.</w:t>
      </w:r>
    </w:p>
    <w:p>
      <w:pPr>
        <w:pStyle w:val="Heading2"/>
        <w:spacing w:before="320" w:after="160"/>
      </w:pPr>
      <w:r>
        <w:rPr>
          <w:rFonts w:ascii="Arial" w:cs="Arial" w:eastAsia="Arial" w:hAnsi="Arial"/>
          <w:b/>
          <w:bCs/>
          <w:color w:val="2D5F8A"/>
          <w:sz w:val="28"/>
          <w:szCs w:val="28"/>
        </w:rPr>
        <w:t xml:space="preserve">5.2 Portfolio Construction Principles</w:t>
      </w:r>
    </w:p>
    <w:p>
      <w:pPr>
        <w:spacing w:before="60" w:after="120" w:line="340"/>
      </w:pPr>
      <w:r>
        <w:rPr>
          <w:rFonts w:ascii="Georgia" w:cs="Georgia" w:eastAsia="Georgia" w:hAnsi="Georgia"/>
          <w:color w:val="222222"/>
          <w:sz w:val="22"/>
          <w:szCs w:val="22"/>
        </w:rPr>
        <w:t xml:space="preserve">The immune system isomorphism implies specific portfolio construction principles:</w:t>
      </w:r>
    </w:p>
    <w:p>
      <w:pPr>
        <w:pStyle w:val="ListParagraph"/>
        <w:numPr>
          <w:ilvl w:val="0"/>
          <w:numId w:val="5"/>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Coverage over concentration.</w:t>
      </w:r>
      <w:r>
        <w:rPr>
          <w:rFonts w:ascii="Georgia" w:cs="Georgia" w:eastAsia="Georgia" w:hAnsi="Georgia"/>
          <w:color w:val="222222"/>
          <w:sz w:val="22"/>
          <w:szCs w:val="22"/>
        </w:rPr>
        <w:t xml:space="preserve"> A biological immune system with only T-cells but no antibodies is fatally incomplete, regardless of how many T-cells it has. Similarly, a d/acc portfolio concentrated entirely in ZK infrastructure but lacking identity, epistemic, or physical defense components is incomplete. The portfolio should be evaluated for coverage across all seven immune functions and all eight trust domains.</w:t>
      </w:r>
    </w:p>
    <w:p>
      <w:pPr>
        <w:pStyle w:val="ListParagraph"/>
        <w:numPr>
          <w:ilvl w:val="0"/>
          <w:numId w:val="5"/>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Composability as alpha.</w:t>
      </w:r>
      <w:r>
        <w:rPr>
          <w:rFonts w:ascii="Georgia" w:cs="Georgia" w:eastAsia="Georgia" w:hAnsi="Georgia"/>
          <w:color w:val="222222"/>
          <w:sz w:val="22"/>
          <w:szCs w:val="22"/>
        </w:rPr>
        <w:t xml:space="preserve"> The greatest returns come from technologies that amplify other technologies in the portfolio. An investment in ZK infrastructure is more valuable when the portfolio also contains identity and compliance investments that compose with ZK. Portfolio construction should explicitly optimize for composability—the number of value-amplifying interactions between portfolio components.</w:t>
      </w:r>
    </w:p>
    <w:p>
      <w:pPr>
        <w:pStyle w:val="ListParagraph"/>
        <w:numPr>
          <w:ilvl w:val="0"/>
          <w:numId w:val="5"/>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Breakaway proximity as timing signal.</w:t>
      </w:r>
      <w:r>
        <w:rPr>
          <w:rFonts w:ascii="Georgia" w:cs="Georgia" w:eastAsia="Georgia" w:hAnsi="Georgia"/>
          <w:color w:val="222222"/>
          <w:sz w:val="22"/>
          <w:szCs w:val="22"/>
        </w:rPr>
        <w:t xml:space="preserve"> The investment dynamics layer (Section 3.5) provides a timing framework. Capital should be deployed to technologies approaching their breakaway threshold—where one additional year of development or one additional regulatory push will tip the technology from niche to dominant. Current breakaway proximity estimates suggest that ZK compliance infrastructure, account abstraction, and decentralized identity are in the 1–3 year window.</w:t>
      </w:r>
    </w:p>
    <w:p>
      <w:pPr>
        <w:pStyle w:val="ListParagraph"/>
        <w:numPr>
          <w:ilvl w:val="0"/>
          <w:numId w:val="5"/>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Stack depth as risk management.</w:t>
      </w:r>
      <w:r>
        <w:rPr>
          <w:rFonts w:ascii="Georgia" w:cs="Georgia" w:eastAsia="Georgia" w:hAnsi="Georgia"/>
          <w:color w:val="222222"/>
          <w:sz w:val="22"/>
          <w:szCs w:val="22"/>
        </w:rPr>
        <w:t xml:space="preserve"> The technology stack model (Section 3.3) reveals hidden dependencies. A portfolio with excellent application-layer investments but unaddressed substrate-layer risks (semiconductor concentration, centralized sequencers) is exposed to systemic failure. Investments should be distributed across stack layers to ensure that no single layer’s failure compromises the portfolio.</w:t>
      </w:r>
    </w:p>
    <w:p>
      <w:pPr>
        <w:pStyle w:val="Heading2"/>
        <w:spacing w:before="320" w:after="160"/>
      </w:pPr>
      <w:r>
        <w:rPr>
          <w:rFonts w:ascii="Arial" w:cs="Arial" w:eastAsia="Arial" w:hAnsi="Arial"/>
          <w:b/>
          <w:bCs/>
          <w:color w:val="2D5F8A"/>
          <w:sz w:val="28"/>
          <w:szCs w:val="28"/>
        </w:rPr>
        <w:t xml:space="preserve">5.3 Tier Structure</w:t>
      </w:r>
    </w:p>
    <w:p>
      <w:pPr>
        <w:spacing w:before="60" w:after="120" w:line="340"/>
      </w:pPr>
      <w:r>
        <w:rPr>
          <w:rFonts w:ascii="Georgia" w:cs="Georgia" w:eastAsia="Georgia" w:hAnsi="Georgia"/>
          <w:color w:val="222222"/>
          <w:sz w:val="22"/>
          <w:szCs w:val="22"/>
        </w:rPr>
        <w:t xml:space="preserve">The enhanced evaluation rubric (Section 3.6) produces a natural tiering when applied across the full set of d/acc technologies. Tier assignment reflects the intersection of Four D’s alignment, defense multiplier, composability, and breakaway proximity.</w:t>
      </w:r>
    </w:p>
    <w:p>
      <w:pPr>
        <w:pStyle w:val="Heading3"/>
        <w:spacing w:before="240" w:after="120"/>
      </w:pPr>
      <w:r>
        <w:rPr>
          <w:rFonts w:ascii="Arial" w:cs="Arial" w:eastAsia="Arial" w:hAnsi="Arial"/>
          <w:b/>
          <w:bCs/>
          <w:color w:val="222222"/>
          <w:sz w:val="24"/>
          <w:szCs w:val="24"/>
        </w:rPr>
        <w:t xml:space="preserve">Tier 1: Highest Conviction (Core Positions)</w:t>
      </w:r>
    </w:p>
    <w:p>
      <w:pPr>
        <w:spacing w:before="60" w:after="120" w:line="340"/>
      </w:pPr>
      <w:r>
        <w:rPr>
          <w:rFonts w:ascii="Georgia" w:cs="Georgia" w:eastAsia="Georgia" w:hAnsi="Georgia"/>
          <w:color w:val="222222"/>
          <w:sz w:val="22"/>
          <w:szCs w:val="22"/>
        </w:rPr>
        <w:t xml:space="preserve">Technologies with maximum d/acc alignment, very high defense multiplier, very high composability, and near-term breakaway proximity. These shift the offense/defense cost ratio across the broadest possible domains.</w:t>
      </w:r>
    </w:p>
    <w:p>
      <w:pPr>
        <w:pStyle w:val="ListParagraph"/>
        <w:numPr>
          <w:ilvl w:val="0"/>
          <w:numId w:val="3"/>
        </w:numPr>
        <w:spacing w:before="40" w:after="40" w:line="320"/>
      </w:pPr>
      <w:r>
        <w:rPr>
          <w:rFonts w:ascii="Georgia" w:cs="Georgia" w:eastAsia="Georgia" w:hAnsi="Georgia"/>
          <w:color w:val="222222"/>
          <w:sz w:val="22"/>
          <w:szCs w:val="22"/>
        </w:rPr>
        <w:t xml:space="preserve">Zero-Knowledge Infrastructure — the only known technology enabling verification without trust revelation</w:t>
      </w:r>
    </w:p>
    <w:p>
      <w:pPr>
        <w:pStyle w:val="ListParagraph"/>
        <w:numPr>
          <w:ilvl w:val="0"/>
          <w:numId w:val="3"/>
        </w:numPr>
        <w:spacing w:before="40" w:after="40" w:line="320"/>
      </w:pPr>
      <w:r>
        <w:rPr>
          <w:rFonts w:ascii="Georgia" w:cs="Georgia" w:eastAsia="Georgia" w:hAnsi="Georgia"/>
          <w:color w:val="222222"/>
          <w:sz w:val="22"/>
          <w:szCs w:val="22"/>
        </w:rPr>
        <w:t xml:space="preserve">Fully Homomorphic Encryption — computation on encrypted data; eliminates the concept of a data breach</w:t>
      </w:r>
    </w:p>
    <w:p>
      <w:pPr>
        <w:pStyle w:val="ListParagraph"/>
        <w:numPr>
          <w:ilvl w:val="0"/>
          <w:numId w:val="3"/>
        </w:numPr>
        <w:spacing w:before="40" w:after="40" w:line="320"/>
      </w:pPr>
      <w:r>
        <w:rPr>
          <w:rFonts w:ascii="Georgia" w:cs="Georgia" w:eastAsia="Georgia" w:hAnsi="Georgia"/>
          <w:color w:val="222222"/>
          <w:sz w:val="22"/>
          <w:szCs w:val="22"/>
        </w:rPr>
        <w:t xml:space="preserve">Decentralized Identity &amp; Attestation — self-sovereign credentials with approaching network effect breakaway</w:t>
      </w:r>
    </w:p>
    <w:p>
      <w:pPr>
        <w:pStyle w:val="ListParagraph"/>
        <w:numPr>
          <w:ilvl w:val="0"/>
          <w:numId w:val="3"/>
        </w:numPr>
        <w:spacing w:before="40" w:after="40" w:line="320"/>
      </w:pPr>
      <w:r>
        <w:rPr>
          <w:rFonts w:ascii="Georgia" w:cs="Georgia" w:eastAsia="Georgia" w:hAnsi="Georgia"/>
          <w:color w:val="222222"/>
          <w:sz w:val="22"/>
          <w:szCs w:val="22"/>
        </w:rPr>
        <w:t xml:space="preserve">AI Defense &amp; Verification — the adaptive immunity layer; ZK-ML, humanness proofs, defensive AI</w:t>
      </w:r>
    </w:p>
    <w:p>
      <w:pPr>
        <w:pStyle w:val="Heading3"/>
        <w:spacing w:before="240" w:after="120"/>
      </w:pPr>
      <w:r>
        <w:rPr>
          <w:rFonts w:ascii="Arial" w:cs="Arial" w:eastAsia="Arial" w:hAnsi="Arial"/>
          <w:b/>
          <w:bCs/>
          <w:color w:val="222222"/>
          <w:sz w:val="24"/>
          <w:szCs w:val="24"/>
        </w:rPr>
        <w:t xml:space="preserve">Tier 2: Strong Conviction (Growth Positions)</w:t>
      </w:r>
    </w:p>
    <w:p>
      <w:pPr>
        <w:spacing w:before="60" w:after="120" w:line="340"/>
      </w:pPr>
      <w:r>
        <w:rPr>
          <w:rFonts w:ascii="Georgia" w:cs="Georgia" w:eastAsia="Georgia" w:hAnsi="Georgia"/>
          <w:color w:val="222222"/>
          <w:sz w:val="22"/>
          <w:szCs w:val="22"/>
        </w:rPr>
        <w:t xml:space="preserve">Excellent d/acc alignment with high composability but either longer breakaway timelines or more uncertain adoption paths.</w:t>
      </w:r>
    </w:p>
    <w:p>
      <w:pPr>
        <w:pStyle w:val="ListParagraph"/>
        <w:numPr>
          <w:ilvl w:val="0"/>
          <w:numId w:val="3"/>
        </w:numPr>
        <w:spacing w:before="40" w:after="40" w:line="320"/>
      </w:pPr>
      <w:r>
        <w:rPr>
          <w:rFonts w:ascii="Georgia" w:cs="Georgia" w:eastAsia="Georgia" w:hAnsi="Georgia"/>
          <w:color w:val="222222"/>
          <w:sz w:val="22"/>
          <w:szCs w:val="22"/>
        </w:rPr>
        <w:t xml:space="preserve">Data Availability Layers — decentralize critical infrastructure bottlenecks</w:t>
      </w:r>
    </w:p>
    <w:p>
      <w:pPr>
        <w:pStyle w:val="ListParagraph"/>
        <w:numPr>
          <w:ilvl w:val="0"/>
          <w:numId w:val="3"/>
        </w:numPr>
        <w:spacing w:before="40" w:after="40" w:line="320"/>
      </w:pPr>
      <w:r>
        <w:rPr>
          <w:rFonts w:ascii="Georgia" w:cs="Georgia" w:eastAsia="Georgia" w:hAnsi="Georgia"/>
          <w:color w:val="222222"/>
          <w:sz w:val="22"/>
          <w:szCs w:val="22"/>
        </w:rPr>
        <w:t xml:space="preserve">Quadratic Funding &amp; Democratic Mechanisms — COORDINATE + ACCELERATE dual function</w:t>
      </w:r>
    </w:p>
    <w:p>
      <w:pPr>
        <w:pStyle w:val="ListParagraph"/>
        <w:numPr>
          <w:ilvl w:val="0"/>
          <w:numId w:val="3"/>
        </w:numPr>
        <w:spacing w:before="40" w:after="40" w:line="320"/>
      </w:pPr>
      <w:r>
        <w:rPr>
          <w:rFonts w:ascii="Georgia" w:cs="Georgia" w:eastAsia="Georgia" w:hAnsi="Georgia"/>
          <w:color w:val="222222"/>
          <w:sz w:val="22"/>
          <w:szCs w:val="22"/>
        </w:rPr>
        <w:t xml:space="preserve">Epistemic Infrastructure — prediction markets, Community Notes-style systems</w:t>
      </w:r>
    </w:p>
    <w:p>
      <w:pPr>
        <w:pStyle w:val="ListParagraph"/>
        <w:numPr>
          <w:ilvl w:val="0"/>
          <w:numId w:val="3"/>
        </w:numPr>
        <w:spacing w:before="40" w:after="40" w:line="320"/>
      </w:pPr>
      <w:r>
        <w:rPr>
          <w:rFonts w:ascii="Georgia" w:cs="Georgia" w:eastAsia="Georgia" w:hAnsi="Georgia"/>
          <w:color w:val="222222"/>
          <w:sz w:val="22"/>
          <w:szCs w:val="22"/>
        </w:rPr>
        <w:t xml:space="preserve">Open Source Hardware — RISC-V and open silicon eliminating substrate-layer trust dependencies</w:t>
      </w:r>
    </w:p>
    <w:p>
      <w:pPr>
        <w:pStyle w:val="ListParagraph"/>
        <w:numPr>
          <w:ilvl w:val="0"/>
          <w:numId w:val="3"/>
        </w:numPr>
        <w:spacing w:before="40" w:after="40" w:line="320"/>
      </w:pPr>
      <w:r>
        <w:rPr>
          <w:rFonts w:ascii="Georgia" w:cs="Georgia" w:eastAsia="Georgia" w:hAnsi="Georgia"/>
          <w:color w:val="222222"/>
          <w:sz w:val="22"/>
          <w:szCs w:val="22"/>
        </w:rPr>
        <w:t xml:space="preserve">Multi-Party Computation — distributed secret sharing for custody and computation</w:t>
      </w:r>
    </w:p>
    <w:p>
      <w:pPr>
        <w:pStyle w:val="Heading3"/>
        <w:spacing w:before="240" w:after="120"/>
      </w:pPr>
      <w:r>
        <w:rPr>
          <w:rFonts w:ascii="Arial" w:cs="Arial" w:eastAsia="Arial" w:hAnsi="Arial"/>
          <w:b/>
          <w:bCs/>
          <w:color w:val="222222"/>
          <w:sz w:val="24"/>
          <w:szCs w:val="24"/>
        </w:rPr>
        <w:t xml:space="preserve">Tier 3: Selective Conviction (Speculative/Targeted)</w:t>
      </w:r>
    </w:p>
    <w:p>
      <w:pPr>
        <w:spacing w:before="60" w:after="120" w:line="340"/>
      </w:pPr>
      <w:r>
        <w:rPr>
          <w:rFonts w:ascii="Georgia" w:cs="Georgia" w:eastAsia="Georgia" w:hAnsi="Georgia"/>
          <w:color w:val="222222"/>
          <w:sz w:val="22"/>
          <w:szCs w:val="22"/>
        </w:rPr>
        <w:t xml:space="preserve">Context-dependent alignment requiring case-by-case evaluation. May be critical infrastructure with centralization concerns or early-stage categories with uncertain trajectories.</w:t>
      </w:r>
    </w:p>
    <w:p>
      <w:pPr>
        <w:pStyle w:val="ListParagraph"/>
        <w:numPr>
          <w:ilvl w:val="0"/>
          <w:numId w:val="3"/>
        </w:numPr>
        <w:spacing w:before="40" w:after="40" w:line="320"/>
      </w:pPr>
      <w:r>
        <w:rPr>
          <w:rFonts w:ascii="Georgia" w:cs="Georgia" w:eastAsia="Georgia" w:hAnsi="Georgia"/>
          <w:color w:val="222222"/>
          <w:sz w:val="22"/>
          <w:szCs w:val="22"/>
        </w:rPr>
        <w:t xml:space="preserve">Oracle Networks — critical hybrid-interface infrastructure but Chainlink’s market concentration creates capture risk</w:t>
      </w:r>
    </w:p>
    <w:p>
      <w:pPr>
        <w:pStyle w:val="ListParagraph"/>
        <w:numPr>
          <w:ilvl w:val="0"/>
          <w:numId w:val="3"/>
        </w:numPr>
        <w:spacing w:before="40" w:after="40" w:line="320"/>
      </w:pPr>
      <w:r>
        <w:rPr>
          <w:rFonts w:ascii="Georgia" w:cs="Georgia" w:eastAsia="Georgia" w:hAnsi="Georgia"/>
          <w:color w:val="222222"/>
          <w:sz w:val="22"/>
          <w:szCs w:val="22"/>
        </w:rPr>
        <w:t xml:space="preserve">DePIN — promising coordination mechanism for physical infrastructure but pre-breakaway with uncertain timing</w:t>
      </w:r>
    </w:p>
    <w:p>
      <w:pPr>
        <w:pStyle w:val="ListParagraph"/>
        <w:numPr>
          <w:ilvl w:val="0"/>
          <w:numId w:val="3"/>
        </w:numPr>
        <w:spacing w:before="40" w:after="40" w:line="320"/>
      </w:pPr>
      <w:r>
        <w:rPr>
          <w:rFonts w:ascii="Georgia" w:cs="Georgia" w:eastAsia="Georgia" w:hAnsi="Georgia"/>
          <w:color w:val="222222"/>
          <w:sz w:val="22"/>
          <w:szCs w:val="22"/>
        </w:rPr>
        <w:t xml:space="preserve">DeFi Protocols — permissionless access but plutocratic governance and MEV extraction concerns</w:t>
      </w:r>
    </w:p>
    <w:p>
      <w:pPr>
        <w:pStyle w:val="ListParagraph"/>
        <w:numPr>
          <w:ilvl w:val="0"/>
          <w:numId w:val="3"/>
        </w:numPr>
        <w:spacing w:before="40" w:after="40" w:line="320"/>
      </w:pPr>
      <w:r>
        <w:rPr>
          <w:rFonts w:ascii="Georgia" w:cs="Georgia" w:eastAsia="Georgia" w:hAnsi="Georgia"/>
          <w:color w:val="222222"/>
          <w:sz w:val="22"/>
          <w:szCs w:val="22"/>
        </w:rPr>
        <w:t xml:space="preserve">Cross-Chain Bridges — necessary for connectivity but $2.8B in historical exploits demonstrates attack surface</w:t>
      </w:r>
    </w:p>
    <w:p>
      <w:pPr>
        <w:pStyle w:val="Heading2"/>
        <w:spacing w:before="320" w:after="160"/>
      </w:pPr>
      <w:r>
        <w:rPr>
          <w:rFonts w:ascii="Arial" w:cs="Arial" w:eastAsia="Arial" w:hAnsi="Arial"/>
          <w:b/>
          <w:bCs/>
          <w:color w:val="2D5F8A"/>
          <w:sz w:val="28"/>
          <w:szCs w:val="28"/>
        </w:rPr>
        <w:t xml:space="preserve">5.4 The Counterfactual Test</w:t>
      </w:r>
    </w:p>
    <w:p>
      <w:pPr>
        <w:spacing w:before="60" w:after="120" w:line="340"/>
      </w:pPr>
      <w:r>
        <w:rPr>
          <w:rFonts w:ascii="Georgia" w:cs="Georgia" w:eastAsia="Georgia" w:hAnsi="Georgia"/>
          <w:color w:val="222222"/>
          <w:sz w:val="22"/>
          <w:szCs w:val="22"/>
        </w:rPr>
        <w:t xml:space="preserve">Borrowed from the existing portal and elevated to a first-class allocation principle: the relevant comparison for any investment is not to an ideal—it is to what would exist otherwise. Capital should be prioritized where the counterfactual—the world without d/acc investment—is most clearly worse.</w:t>
      </w:r>
    </w:p>
    <w:p>
      <w:pPr>
        <w:spacing w:before="60" w:after="120" w:line="340"/>
      </w:pPr>
      <w:r>
        <w:rPr>
          <w:rFonts w:ascii="Georgia" w:cs="Georgia" w:eastAsia="Georgia" w:hAnsi="Georgia"/>
          <w:color w:val="222222"/>
          <w:sz w:val="22"/>
          <w:szCs w:val="22"/>
        </w:rPr>
        <w:t xml:space="preserve">By this measure, the highest-urgency allocations are:</w:t>
      </w:r>
    </w:p>
    <w:p>
      <w:pPr>
        <w:pStyle w:val="ListParagraph"/>
        <w:numPr>
          <w:ilvl w:val="0"/>
          <w:numId w:val="3"/>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ZK Identity:</w:t>
      </w:r>
      <w:r>
        <w:rPr>
          <w:rFonts w:ascii="Georgia" w:cs="Georgia" w:eastAsia="Georgia" w:hAnsi="Georgia"/>
          <w:color w:val="222222"/>
          <w:sz w:val="22"/>
          <w:szCs w:val="22"/>
        </w:rPr>
        <w:t xml:space="preserve"> Without d/acc capital, privacy and compliance become mutually exclusive. The vacuum fills with KYC-everywhere surveillance infrastructure.</w:t>
      </w:r>
    </w:p>
    <w:p>
      <w:pPr>
        <w:pStyle w:val="ListParagraph"/>
        <w:numPr>
          <w:ilvl w:val="0"/>
          <w:numId w:val="3"/>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Decentralized Identity:</w:t>
      </w:r>
      <w:r>
        <w:rPr>
          <w:rFonts w:ascii="Georgia" w:cs="Georgia" w:eastAsia="Georgia" w:hAnsi="Georgia"/>
          <w:color w:val="222222"/>
          <w:sz w:val="22"/>
          <w:szCs w:val="22"/>
        </w:rPr>
        <w:t xml:space="preserve"> Without d/acc capital, platform-controlled credentials (Apple Passkeys, Google Identity) dominate. Users lose sovereignty over their own digital existence.</w:t>
      </w:r>
    </w:p>
    <w:p>
      <w:pPr>
        <w:pStyle w:val="ListParagraph"/>
        <w:numPr>
          <w:ilvl w:val="0"/>
          <w:numId w:val="3"/>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AI Verification:</w:t>
      </w:r>
      <w:r>
        <w:rPr>
          <w:rFonts w:ascii="Georgia" w:cs="Georgia" w:eastAsia="Georgia" w:hAnsi="Georgia"/>
          <w:color w:val="222222"/>
          <w:sz w:val="22"/>
          <w:szCs w:val="22"/>
        </w:rPr>
        <w:t xml:space="preserve"> Without d/acc capital, AI inference becomes a black box controlled by three to four companies. No verifiable provenance, no humanness guarantees, no accountability.</w:t>
      </w:r>
    </w:p>
    <w:p>
      <w:pPr>
        <w:pStyle w:val="ListParagraph"/>
        <w:numPr>
          <w:ilvl w:val="0"/>
          <w:numId w:val="3"/>
        </w:numPr>
        <w:spacing w:before="40" w:after="40" w:line="320"/>
      </w:pPr>
      <w:r>
        <w:rPr>
          <w:rFonts w:ascii="Georgia" w:cs="Georgia" w:eastAsia="Georgia" w:hAnsi="Georgia"/>
          <w:color w:val="222222"/>
          <w:sz w:val="22"/>
          <w:szCs w:val="22"/>
        </w:rPr>
        <w:t xml:space="preserve"/>
      </w:r>
      <w:r>
        <w:rPr>
          <w:rFonts w:ascii="Georgia" w:cs="Georgia" w:eastAsia="Georgia" w:hAnsi="Georgia"/>
          <w:b/>
          <w:bCs/>
          <w:color w:val="222222"/>
          <w:sz w:val="22"/>
          <w:szCs w:val="22"/>
        </w:rPr>
        <w:t xml:space="preserve">Decentralized Stablecoins:</w:t>
      </w:r>
      <w:r>
        <w:rPr>
          <w:rFonts w:ascii="Georgia" w:cs="Georgia" w:eastAsia="Georgia" w:hAnsi="Georgia"/>
          <w:color w:val="222222"/>
          <w:sz w:val="22"/>
          <w:szCs w:val="22"/>
        </w:rPr>
        <w:t xml:space="preserve"> Without d/acc capital, CBDCs and surveilled payment rails become the only option for digital transactions. Monetary privacy ceases to exist.</w:t>
      </w:r>
    </w:p>
    <w:p>
      <w:pPr>
        <w:pBdr>
          <w:bottom w:val="single" w:color="D0D5DD" w:sz="1" w:space="8"/>
        </w:pBdr>
        <w:spacing w:before="300" w:after="300"/>
      </w:pPr>
    </w:p>
    <w:p>
      <w:pPr>
        <w:pStyle w:val="Heading1"/>
        <w:spacing w:before="400" w:after="200"/>
      </w:pPr>
      <w:r>
        <w:rPr>
          <w:rFonts w:ascii="Arial" w:cs="Arial" w:eastAsia="Arial" w:hAnsi="Arial"/>
          <w:b/>
          <w:bCs/>
          <w:color w:val="1A1A2E"/>
          <w:sz w:val="36"/>
          <w:szCs w:val="36"/>
        </w:rPr>
        <w:t xml:space="preserve">6. Identified Gaps and Proposed Extensions</w:t>
      </w:r>
    </w:p>
    <w:p>
      <w:pPr>
        <w:spacing w:before="60" w:after="120" w:line="340"/>
      </w:pPr>
      <w:r>
        <w:rPr>
          <w:rFonts w:ascii="Georgia" w:cs="Georgia" w:eastAsia="Georgia" w:hAnsi="Georgia"/>
          <w:color w:val="222222"/>
          <w:sz w:val="22"/>
          <w:szCs w:val="22"/>
        </w:rPr>
        <w:t xml:space="preserve">This framework identifies six structural gaps in the existing d/acc taxonomy that should be addressed to achieve canonical completeness.</w:t>
      </w:r>
    </w:p>
    <w:p>
      <w:pPr>
        <w:pStyle w:val="Heading3"/>
        <w:spacing w:before="240" w:after="120"/>
      </w:pPr>
      <w:r>
        <w:rPr>
          <w:rFonts w:ascii="Arial" w:cs="Arial" w:eastAsia="Arial" w:hAnsi="Arial"/>
          <w:b/>
          <w:bCs/>
          <w:color w:val="222222"/>
          <w:sz w:val="24"/>
          <w:szCs w:val="24"/>
        </w:rPr>
        <w:t xml:space="preserve">Gap 1: AI Defense &amp; Verification</w:t>
      </w:r>
    </w:p>
    <w:p>
      <w:pPr>
        <w:spacing w:before="60" w:after="120" w:line="340"/>
      </w:pPr>
      <w:r>
        <w:rPr>
          <w:rFonts w:ascii="Georgia" w:cs="Georgia" w:eastAsia="Georgia" w:hAnsi="Georgia"/>
          <w:color w:val="222222"/>
          <w:sz w:val="22"/>
          <w:szCs w:val="22"/>
        </w:rPr>
        <w:t xml:space="preserve">The most critical omission. AI represents the most powerful offensive technology in human history, yet the current taxonomy contains no sector, primitive category, or application category for AI defense. This gap corresponds to the missing “adaptive immunity” layer in the immune system isomorphism. Specific technologies include: verifiable AI inference (ZK-ML), AI-resistant identity (humanness proofs), decentralized AI training and inference, defensive AI (anomaly detection, deepfake identification), and autonomous agent coordination protocols. Proposed placement: a new sector in Digital Defense with cross-cutting implications for Digital Coordination.</w:t>
      </w:r>
    </w:p>
    <w:p>
      <w:pPr>
        <w:pStyle w:val="Heading3"/>
        <w:spacing w:before="240" w:after="120"/>
      </w:pPr>
      <w:r>
        <w:rPr>
          <w:rFonts w:ascii="Arial" w:cs="Arial" w:eastAsia="Arial" w:hAnsi="Arial"/>
          <w:b/>
          <w:bCs/>
          <w:color w:val="222222"/>
          <w:sz w:val="24"/>
          <w:szCs w:val="24"/>
        </w:rPr>
        <w:t xml:space="preserve">Gap 2: The Hybrid Interface (Atoms↔Bits)</w:t>
      </w:r>
    </w:p>
    <w:p>
      <w:pPr>
        <w:spacing w:before="60" w:after="120" w:line="340"/>
      </w:pPr>
      <w:r>
        <w:rPr>
          <w:rFonts w:ascii="Georgia" w:cs="Georgia" w:eastAsia="Georgia" w:hAnsi="Georgia"/>
          <w:color w:val="222222"/>
          <w:sz w:val="22"/>
          <w:szCs w:val="22"/>
        </w:rPr>
        <w:t xml:space="preserve">The 2×2 matrix assumes technologies are either digital or physical, but the most vulnerable d/acc infrastructure lives at the interface. Oracles, hardware attestation, DePIN, IoT+blockchain, and supply chain verification all share a common challenge: bridging the trusted digital domain with the untrusted physical domain. This corresponds to the “mucosal membrane” in the immune system—the surface where inside meets outside and where pathogens most often gain entry. Proposed placement: a third row in the operational matrix.</w:t>
      </w:r>
    </w:p>
    <w:p>
      <w:pPr>
        <w:pStyle w:val="Heading3"/>
        <w:spacing w:before="240" w:after="120"/>
      </w:pPr>
      <w:r>
        <w:rPr>
          <w:rFonts w:ascii="Arial" w:cs="Arial" w:eastAsia="Arial" w:hAnsi="Arial"/>
          <w:b/>
          <w:bCs/>
          <w:color w:val="222222"/>
          <w:sz w:val="24"/>
          <w:szCs w:val="24"/>
        </w:rPr>
        <w:t xml:space="preserve">Gap 3: Temporal/Acceleration Dynamics</w:t>
      </w:r>
    </w:p>
    <w:p>
      <w:pPr>
        <w:spacing w:before="60" w:after="120" w:line="340"/>
      </w:pPr>
      <w:r>
        <w:rPr>
          <w:rFonts w:ascii="Georgia" w:cs="Georgia" w:eastAsia="Georgia" w:hAnsi="Georgia"/>
          <w:color w:val="222222"/>
          <w:sz w:val="22"/>
          <w:szCs w:val="22"/>
        </w:rPr>
        <w:t xml:space="preserve">The taxonomy is static despite the framework’s emphasis on acceleration. The four breakaway dynamics (threshold, network effect, regulatory ratchet, composability multiplier) should be tracked as properties of each technology, with proximity estimates updated quarterly.</w:t>
      </w:r>
    </w:p>
    <w:p>
      <w:pPr>
        <w:pStyle w:val="Heading3"/>
        <w:spacing w:before="240" w:after="120"/>
      </w:pPr>
      <w:r>
        <w:rPr>
          <w:rFonts w:ascii="Arial" w:cs="Arial" w:eastAsia="Arial" w:hAnsi="Arial"/>
          <w:b/>
          <w:bCs/>
          <w:color w:val="222222"/>
          <w:sz w:val="24"/>
          <w:szCs w:val="24"/>
        </w:rPr>
        <w:t xml:space="preserve">Gap 4: Composability Mapping</w:t>
      </w:r>
    </w:p>
    <w:p>
      <w:pPr>
        <w:spacing w:before="60" w:after="120" w:line="340"/>
      </w:pPr>
      <w:r>
        <w:rPr>
          <w:rFonts w:ascii="Georgia" w:cs="Georgia" w:eastAsia="Georgia" w:hAnsi="Georgia"/>
          <w:color w:val="222222"/>
          <w:sz w:val="22"/>
          <w:szCs w:val="22"/>
        </w:rPr>
        <w:t xml:space="preserve">The 29 primitive categories are listed flat, but the exponential returns live at their intersections. The taxonomy should include an explicit composability matrix showing which primitives amplify which others, enabling portfolio construction that optimizes for cross-primitive value creation.</w:t>
      </w:r>
    </w:p>
    <w:p>
      <w:pPr>
        <w:pStyle w:val="Heading3"/>
        <w:spacing w:before="240" w:after="120"/>
      </w:pPr>
      <w:r>
        <w:rPr>
          <w:rFonts w:ascii="Arial" w:cs="Arial" w:eastAsia="Arial" w:hAnsi="Arial"/>
          <w:b/>
          <w:bCs/>
          <w:color w:val="222222"/>
          <w:sz w:val="24"/>
          <w:szCs w:val="24"/>
        </w:rPr>
        <w:t xml:space="preserve">Gap 5: Legal &amp; Institutional Defense</w:t>
      </w:r>
    </w:p>
    <w:p>
      <w:pPr>
        <w:spacing w:before="60" w:after="120" w:line="340"/>
      </w:pPr>
      <w:r>
        <w:rPr>
          <w:rFonts w:ascii="Georgia" w:cs="Georgia" w:eastAsia="Georgia" w:hAnsi="Georgia"/>
          <w:color w:val="222222"/>
          <w:sz w:val="22"/>
          <w:szCs w:val="22"/>
        </w:rPr>
        <w:t xml:space="preserve">Technical defense is worthless if outlawed. Tornado Cash demonstrates that technically perfect d/acc technology can be legally destroyed. DAO legal wrappers, open source licensing, privacy law as shield, and digital rights advocacy constitute the political defense layer that protects the technical defense layer. Proposed placement: cross-cutting category.</w:t>
      </w:r>
    </w:p>
    <w:p>
      <w:pPr>
        <w:pStyle w:val="Heading3"/>
        <w:spacing w:before="240" w:after="120"/>
      </w:pPr>
      <w:r>
        <w:rPr>
          <w:rFonts w:ascii="Arial" w:cs="Arial" w:eastAsia="Arial" w:hAnsi="Arial"/>
          <w:b/>
          <w:bCs/>
          <w:color w:val="222222"/>
          <w:sz w:val="24"/>
          <w:szCs w:val="24"/>
        </w:rPr>
        <w:t xml:space="preserve">Gap 6: Supply Chain Verification</w:t>
      </w:r>
    </w:p>
    <w:p>
      <w:pPr>
        <w:spacing w:before="60" w:after="120" w:line="340"/>
      </w:pPr>
      <w:r>
        <w:rPr>
          <w:rFonts w:ascii="Georgia" w:cs="Georgia" w:eastAsia="Georgia" w:hAnsi="Georgia"/>
          <w:color w:val="222222"/>
          <w:sz w:val="22"/>
          <w:szCs w:val="22"/>
        </w:rPr>
        <w:t xml:space="preserve">Provenance verification bridges multiple trust domains using multiple d/acc primitives (ZK for privacy, oracles for data, attestation for provenance). The global anti-counterfeiting market exceeds $100B. Proposed placement: Hybrid Interface sector.</w:t>
      </w:r>
    </w:p>
    <w:p>
      <w:pPr>
        <w:pBdr>
          <w:bottom w:val="single" w:color="D0D5DD" w:sz="1" w:space="8"/>
        </w:pBdr>
        <w:spacing w:before="300" w:after="300"/>
      </w:pPr>
    </w:p>
    <w:p>
      <w:pPr>
        <w:pStyle w:val="Heading1"/>
        <w:spacing w:before="400" w:after="200"/>
      </w:pPr>
      <w:r>
        <w:rPr>
          <w:rFonts w:ascii="Arial" w:cs="Arial" w:eastAsia="Arial" w:hAnsi="Arial"/>
          <w:b/>
          <w:bCs/>
          <w:color w:val="1A1A2E"/>
          <w:sz w:val="36"/>
          <w:szCs w:val="36"/>
        </w:rPr>
        <w:t xml:space="preserve">7. Conclusion: The Canonical Thesis</w:t>
      </w:r>
    </w:p>
    <w:p>
      <w:pPr>
        <w:spacing w:before="60" w:after="120" w:line="340"/>
      </w:pPr>
      <w:r>
        <w:rPr>
          <w:rFonts w:ascii="Georgia" w:cs="Georgia" w:eastAsia="Georgia" w:hAnsi="Georgia"/>
          <w:color w:val="222222"/>
          <w:sz w:val="22"/>
          <w:szCs w:val="22"/>
        </w:rPr>
        <w:t xml:space="preserve">Defensive accelerationism is not a niche within technology investing. It is a fundamental reorientation of how capital should relate to technological development.</w:t>
      </w:r>
    </w:p>
    <w:p>
      <w:pPr>
        <w:spacing w:before="60" w:after="120" w:line="340"/>
      </w:pPr>
      <w:r>
        <w:rPr>
          <w:rFonts w:ascii="Georgia" w:cs="Georgia" w:eastAsia="Georgia" w:hAnsi="Georgia"/>
          <w:color w:val="222222"/>
          <w:sz w:val="22"/>
          <w:szCs w:val="22"/>
        </w:rPr>
        <w:t xml:space="preserve">The theoretical framework established in this paper demonstrates that d/acc technologies share three structural properties that distinguish them from all other technology categories: they shift the offense/defense cost ratio toward defense (making cooperation the dominant strategy), they substitute mathematical trust for institutional trust (eliminating structural dependencies on centralized intermediaries), and they exhibit anti-rival economics (making wider adoption beneficial to all existing participants, including investors).</w:t>
      </w:r>
    </w:p>
    <w:p>
      <w:pPr>
        <w:spacing w:before="60" w:after="120" w:line="340"/>
      </w:pPr>
      <w:r>
        <w:rPr>
          <w:rFonts w:ascii="Georgia" w:cs="Georgia" w:eastAsia="Georgia" w:hAnsi="Georgia"/>
          <w:color w:val="222222"/>
          <w:sz w:val="22"/>
          <w:szCs w:val="22"/>
        </w:rPr>
        <w:t xml:space="preserve">The canonical taxonomy proposed here—spanning eight trust domains, six technology stack layers, four functional roles, and four breakaway dynamics—provides a rigorous, multi-dimensional framework for identifying, evaluating, and organizing d/acc investment opportunities. The immune system isomorphism provides both a unifying metaphor and an analytical tool for ensuring comprehensive portfolio coverage.</w:t>
      </w:r>
    </w:p>
    <w:p>
      <w:pPr>
        <w:spacing w:before="60" w:after="120" w:line="340"/>
      </w:pPr>
      <w:r>
        <w:rPr>
          <w:rFonts w:ascii="Georgia" w:cs="Georgia" w:eastAsia="Georgia" w:hAnsi="Georgia"/>
          <w:color w:val="222222"/>
          <w:sz w:val="22"/>
          <w:szCs w:val="22"/>
        </w:rPr>
        <w:t xml:space="preserve">Most importantly, the anti-rival economics of d/acc technologies mean that the apparent tension between financial returns and civilizational benefit does not exist. In anti-rival markets, the social good and the financial return are the same thing. Every user who adopts a defensive technology makes the investment in that technology more valuable. Every composable primitive that integrates with another amplifies both.</w:t>
      </w:r>
    </w:p>
    <w:p>
      <w:pPr>
        <w:spacing w:before="60" w:after="120" w:line="340"/>
      </w:pPr>
      <w:r>
        <w:rPr>
          <w:rFonts w:ascii="Georgia" w:cs="Georgia" w:eastAsia="Georgia" w:hAnsi="Georgia"/>
          <w:color w:val="222222"/>
          <w:sz w:val="22"/>
          <w:szCs w:val="22"/>
        </w:rPr>
        <w:t xml:space="preserve">The canonical thesis, in a single sentence:</w:t>
      </w:r>
    </w:p>
    <w:p>
      <w:pPr>
        <w:spacing w:before="60" w:after="60"/>
      </w:pPr>
    </w:p>
    <w:p>
      <w:pPr>
        <w:pBdr>
          <w:top w:val="single" w:color="4A90D9" w:sz="2" w:space="16"/>
          <w:bottom w:val="single" w:color="4A90D9" w:sz="2" w:space="16"/>
        </w:pBdr>
        <w:spacing w:before="200" w:after="200" w:line="360"/>
        <w:jc w:val="center"/>
      </w:pPr>
      <w:r>
        <w:rPr>
          <w:rFonts w:ascii="Georgia" w:cs="Georgia" w:eastAsia="Georgia" w:hAnsi="Georgia"/>
          <w:b/>
          <w:bCs/>
          <w:i/>
          <w:iCs/>
          <w:color w:val="1A1A2E"/>
          <w:sz w:val="22"/>
          <w:szCs w:val="22"/>
        </w:rPr>
        <w:t xml:space="preserve">d/acc invests in the components of a civilizational immune system—technologies that make defense cheaper than offense, trust mathematical rather than institutional, and defensive value anti-rival—creating portfolios where financial returns and civilizational resilience are structurally identical.</w:t>
      </w:r>
    </w:p>
    <w:p>
      <w:pPr>
        <w:spacing w:before="200" w:after="200"/>
      </w:pPr>
    </w:p>
    <w:p>
      <w:pPr>
        <w:spacing w:before="60" w:after="120" w:line="340"/>
      </w:pPr>
      <w:r>
        <w:rPr>
          <w:rFonts w:ascii="Georgia" w:cs="Georgia" w:eastAsia="Georgia" w:hAnsi="Georgia"/>
          <w:color w:val="222222"/>
          <w:sz w:val="22"/>
          <w:szCs w:val="22"/>
        </w:rPr>
        <w:t xml:space="preserve">This is not optimism. It is not ideology. It is engineering—the deliberate design of infrastructure that makes human civilization structurally resilient to catastrophic failure, structurally resistant to authoritarian capture, and structurally conducive to human flourishing. The tools exist. The economics are favorable. The capital allocation framework is now defined.</w:t>
      </w:r>
    </w:p>
    <w:p>
      <w:pPr>
        <w:spacing w:before="200" w:after="200"/>
      </w:pPr>
    </w:p>
    <w:p>
      <w:pPr>
        <w:pBdr>
          <w:bottom w:val="single" w:color="D0D5DD" w:sz="1" w:space="8"/>
        </w:pBdr>
        <w:spacing w:before="300" w:after="300"/>
      </w:pPr>
    </w:p>
    <w:p>
      <w:pPr>
        <w:pStyle w:val="Heading1"/>
        <w:spacing w:before="400" w:after="200"/>
      </w:pPr>
      <w:r>
        <w:rPr>
          <w:rFonts w:ascii="Arial" w:cs="Arial" w:eastAsia="Arial" w:hAnsi="Arial"/>
          <w:b/>
          <w:bCs/>
          <w:color w:val="1A1A2E"/>
          <w:sz w:val="36"/>
          <w:szCs w:val="36"/>
        </w:rPr>
        <w:t xml:space="preserve">References &amp; Source Material</w:t>
      </w:r>
    </w:p>
    <w:p>
      <w:pPr>
        <w:spacing w:before="60" w:after="120" w:line="340"/>
      </w:pPr>
      <w:r>
        <w:rPr>
          <w:rFonts w:ascii="Georgia" w:cs="Georgia" w:eastAsia="Georgia" w:hAnsi="Georgia"/>
          <w:color w:val="222222"/>
          <w:sz w:val="22"/>
          <w:szCs w:val="22"/>
        </w:rPr>
        <w:t xml:space="preserve">Buterin, V. (2023). “My Techno-Optimism.” vitalik.eth.limo.</w:t>
      </w:r>
    </w:p>
    <w:p>
      <w:pPr>
        <w:spacing w:before="60" w:after="120" w:line="340"/>
      </w:pPr>
      <w:r>
        <w:rPr>
          <w:rFonts w:ascii="Georgia" w:cs="Georgia" w:eastAsia="Georgia" w:hAnsi="Georgia"/>
          <w:color w:val="222222"/>
          <w:sz w:val="22"/>
          <w:szCs w:val="22"/>
        </w:rPr>
        <w:t xml:space="preserve">Buterin, V. (2025). “d/acc: One Year Later.” vitalik.eth.limo.</w:t>
      </w:r>
    </w:p>
    <w:p>
      <w:pPr>
        <w:spacing w:before="60" w:after="120" w:line="340"/>
      </w:pPr>
      <w:r>
        <w:rPr>
          <w:rFonts w:ascii="Georgia" w:cs="Georgia" w:eastAsia="Georgia" w:hAnsi="Georgia"/>
          <w:color w:val="222222"/>
          <w:sz w:val="22"/>
          <w:szCs w:val="22"/>
        </w:rPr>
        <w:t xml:space="preserve">Coase, R. H. (1937). “The Nature of the Firm.” Economica, 4(16), 386–405.</w:t>
      </w:r>
    </w:p>
    <w:p>
      <w:pPr>
        <w:spacing w:before="60" w:after="120" w:line="340"/>
      </w:pPr>
      <w:r>
        <w:rPr>
          <w:rFonts w:ascii="Georgia" w:cs="Georgia" w:eastAsia="Georgia" w:hAnsi="Georgia"/>
          <w:color w:val="222222"/>
          <w:sz w:val="22"/>
          <w:szCs w:val="22"/>
        </w:rPr>
        <w:t xml:space="preserve">Gans, J. S. (2023). “Anti-Rival Goods.” NBER Working Paper.</w:t>
      </w:r>
    </w:p>
    <w:p>
      <w:pPr>
        <w:spacing w:before="60" w:after="120" w:line="340"/>
      </w:pPr>
      <w:r>
        <w:rPr>
          <w:rFonts w:ascii="Georgia" w:cs="Georgia" w:eastAsia="Georgia" w:hAnsi="Georgia"/>
          <w:color w:val="222222"/>
          <w:sz w:val="22"/>
          <w:szCs w:val="22"/>
        </w:rPr>
        <w:t xml:space="preserve">Weber, S. (2004). The Success of Open Source. Harvard University Press.</w:t>
      </w:r>
    </w:p>
    <w:p>
      <w:pPr>
        <w:spacing w:before="60" w:after="120" w:line="340"/>
      </w:pPr>
      <w:r>
        <w:rPr>
          <w:rFonts w:ascii="Georgia" w:cs="Georgia" w:eastAsia="Georgia" w:hAnsi="Georgia"/>
          <w:color w:val="222222"/>
          <w:sz w:val="22"/>
          <w:szCs w:val="22"/>
        </w:rPr>
        <w:t xml:space="preserve">Buterin, V., Hitzig, Z., &amp; Weyl, E. G. (2019). “A Flexible Design for Funding Public Goods.” Management Science.</w:t>
      </w:r>
    </w:p>
    <w:p>
      <w:pPr>
        <w:spacing w:before="60" w:after="120" w:line="340"/>
      </w:pPr>
      <w:r>
        <w:rPr>
          <w:rFonts w:ascii="Georgia" w:cs="Georgia" w:eastAsia="Georgia" w:hAnsi="Georgia"/>
          <w:color w:val="222222"/>
          <w:sz w:val="22"/>
          <w:szCs w:val="22"/>
        </w:rPr>
        <w:t xml:space="preserve">OpenCivics / Allo Capital. (2025–2026). d/acc Research Portal. Internal research database.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OpenCivics / Allo Capital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d/acc: Canonical Taxonomy &amp;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upperRoman"/>
      <w:lvlText w:val="%1."/>
      <w:lvlJc w:val="left"/>
      <w:pPr>
        <w:ind w:left="720" w:hanging="360"/>
      </w:pPr>
    </w:lvl>
  </w:abstractNum>
  <w:abstractNum w:abstractNumId="10"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D5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2026-02-06T09:04:37.106Z</dcterms:created>
  <dcterms:modified xsi:type="dcterms:W3CDTF">2026-02-06T09:04:37.106Z</dcterms:modified>
</cp:coreProperties>
</file>

<file path=docProps/custom.xml><?xml version="1.0" encoding="utf-8"?>
<Properties xmlns="http://schemas.openxmlformats.org/officeDocument/2006/custom-properties" xmlns:vt="http://schemas.openxmlformats.org/officeDocument/2006/docPropsVTypes"/>
</file>