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ADR-ISBA 2024 – Datos que deben aparecer en cada pestaña del gestor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darkGray"/>
        </w:rPr>
        <w:t>Validació:</w:t>
      </w:r>
    </w:p>
    <w:p>
      <w:pPr>
        <w:pStyle w:val="Normal"/>
        <w:rPr>
          <w:rStyle w:val="Strong"/>
          <w:rFonts w:ascii="Segoe UI" w:hAnsi="Segoe UI" w:cs="Segoe UI"/>
          <w:color w:val="212529"/>
          <w:sz w:val="18"/>
          <w:szCs w:val="18"/>
          <w:shd w:fill="F8F9FA" w:val="clear"/>
        </w:rPr>
      </w:pPr>
      <w:r>
        <w:rPr>
          <w:rFonts w:cs="Segoe UI" w:ascii="Segoe UI" w:hAnsi="Segoe UI"/>
          <w:color w:val="212529"/>
          <w:sz w:val="18"/>
          <w:szCs w:val="18"/>
          <w:shd w:fill="F8F9FA" w:val="clear"/>
        </w:rPr>
      </w:r>
    </w:p>
    <w:p>
      <w:pPr>
        <w:pStyle w:val="ListParagraph"/>
        <w:numPr>
          <w:ilvl w:val="0"/>
          <w:numId w:val="1"/>
        </w:numPr>
        <w:rPr>
          <w:color w:val="00A933"/>
        </w:rPr>
      </w:pPr>
      <w:r>
        <w:rPr>
          <w:b/>
          <w:bCs/>
          <w:color w:val="00A933"/>
        </w:rPr>
        <w:t xml:space="preserve">actos administrativos: </w:t>
      </w:r>
    </w:p>
    <w:p>
      <w:pPr>
        <w:pStyle w:val="Normal"/>
        <w:rPr/>
      </w:pPr>
      <w:r>
        <w:rPr>
          <w:rStyle w:val="Strong"/>
          <w:rFonts w:cs="Segoe UI" w:ascii="Segoe UI" w:hAnsi="Segoe UI"/>
          <w:color w:val="00A933"/>
          <w:sz w:val="18"/>
          <w:szCs w:val="18"/>
          <w:shd w:fill="F8F9FA" w:val="clear"/>
        </w:rPr>
        <w:t>Sobra el 11 (que va en justificación</w:t>
      </w:r>
    </w:p>
    <w:p>
      <w:pPr>
        <w:pStyle w:val="Normal"/>
        <w:rPr>
          <w:rStyle w:val="Strong"/>
          <w:rFonts w:ascii="Segoe UI" w:hAnsi="Segoe UI" w:cs="Segoe UI"/>
          <w:color w:val="212529"/>
          <w:sz w:val="18"/>
          <w:szCs w:val="18"/>
          <w:shd w:fill="F8F9FA" w:val="clear"/>
        </w:rPr>
      </w:pPr>
      <w:r>
        <w:rPr>
          <w:rFonts w:cs="Segoe UI" w:ascii="Segoe UI" w:hAnsi="Segoe UI"/>
          <w:color w:val="212529"/>
          <w:sz w:val="18"/>
          <w:szCs w:val="18"/>
          <w:shd w:fill="F8F9FA" w:val="clear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darkGray"/>
        </w:rPr>
        <w:t>Justificació:</w:t>
      </w:r>
      <w:r>
        <w:rPr>
          <w:b/>
          <w:bCs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color w:val="00A933"/>
        </w:rPr>
      </w:pPr>
      <w:r>
        <w:rPr>
          <w:b/>
          <w:bCs/>
          <w:color w:val="00A933"/>
          <w:sz w:val="24"/>
          <w:szCs w:val="24"/>
        </w:rPr>
        <w:t xml:space="preserve">Detall: poner lo primero  la </w:t>
      </w:r>
      <w:r>
        <w:rPr>
          <w:b/>
          <w:bCs/>
          <w:color w:val="00A933"/>
          <w:sz w:val="24"/>
          <w:szCs w:val="24"/>
          <w:highlight w:val="yellow"/>
        </w:rPr>
        <w:t>data de notificación</w:t>
      </w:r>
      <w:r>
        <w:rPr>
          <w:b/>
          <w:bCs/>
          <w:color w:val="00A933"/>
          <w:sz w:val="24"/>
          <w:szCs w:val="24"/>
        </w:rPr>
        <w:t xml:space="preserve"> de </w:t>
      </w:r>
      <w:r>
        <w:rPr>
          <w:b/>
          <w:bCs/>
          <w:color w:val="00A933"/>
          <w:sz w:val="24"/>
          <w:szCs w:val="24"/>
          <w:lang w:val="ca-ES" w:eastAsia="en-US" w:bidi="ar-SA"/>
        </w:rPr>
        <w:t>resolució de concesió</w:t>
      </w:r>
      <w:r>
        <w:rPr>
          <w:b/>
          <w:bCs/>
          <w:color w:val="00A933"/>
          <w:sz w:val="24"/>
          <w:szCs w:val="24"/>
        </w:rPr>
        <w:t xml:space="preserve"> (ahora está puesta la data de resolución)</w:t>
      </w:r>
      <w:r>
        <w:rPr>
          <w:b/>
          <w:bCs/>
          <w:color w:val="FF860D"/>
          <w:sz w:val="24"/>
          <w:szCs w:val="24"/>
        </w:rPr>
        <w:t xml:space="preserve"> </w:t>
      </w:r>
      <w:r>
        <w:rPr>
          <w:b/>
          <w:bCs/>
          <w:color w:val="FF860D"/>
          <w:sz w:val="24"/>
          <w:szCs w:val="24"/>
        </w:rPr>
        <w:t>[¿</w:t>
      </w:r>
      <w:r>
        <w:rPr>
          <w:b/>
          <w:bCs/>
          <w:color w:val="FF860D"/>
          <w:sz w:val="24"/>
          <w:szCs w:val="24"/>
          <w:lang w:val="ca-ES" w:eastAsia="en-US" w:bidi="ar-SA"/>
        </w:rPr>
        <w:t>resolució de concessió</w:t>
      </w:r>
      <w:r>
        <w:rPr>
          <w:b/>
          <w:bCs/>
          <w:color w:val="FF860D"/>
          <w:sz w:val="24"/>
          <w:szCs w:val="24"/>
        </w:rPr>
        <w:t xml:space="preserve"> es lo mismo que ‘resolució de pagament?]</w:t>
      </w:r>
    </w:p>
    <w:p>
      <w:pPr>
        <w:pStyle w:val="ListParagraph"/>
        <w:numPr>
          <w:ilvl w:val="0"/>
          <w:numId w:val="2"/>
        </w:numPr>
        <w:rPr>
          <w:color w:val="00A933"/>
        </w:rPr>
      </w:pPr>
      <w:r>
        <w:rPr>
          <w:b/>
          <w:bCs/>
          <w:color w:val="00A933"/>
          <w:sz w:val="24"/>
          <w:szCs w:val="24"/>
        </w:rPr>
        <w:t xml:space="preserve">Detall: Añadir data máxima justificació : son </w:t>
      </w:r>
      <w:r>
        <w:rPr>
          <w:b/>
          <w:bCs/>
          <w:color w:val="00A933"/>
          <w:sz w:val="24"/>
          <w:szCs w:val="24"/>
          <w:highlight w:val="yellow"/>
        </w:rPr>
        <w:t>6 meses</w:t>
      </w:r>
      <w:r>
        <w:rPr>
          <w:b/>
          <w:bCs/>
          <w:color w:val="00A933"/>
          <w:sz w:val="24"/>
          <w:szCs w:val="24"/>
        </w:rPr>
        <w:t xml:space="preserve"> desde la notificación de la resolución de concesión (dije 5, sorry) </w:t>
      </w:r>
      <w:r>
        <w:rPr>
          <w:b/>
          <w:bCs/>
          <w:color w:val="FF860D"/>
          <w:sz w:val="24"/>
          <w:szCs w:val="24"/>
        </w:rPr>
        <w:t>[cuando, desde ISBA, se envíe el ‘Formulari de justificació’ automáticamente se calculará la ‘Data máxima justificació’ sumando 6 meses a la fecha en la que se hace el envío y se cambiará la situación del expediente a ‘Pendent de justificar’]</w:t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color w:val="00A933"/>
        </w:rPr>
      </w:pPr>
      <w:r>
        <w:rPr>
          <w:b/>
          <w:bCs/>
          <w:color w:val="00A933"/>
          <w:sz w:val="24"/>
          <w:szCs w:val="24"/>
        </w:rPr>
        <w:t>Actos admistrativos</w:t>
      </w:r>
    </w:p>
    <w:p>
      <w:pPr>
        <w:pStyle w:val="ListParagraph"/>
        <w:ind w:left="1440" w:hanging="0"/>
        <w:rPr>
          <w:color w:val="00A933"/>
        </w:rPr>
      </w:pPr>
      <w:r>
        <w:rPr>
          <w:b/>
          <w:bCs/>
          <w:color w:val="00A933"/>
          <w:sz w:val="24"/>
          <w:szCs w:val="24"/>
          <w:highlight w:val="green"/>
          <w:lang w:val="ca-ES"/>
        </w:rPr>
        <w:t>Resolució de pagament i justificació (ponerlo en esta pestaña)</w:t>
      </w:r>
    </w:p>
    <w:p>
      <w:pPr>
        <w:pStyle w:val="ListParagraph"/>
        <w:ind w:left="1440" w:hanging="0"/>
        <w:rPr>
          <w:color w:val="00A933"/>
        </w:rPr>
      </w:pPr>
      <w:r>
        <w:rPr>
          <w:b/>
          <w:bCs/>
          <w:color w:val="00A933"/>
          <w:sz w:val="24"/>
          <w:szCs w:val="24"/>
          <w:lang w:val="ca-ES"/>
        </w:rPr>
        <w:t>Informe inici requeriment</w:t>
      </w:r>
    </w:p>
    <w:p>
      <w:pPr>
        <w:pStyle w:val="ListParagraph"/>
        <w:ind w:left="1440" w:hanging="0"/>
        <w:rPr>
          <w:color w:val="00A933"/>
        </w:rPr>
      </w:pPr>
      <w:r>
        <w:rPr>
          <w:b/>
          <w:bCs/>
          <w:color w:val="00A933"/>
          <w:sz w:val="24"/>
          <w:szCs w:val="24"/>
          <w:lang w:val="ca-ES"/>
        </w:rPr>
        <w:t>Requeriment d’esmena justificació</w:t>
      </w:r>
    </w:p>
    <w:p>
      <w:pPr>
        <w:pStyle w:val="ListParagraph"/>
        <w:ind w:left="1440" w:hanging="0"/>
        <w:rPr>
          <w:color w:val="00A933"/>
        </w:rPr>
      </w:pPr>
      <w:r>
        <w:rPr>
          <w:b/>
          <w:bCs/>
          <w:color w:val="00A933"/>
          <w:sz w:val="24"/>
          <w:szCs w:val="24"/>
          <w:lang w:val="ca-ES"/>
        </w:rPr>
        <w:t>Informe post esmena  justificació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Style w:val="Strong"/>
          <w:color w:val="auto"/>
          <w:sz w:val="24"/>
          <w:szCs w:val="24"/>
        </w:rPr>
        <w:t>Decidir sobre cómo podemos facilitar que hagan la justificación (ISBA introduce los documentos, pero el beneficiario debe firmar y registrarlo): opciones…si se puede poner un enlace con un desplegable según el expediente,</w:t>
      </w:r>
      <w:r>
        <w:rPr>
          <w:rStyle w:val="Strong"/>
          <w:color w:val="00A933"/>
          <w:sz w:val="24"/>
          <w:szCs w:val="24"/>
        </w:rPr>
        <w:t xml:space="preserve"> si se da acceso a una parte del gestor a ISBA</w:t>
      </w:r>
      <w:r>
        <w:rPr>
          <w:rStyle w:val="Strong"/>
          <w:color w:val="auto"/>
          <w:sz w:val="24"/>
          <w:szCs w:val="24"/>
        </w:rPr>
        <w:t>, si le enviamos un correo que vaya a ISBA pero después el documento vaya directamente al beneficiario para que lo pueda firmar, etc</w:t>
      </w:r>
      <w:r>
        <w:rPr>
          <w:rStyle w:val="Strong"/>
          <w:color w:val="00A933"/>
          <w:sz w:val="24"/>
          <w:szCs w:val="24"/>
        </w:rPr>
        <w:t>.</w:t>
      </w:r>
      <w:r>
        <w:rPr>
          <w:rStyle w:val="Strong"/>
          <w:color w:val="FF860D"/>
          <w:sz w:val="24"/>
          <w:szCs w:val="24"/>
        </w:rPr>
        <w:t xml:space="preserve">[entrará en la aplicación y lo gestionarán ellos. </w:t>
      </w:r>
      <w:r>
        <w:rPr>
          <w:rStyle w:val="Strong"/>
          <w:color w:val="FF860D"/>
          <w:sz w:val="24"/>
          <w:szCs w:val="24"/>
        </w:rPr>
        <w:t>Unicamente podrán ver lo suyo, nada más</w:t>
      </w:r>
      <w:r>
        <w:rPr>
          <w:rStyle w:val="Strong"/>
          <w:color w:val="FF860D"/>
          <w:sz w:val="24"/>
          <w:szCs w:val="24"/>
        </w:rPr>
        <w:t xml:space="preserve">. Se les asignará el correo electrónico </w:t>
      </w:r>
      <w:hyperlink r:id="rId2">
        <w:r>
          <w:rPr>
            <w:rStyle w:val="EnlacedeInternet"/>
            <w:b/>
            <w:bCs/>
            <w:color w:val="FF860D"/>
            <w:sz w:val="24"/>
            <w:szCs w:val="24"/>
          </w:rPr>
          <w:t>isba@idi.es</w:t>
        </w:r>
      </w:hyperlink>
      <w:r>
        <w:rPr>
          <w:rStyle w:val="Strong"/>
          <w:color w:val="FF860D"/>
          <w:sz w:val="24"/>
          <w:szCs w:val="24"/>
        </w:rPr>
        <w:t xml:space="preserve"> como usuario de acceso]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Strong"/>
          <w:color w:val="auto"/>
          <w:sz w:val="24"/>
          <w:szCs w:val="24"/>
        </w:rPr>
        <w:t>Hay que cambiar lo de los informes del consultor… (lo de XECS). Hay que poner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Strong"/>
          <w:color w:val="auto"/>
          <w:sz w:val="24"/>
          <w:szCs w:val="24"/>
        </w:rPr>
        <w:t>Declaració responsable d’haver aplicat els Fons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Strong"/>
          <w:color w:val="auto"/>
          <w:sz w:val="24"/>
          <w:szCs w:val="24"/>
        </w:rPr>
        <w:t>Memòria d’activitats – Subir archivo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Strong"/>
          <w:color w:val="auto"/>
          <w:sz w:val="24"/>
          <w:szCs w:val="24"/>
        </w:rPr>
        <w:t xml:space="preserve">Memòria econòmica – el cuadro igual que xecs 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Strong"/>
          <w:color w:val="auto"/>
          <w:sz w:val="24"/>
          <w:szCs w:val="24"/>
        </w:rPr>
        <w:t>Còpia de les factures – subir archivos (varios)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Style w:val="Strong"/>
          <w:color w:val="auto"/>
          <w:sz w:val="24"/>
          <w:szCs w:val="24"/>
        </w:rPr>
        <w:t xml:space="preserve">Còpia de justificants de pagament subir archivos (varios) </w:t>
      </w:r>
      <w:r>
        <w:rPr>
          <w:rStyle w:val="Strong"/>
          <w:color w:val="FF0000"/>
          <w:sz w:val="24"/>
          <w:szCs w:val="24"/>
        </w:rPr>
        <w:t>[NO ENTIENDO, NO SÉ DE QUE ME HABLAS DISCULPA]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242db8"/>
    <w:rPr>
      <w:b/>
      <w:bCs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14db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752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sba@idi.e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Application>LibreOffice/7.1.5.2$Windows_X86_64 LibreOffice_project/85f04e9f809797b8199d13c421bd8a2b025d52b5</Application>
  <AppVersion>15.0000</AppVersion>
  <Pages>2</Pages>
  <Words>290</Words>
  <Characters>1541</Characters>
  <CharactersWithSpaces>1810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2024-08-01T10:49:00Z</dcterms:created>
  <dc:creator>Maria Del Carmen Muñoz Adrover</dc:creator>
  <dc:description/>
  <dc:language>es-ES</dc:language>
  <cp:lastModifiedBy/>
  <cp:lastPrinted>2024-08-01T09:08:00Z</cp:lastPrinted>
  <dcterms:modified xsi:type="dcterms:W3CDTF">2024-08-02T10:16:48Z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