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A5C"/>
          <w:sz w:val="44"/>
        </w:rPr>
        <w:t>CHANGE REQUEST</w:t>
      </w:r>
    </w:p>
    <w:p>
      <w:pPr>
        <w:spacing w:before="0" w:after="40"/>
        <w:jc w:val="center"/>
      </w:pPr>
      <w:r>
        <w:rPr>
          <w:b/>
          <w:color w:val="2D6A9F"/>
          <w:sz w:val="28"/>
        </w:rPr>
        <w:t>Move License Manager Agent off slurmctld Node</w:t>
      </w:r>
    </w:p>
    <w:p>
      <w:pPr>
        <w:spacing w:before="0" w:after="120"/>
        <w:jc w:val="center"/>
      </w:pPr>
      <w:r>
        <w:rPr>
          <w:i/>
          <w:color w:val="E86C1E"/>
          <w:sz w:val="19"/>
        </w:rPr>
        <w:t>SecOps  ·  Infrastructure Resilience  ·  DevSecOps  ·  Application Security  ·  Operational Reliability</w:t>
      </w:r>
    </w:p>
    <w:p>
      <w:pPr>
        <w:pBdr>
          <w:bottom w:val="single" w:sz="6" w:space="1" w:color="2D6A9F"/>
        </w:pBdr>
        <w:spacing w:before="0" w:after="0"/>
      </w:pP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160"/>
            <w:shd w:val="clear" w:color="auto" w:fill="EBF3FB"/>
          </w:tcPr>
          <w:p>
            <w:r>
              <w:rPr>
                <w:b/>
                <w:color w:val="1A3A5C"/>
                <w:sz w:val="19"/>
              </w:rPr>
              <w:t>Configuration Item:</w:t>
            </w:r>
          </w:p>
        </w:tc>
        <w:tc>
          <w:tcPr>
            <w:tcW w:type="dxa" w:w="2880"/>
          </w:tcPr>
          <w:p>
            <w:r>
              <w:rPr>
                <w:b w:val="0"/>
                <w:color w:val="333333"/>
                <w:sz w:val="19"/>
              </w:rPr>
            </w:r>
          </w:p>
        </w:tc>
        <w:tc>
          <w:tcPr>
            <w:tcW w:type="dxa" w:w="2160"/>
            <w:shd w:val="clear" w:color="auto" w:fill="EBF3FB"/>
          </w:tcPr>
          <w:p>
            <w:r>
              <w:rPr>
                <w:b/>
                <w:color w:val="1A3A5C"/>
                <w:sz w:val="19"/>
              </w:rPr>
              <w:t>Risk:</w:t>
            </w:r>
          </w:p>
        </w:tc>
        <w:tc>
          <w:tcPr>
            <w:tcW w:type="dxa" w:w="2880"/>
          </w:tcPr>
          <w:p>
            <w:r>
              <w:rPr>
                <w:b w:val="0"/>
                <w:color w:val="333333"/>
                <w:sz w:val="19"/>
              </w:rPr>
            </w:r>
          </w:p>
        </w:tc>
      </w:tr>
      <w:tr>
        <w:tc>
          <w:tcPr>
            <w:tcW w:type="dxa" w:w="2160"/>
            <w:shd w:val="clear" w:color="auto" w:fill="EBF3FB"/>
          </w:tcPr>
          <w:p>
            <w:r>
              <w:rPr>
                <w:b/>
                <w:color w:val="1A3A5C"/>
                <w:sz w:val="19"/>
              </w:rPr>
              <w:t>Assignment Group:</w:t>
            </w:r>
          </w:p>
        </w:tc>
        <w:tc>
          <w:tcPr>
            <w:tcW w:type="dxa" w:w="2880"/>
          </w:tcPr>
          <w:p>
            <w:r>
              <w:rPr>
                <w:b w:val="0"/>
                <w:color w:val="333333"/>
                <w:sz w:val="19"/>
              </w:rPr>
            </w:r>
          </w:p>
        </w:tc>
        <w:tc>
          <w:tcPr>
            <w:tcW w:type="dxa" w:w="2160"/>
            <w:shd w:val="clear" w:color="auto" w:fill="EBF3FB"/>
          </w:tcPr>
          <w:p>
            <w:r>
              <w:rPr>
                <w:b/>
                <w:color w:val="1A3A5C"/>
                <w:sz w:val="19"/>
              </w:rPr>
              <w:t>Assigned To:</w:t>
            </w:r>
          </w:p>
        </w:tc>
        <w:tc>
          <w:tcPr>
            <w:tcW w:type="dxa" w:w="2880"/>
          </w:tcPr>
          <w:p>
            <w:r>
              <w:rPr>
                <w:b w:val="0"/>
                <w:color w:val="333333"/>
                <w:sz w:val="19"/>
              </w:rPr>
            </w:r>
          </w:p>
        </w:tc>
      </w:tr>
      <w:tr>
        <w:tc>
          <w:tcPr>
            <w:tcW w:type="dxa" w:w="2160"/>
            <w:shd w:val="clear" w:color="auto" w:fill="EBF3FB"/>
          </w:tcPr>
          <w:p>
            <w:r>
              <w:rPr>
                <w:b/>
                <w:color w:val="1A3A5C"/>
                <w:sz w:val="19"/>
              </w:rPr>
              <w:t>Short Description:</w:t>
            </w:r>
          </w:p>
        </w:tc>
        <w:tc>
          <w:tcPr>
            <w:tcW w:type="dxa" w:w="2880"/>
          </w:tcPr>
          <w:p>
            <w:r>
              <w:rPr>
                <w:b w:val="0"/>
                <w:color w:val="333333"/>
                <w:sz w:val="19"/>
              </w:rPr>
              <w:t>Move License Manager agent off slurmctld node</w:t>
            </w:r>
          </w:p>
        </w:tc>
        <w:tc>
          <w:tcPr>
            <w:tcW w:type="dxa" w:w="2160"/>
            <w:shd w:val="clear" w:color="auto" w:fill="EBF3FB"/>
          </w:tcPr>
          <w:p>
            <w:r>
              <w:rPr>
                <w:b/>
                <w:color w:val="1A3A5C"/>
                <w:sz w:val="19"/>
              </w:rPr>
              <w:t>Reminder Sent:</w:t>
            </w:r>
          </w:p>
        </w:tc>
        <w:tc>
          <w:tcPr>
            <w:tcW w:type="dxa" w:w="2880"/>
          </w:tcPr>
          <w:p>
            <w:r>
              <w:rPr>
                <w:b w:val="0"/>
                <w:color w:val="333333"/>
                <w:sz w:val="19"/>
              </w:rPr>
              <w:t>Pending</w:t>
            </w:r>
          </w:p>
        </w:tc>
      </w:tr>
      <w:tr>
        <w:tc>
          <w:tcPr>
            <w:tcW w:type="dxa" w:w="2160"/>
            <w:shd w:val="clear" w:color="auto" w:fill="EBF3FB"/>
          </w:tcPr>
          <w:p>
            <w:r>
              <w:rPr>
                <w:b/>
                <w:color w:val="1A3A5C"/>
                <w:sz w:val="19"/>
              </w:rPr>
              <w:t>Planned Start Date:</w:t>
            </w:r>
          </w:p>
        </w:tc>
        <w:tc>
          <w:tcPr>
            <w:tcW w:type="dxa" w:w="2880"/>
          </w:tcPr>
          <w:p>
            <w:r>
              <w:rPr>
                <w:b w:val="0"/>
                <w:color w:val="333333"/>
                <w:sz w:val="19"/>
              </w:rPr>
              <w:t>September 9, 2026</w:t>
            </w:r>
          </w:p>
        </w:tc>
        <w:tc>
          <w:tcPr>
            <w:tcW w:type="dxa" w:w="2160"/>
            <w:shd w:val="clear" w:color="auto" w:fill="EBF3FB"/>
          </w:tcPr>
          <w:p>
            <w:r>
              <w:rPr>
                <w:b/>
                <w:color w:val="1A3A5C"/>
                <w:sz w:val="19"/>
              </w:rPr>
              <w:t>Planned End Date:</w:t>
            </w:r>
          </w:p>
        </w:tc>
        <w:tc>
          <w:tcPr>
            <w:tcW w:type="dxa" w:w="2880"/>
          </w:tcPr>
          <w:p>
            <w:r>
              <w:rPr>
                <w:b w:val="0"/>
                <w:color w:val="333333"/>
                <w:sz w:val="19"/>
              </w:rPr>
              <w:t>September 9, 2026</w:t>
            </w:r>
          </w:p>
        </w:tc>
      </w:tr>
    </w:tbl>
    <w:p/>
    <w:p>
      <w:pPr>
        <w:spacing w:before="360" w:after="80"/>
        <w:pBdr>
          <w:bottom w:val="single" w:sz="4" w:space="1" w:color="2D6A9F"/>
        </w:pBdr>
      </w:pPr>
      <w:r>
        <w:rPr>
          <w:b/>
          <w:color w:val="1A3A5C"/>
          <w:sz w:val="26"/>
        </w:rPr>
        <w:t>1. INTRODUCTION</w:t>
      </w:r>
    </w:p>
    <w:p>
      <w:pPr>
        <w:spacing w:before="40" w:after="80"/>
      </w:pPr>
      <w:r>
        <w:rPr>
          <w:color w:val="333333"/>
          <w:sz w:val="21"/>
        </w:rPr>
        <w:t>This change request proposes decoupling the License Manager agent from the Slurm controller (slurmctld) by relocating the agent to a dedicated utility host and replacing the existing Python-based prolog/epilog workflow with lightweight Bash scripts. The slurmctld daemon is the single point of authority for all cluster scheduling decisions. Any ancillary process co-located on that node — including the License Manager agent — introduces unnecessary coupling that can propagate failures across the control plane.</w:t>
      </w:r>
    </w:p>
    <w:p>
      <w:pPr>
        <w:spacing w:before="40" w:after="80"/>
      </w:pPr>
      <w:r>
        <w:rPr>
          <w:color w:val="333333"/>
          <w:sz w:val="21"/>
        </w:rPr>
        <w:t>The proposed solution is strictly additive during its initial rollout phase: the existing Python environment remains installed and untouched on the slurmctld node while the new architecture is validated through the full dev → staging → production promotion pipeline. This conservative approach ensures a fast, low-risk backout path at every stage.</w:t>
      </w:r>
    </w:p>
    <w:p>
      <w:pPr>
        <w:spacing w:before="40" w:after="80"/>
      </w:pPr>
      <w:r>
        <w:rPr>
          <w:color w:val="333333"/>
          <w:sz w:val="21"/>
        </w:rPr>
        <w:t>This change is critical and spans multiple operational and security domains:</w:t>
      </w:r>
    </w:p>
    <w:p>
      <w:pPr>
        <w:pStyle w:val="ListBullet"/>
        <w:spacing w:before="20" w:after="60"/>
        <w:ind w:left="432"/>
      </w:pPr>
      <w:r>
        <w:rPr>
          <w:b/>
          <w:color w:val="1A3A5C"/>
          <w:sz w:val="21"/>
        </w:rPr>
        <w:t xml:space="preserve">SecOps: </w:t>
      </w:r>
      <w:r>
        <w:rPr>
          <w:color w:val="333333"/>
          <w:sz w:val="21"/>
        </w:rPr>
        <w:t>Reduces exposure of the Slurm control plane to ancillary automation; limits the blast radius of agent-side failures and limits attack surface on the most privileged node in the cluster.</w:t>
      </w:r>
    </w:p>
    <w:p>
      <w:pPr>
        <w:pStyle w:val="ListBullet"/>
        <w:spacing w:before="20" w:after="60"/>
        <w:ind w:left="432"/>
      </w:pPr>
      <w:r>
        <w:rPr>
          <w:b/>
          <w:color w:val="1A3A5C"/>
          <w:sz w:val="21"/>
        </w:rPr>
        <w:t xml:space="preserve">Infrastructure Resilience: </w:t>
      </w:r>
      <w:r>
        <w:rPr>
          <w:color w:val="333333"/>
          <w:sz w:val="21"/>
        </w:rPr>
        <w:t>Isolates the License Manager agent from the Slurm controller, improving fault containment and cluster availability.</w:t>
      </w:r>
    </w:p>
    <w:p>
      <w:pPr>
        <w:pStyle w:val="ListBullet"/>
        <w:spacing w:before="20" w:after="60"/>
        <w:ind w:left="432"/>
      </w:pPr>
      <w:r>
        <w:rPr>
          <w:b/>
          <w:color w:val="1A3A5C"/>
          <w:sz w:val="21"/>
        </w:rPr>
        <w:t xml:space="preserve">DevSecOps: </w:t>
      </w:r>
      <w:r>
        <w:rPr>
          <w:color w:val="333333"/>
          <w:sz w:val="21"/>
        </w:rPr>
        <w:t>Introduces a safer operational pattern through simpler, auditable Bash scripts and a controlled environment-by-environment promotion strategy.</w:t>
      </w:r>
    </w:p>
    <w:p>
      <w:pPr>
        <w:pStyle w:val="ListBullet"/>
        <w:spacing w:before="20" w:after="60"/>
        <w:ind w:left="432"/>
      </w:pPr>
      <w:r>
        <w:rPr>
          <w:b/>
          <w:color w:val="1A3A5C"/>
          <w:sz w:val="21"/>
        </w:rPr>
        <w:t xml:space="preserve">Application Security: </w:t>
      </w:r>
      <w:r>
        <w:rPr>
          <w:color w:val="333333"/>
          <w:sz w:val="21"/>
        </w:rPr>
        <w:t>Eliminates complex Python runtime execution from the controller node, reducing the attack surface and runtime dependency footprint.</w:t>
      </w:r>
    </w:p>
    <w:p>
      <w:pPr>
        <w:pStyle w:val="ListBullet"/>
        <w:spacing w:before="20" w:after="60"/>
        <w:ind w:left="432"/>
      </w:pPr>
      <w:r>
        <w:rPr>
          <w:b/>
          <w:color w:val="1A3A5C"/>
          <w:sz w:val="21"/>
        </w:rPr>
        <w:t xml:space="preserve">Operational Reliability: </w:t>
      </w:r>
      <w:r>
        <w:rPr>
          <w:color w:val="333333"/>
          <w:sz w:val="21"/>
        </w:rPr>
        <w:t>Improves maintainability, supports clean deployment boundaries, and reduces the risk of agent updates disrupting scheduler operations.</w:t>
      </w:r>
    </w:p>
    <w:p>
      <w:pPr>
        <w:spacing w:before="360" w:after="80"/>
        <w:pBdr>
          <w:bottom w:val="single" w:sz="4" w:space="1" w:color="2D6A9F"/>
        </w:pBdr>
      </w:pPr>
      <w:r>
        <w:rPr>
          <w:b/>
          <w:color w:val="1A3A5C"/>
          <w:sz w:val="26"/>
        </w:rPr>
        <w:t>2. PLANNED CHANGES AND IMPACT ASSESSMENT</w:t>
      </w:r>
    </w:p>
    <w:p>
      <w:pPr>
        <w:spacing w:before="40" w:after="80"/>
      </w:pPr>
      <w:r>
        <w:rPr>
          <w:color w:val="333333"/>
          <w:sz w:val="21"/>
        </w:rPr>
        <w:t>Each item below represents a discrete, independently verifiable change. Impact ratings reflect risk to the broader system if the change is executed incorrectly or omitted.</w:t>
      </w:r>
    </w:p>
    <w:p>
      <w:pPr>
        <w:spacing w:before="200" w:after="40"/>
      </w:pPr>
      <w:r>
        <w:rPr>
          <w:b/>
          <w:color w:val="2D6A9F"/>
          <w:sz w:val="22"/>
        </w:rPr>
        <w:t>2.1  Develop and Validate Lightweight Bash Prolog/Epilog Scripts</w:t>
      </w:r>
    </w:p>
    <w:p>
      <w:pPr>
        <w:spacing w:before="40" w:after="80"/>
      </w:pPr>
      <w:r>
        <w:rPr>
          <w:color w:val="333333"/>
          <w:sz w:val="21"/>
        </w:rPr>
        <w:t>Replace the existing Python-based prolog/epilog scripts with minimal Bash scripts that invoke Slurm CLI commands and perform OIDC token exchange. Bash scripts are easier to audit, have no runtime dependency beyond the shell, and reduce the failure surface of the hook execution path.</w:t>
      </w:r>
    </w:p>
    <w:p>
      <w:pPr>
        <w:spacing w:before="40" w:after="80"/>
      </w:pPr>
      <w:r>
        <w:rPr>
          <w:color w:val="333333"/>
          <w:sz w:val="21"/>
        </w:rPr>
        <w:t>Why it is needed: The current Python scripts introduce interpreter-level complexity and a larger runtime footprint on the most sensitive node in the cluster.</w:t>
      </w:r>
    </w:p>
    <w:p>
      <w:pPr>
        <w:spacing w:before="40" w:after="80"/>
      </w:pPr>
      <w:r>
        <w:rPr>
          <w:color w:val="333333"/>
          <w:sz w:val="21"/>
        </w:rPr>
        <w:t>Impact: HIGH — Incorrect prolog/epilog behavior can prevent jobs from starting or cause license tokens to leak, directly affecting cluster utilization and compliance.</w:t>
      </w:r>
    </w:p>
    <w:p>
      <w:pPr>
        <w:spacing w:before="200" w:after="40"/>
      </w:pPr>
      <w:r>
        <w:rPr>
          <w:b/>
          <w:color w:val="2D6A9F"/>
          <w:sz w:val="22"/>
        </w:rPr>
        <w:t>2.2  Provision a Dedicated Utility Node for the License Manager Agent</w:t>
      </w:r>
    </w:p>
    <w:p>
      <w:pPr>
        <w:spacing w:before="40" w:after="80"/>
      </w:pPr>
      <w:r>
        <w:rPr>
          <w:color w:val="333333"/>
          <w:sz w:val="21"/>
        </w:rPr>
        <w:t>Spin up a separate host equipped with Slurm client packages, network access to the slurmctld node, and connectivity to the License Manager API endpoint.</w:t>
      </w:r>
    </w:p>
    <w:p>
      <w:pPr>
        <w:spacing w:before="40" w:after="80"/>
      </w:pPr>
      <w:r>
        <w:rPr>
          <w:color w:val="333333"/>
          <w:sz w:val="21"/>
        </w:rPr>
        <w:t>Why it is needed: Hosting the agent on slurmctld creates a single point of coupling between license management and cluster scheduling. A dedicated node eliminates this dependency.</w:t>
      </w:r>
    </w:p>
    <w:p>
      <w:pPr>
        <w:spacing w:before="40" w:after="80"/>
      </w:pPr>
      <w:r>
        <w:rPr>
          <w:color w:val="333333"/>
          <w:sz w:val="21"/>
        </w:rPr>
        <w:t>Impact: VERY HIGH — This is the foundational architectural change. All subsequent steps depend on a correctly configured utility node.</w:t>
      </w:r>
    </w:p>
    <w:p>
      <w:pPr>
        <w:spacing w:before="200" w:after="40"/>
      </w:pPr>
      <w:r>
        <w:rPr>
          <w:b/>
          <w:color w:val="2D6A9F"/>
          <w:sz w:val="22"/>
        </w:rPr>
        <w:t>2.3  Install and Configure the lm-agent Daemon on the Utility Node</w:t>
      </w:r>
    </w:p>
    <w:p>
      <w:pPr>
        <w:spacing w:before="40" w:after="80"/>
      </w:pPr>
      <w:r>
        <w:rPr>
          <w:color w:val="333333"/>
          <w:sz w:val="21"/>
        </w:rPr>
        <w:t>Deploy the License Manager agent daemon (lm-agent) on the utility node and configure it with the appropriate API credentials, polling interval, and Slurm command paths.</w:t>
      </w:r>
    </w:p>
    <w:p>
      <w:pPr>
        <w:spacing w:before="40" w:after="80"/>
      </w:pPr>
      <w:r>
        <w:rPr>
          <w:color w:val="333333"/>
          <w:sz w:val="21"/>
        </w:rPr>
        <w:t>Why it is needed: The agent must be functional on the new host before the slurmctld-based Python environment can be decommissioned.</w:t>
      </w:r>
    </w:p>
    <w:p>
      <w:pPr>
        <w:spacing w:before="40" w:after="80"/>
      </w:pPr>
      <w:r>
        <w:rPr>
          <w:color w:val="333333"/>
          <w:sz w:val="21"/>
        </w:rPr>
        <w:t>Impact: HIGH — Misconfiguration here would result in license reconciliation failures, potentially allowing over-allocation of licensed software.</w:t>
      </w:r>
    </w:p>
    <w:p>
      <w:pPr>
        <w:spacing w:before="200" w:after="40"/>
      </w:pPr>
      <w:r>
        <w:rPr>
          <w:b/>
          <w:color w:val="2D6A9F"/>
          <w:sz w:val="22"/>
        </w:rPr>
        <w:t>2.4  Update slurm.conf to Reference New Bash Prolog/Epilog Scripts</w:t>
      </w:r>
    </w:p>
    <w:p>
      <w:pPr>
        <w:spacing w:before="40" w:after="80"/>
      </w:pPr>
      <w:r>
        <w:rPr>
          <w:color w:val="333333"/>
          <w:sz w:val="21"/>
        </w:rPr>
        <w:t>Modify the PrologSlurmctld and EpilogSlurmctld directives in slurm.conf to point to the new Bash scripts and deploy them to the slurmctld nodes. A slurmctld reload is required for the change to take effect.</w:t>
      </w:r>
    </w:p>
    <w:p>
      <w:pPr>
        <w:spacing w:before="40" w:after="80"/>
      </w:pPr>
      <w:r>
        <w:rPr>
          <w:color w:val="333333"/>
          <w:sz w:val="21"/>
        </w:rPr>
        <w:t>Why it is needed: Without updating slurm.conf, Slurm will continue to invoke the old Python scripts after they have been removed, causing job submission failures.</w:t>
      </w:r>
    </w:p>
    <w:p>
      <w:pPr>
        <w:spacing w:before="40" w:after="80"/>
      </w:pPr>
      <w:r>
        <w:rPr>
          <w:color w:val="333333"/>
          <w:sz w:val="21"/>
        </w:rPr>
        <w:t>Impact: VERY HIGH — An incorrect slurm.conf update can immediately halt job submission across the entire cluster.</w:t>
      </w:r>
    </w:p>
    <w:p>
      <w:pPr>
        <w:spacing w:before="200" w:after="40"/>
      </w:pPr>
      <w:r>
        <w:rPr>
          <w:b/>
          <w:color w:val="2D6A9F"/>
          <w:sz w:val="22"/>
        </w:rPr>
        <w:t>2.5  Start the Agent Daemon and Verify Reconciliation</w:t>
      </w:r>
    </w:p>
    <w:p>
      <w:pPr>
        <w:spacing w:before="40" w:after="80"/>
      </w:pPr>
      <w:r>
        <w:rPr>
          <w:color w:val="333333"/>
          <w:sz w:val="21"/>
        </w:rPr>
        <w:t>Start the lm-agent service on the utility node and confirm that it successfully connects to the License Manager API, retrieves license state, and reconciles with Slurm.</w:t>
      </w:r>
    </w:p>
    <w:p>
      <w:pPr>
        <w:spacing w:before="40" w:after="80"/>
      </w:pPr>
      <w:r>
        <w:rPr>
          <w:color w:val="333333"/>
          <w:sz w:val="21"/>
        </w:rPr>
        <w:t>Why it is needed: Functional validation of the end-to-end path before any legacy components are removed prevents silent failures from going undetected.</w:t>
      </w:r>
    </w:p>
    <w:p>
      <w:pPr>
        <w:spacing w:before="40" w:after="80"/>
      </w:pPr>
      <w:r>
        <w:rPr>
          <w:color w:val="333333"/>
          <w:sz w:val="21"/>
        </w:rPr>
        <w:t>Impact: HIGH — Reconciliation failures discovered at this stage are safe and recoverable; failures discovered after removal of the legacy environment are not.</w:t>
      </w:r>
    </w:p>
    <w:p>
      <w:pPr>
        <w:spacing w:before="200" w:after="40"/>
      </w:pPr>
      <w:r>
        <w:rPr>
          <w:b/>
          <w:color w:val="2D6A9F"/>
          <w:sz w:val="22"/>
        </w:rPr>
        <w:t>2.6  Remove Legacy Python Agent Environment from slurmctld (Post-Validation)</w:t>
      </w:r>
    </w:p>
    <w:p>
      <w:pPr>
        <w:spacing w:before="40" w:after="80"/>
      </w:pPr>
      <w:r>
        <w:rPr>
          <w:color w:val="333333"/>
          <w:sz w:val="21"/>
        </w:rPr>
        <w:t>Once the new architecture has been validated across all environments, stop the Python-based lm-agent service on slurmctld and remove the associated virtual environment and service unit files.</w:t>
      </w:r>
    </w:p>
    <w:p>
      <w:pPr>
        <w:spacing w:before="40" w:after="80"/>
      </w:pPr>
      <w:r>
        <w:rPr>
          <w:color w:val="333333"/>
          <w:sz w:val="21"/>
        </w:rPr>
        <w:t>Why it is needed: Leaving deprecated software on the controller node increases the attack surface and creates operational confusion.</w:t>
      </w:r>
    </w:p>
    <w:p>
      <w:pPr>
        <w:spacing w:before="40" w:after="80"/>
      </w:pPr>
      <w:r>
        <w:rPr>
          <w:color w:val="333333"/>
          <w:sz w:val="21"/>
        </w:rPr>
        <w:t>Impact: MEDIUM–HIGH — This step is low-risk after successful validation but must not be performed prematurely.</w:t>
      </w:r>
    </w:p>
    <w:p>
      <w:pPr>
        <w:spacing w:before="200" w:after="40"/>
      </w:pPr>
      <w:r>
        <w:rPr>
          <w:b/>
          <w:color w:val="2D6A9F"/>
          <w:sz w:val="22"/>
        </w:rPr>
        <w:t>2.7  Update Operational Documentation</w:t>
      </w:r>
    </w:p>
    <w:p>
      <w:pPr>
        <w:spacing w:before="40" w:after="80"/>
      </w:pPr>
      <w:r>
        <w:rPr>
          <w:color w:val="333333"/>
          <w:sz w:val="21"/>
        </w:rPr>
        <w:t>Document the new deployment topology, configuration reference, monitoring procedures, and step-by-step recovery runbooks.</w:t>
      </w:r>
    </w:p>
    <w:p>
      <w:pPr>
        <w:spacing w:before="40" w:after="80"/>
      </w:pPr>
      <w:r>
        <w:rPr>
          <w:color w:val="333333"/>
          <w:sz w:val="21"/>
        </w:rPr>
        <w:t>Why it is needed: Undocumented architecture changes increase Mean Time to Recovery (MTTR) during incidents and create knowledge silos.</w:t>
      </w:r>
    </w:p>
    <w:p>
      <w:pPr>
        <w:spacing w:before="40" w:after="80"/>
      </w:pPr>
      <w:r>
        <w:rPr>
          <w:color w:val="333333"/>
          <w:sz w:val="21"/>
        </w:rPr>
        <w:t>Impact: MEDIUM — No immediate system impact, but critical for long-term operational safety.</w:t>
      </w:r>
    </w:p>
    <w:p>
      <w:pPr>
        <w:spacing w:before="360" w:after="80"/>
        <w:pBdr>
          <w:bottom w:val="single" w:sz="4" w:space="1" w:color="2D6A9F"/>
        </w:pBdr>
      </w:pPr>
      <w:r>
        <w:rPr>
          <w:b/>
          <w:color w:val="1A3A5C"/>
          <w:sz w:val="26"/>
        </w:rPr>
        <w:t>3. RISK AND IMPACT ANALYSIS</w:t>
      </w:r>
    </w:p>
    <w:tbl>
      <w:tblPr>
        <w:tblStyle w:val="TableGrid"/>
        <w:tblW w:type="auto" w:w="0"/>
        <w:tblLayout w:type="fixed"/>
        <w:tblLook w:firstColumn="1" w:firstRow="1" w:lastColumn="0" w:lastRow="0" w:noHBand="0" w:noVBand="1" w:val="04A0"/>
      </w:tblPr>
      <w:tblGrid>
        <w:gridCol w:w="4032"/>
        <w:gridCol w:w="6048"/>
      </w:tblGrid>
      <w:tr>
        <w:tc>
          <w:tcPr>
            <w:tcW w:type="dxa" w:w="4392"/>
            <w:shd w:val="clear" w:color="auto" w:fill="1A3A5C"/>
          </w:tcPr>
          <w:p>
            <w:r>
              <w:rPr>
                <w:b/>
                <w:color w:val="FFFFFF"/>
                <w:sz w:val="20"/>
              </w:rPr>
              <w:t>Risk</w:t>
            </w:r>
          </w:p>
        </w:tc>
        <w:tc>
          <w:tcPr>
            <w:tcW w:type="dxa" w:w="4392"/>
            <w:shd w:val="clear" w:color="auto" w:fill="1A3A5C"/>
          </w:tcPr>
          <w:p>
            <w:r>
              <w:rPr>
                <w:b/>
                <w:color w:val="FFFFFF"/>
                <w:sz w:val="20"/>
              </w:rPr>
              <w:t>Mitigation</w:t>
            </w:r>
          </w:p>
        </w:tc>
      </w:tr>
      <w:tr>
        <w:tc>
          <w:tcPr>
            <w:tcW w:type="dxa" w:w="4392"/>
            <w:shd w:val="clear" w:color="auto" w:fill="EBF3FB"/>
          </w:tcPr>
          <w:p>
            <w:r>
              <w:rPr>
                <w:color w:val="333333"/>
                <w:sz w:val="19"/>
              </w:rPr>
              <w:t>Bash script defects or OIDC execution failures</w:t>
            </w:r>
          </w:p>
        </w:tc>
        <w:tc>
          <w:tcPr>
            <w:tcW w:type="dxa" w:w="4392"/>
            <w:shd w:val="clear" w:color="auto" w:fill="EBF3FB"/>
          </w:tcPr>
          <w:p>
            <w:r>
              <w:rPr>
                <w:color w:val="333333"/>
                <w:sz w:val="19"/>
              </w:rPr>
              <w:t>Comprehensive testing in dev and staging with explicit exit-code validation before production promotion.</w:t>
            </w:r>
          </w:p>
        </w:tc>
      </w:tr>
      <w:tr>
        <w:tc>
          <w:tcPr>
            <w:tcW w:type="dxa" w:w="4392"/>
          </w:tcPr>
          <w:p>
            <w:r>
              <w:rPr>
                <w:color w:val="333333"/>
                <w:sz w:val="19"/>
              </w:rPr>
              <w:t>Loss of Slurm client connectivity on the utility node</w:t>
            </w:r>
          </w:p>
        </w:tc>
        <w:tc>
          <w:tcPr>
            <w:tcW w:type="dxa" w:w="4392"/>
          </w:tcPr>
          <w:p>
            <w:r>
              <w:rPr>
                <w:color w:val="333333"/>
                <w:sz w:val="19"/>
              </w:rPr>
              <w:t>Verify Slurm client packages, command paths, credentials, and network connectivity before cutover.</w:t>
            </w:r>
          </w:p>
        </w:tc>
      </w:tr>
      <w:tr>
        <w:tc>
          <w:tcPr>
            <w:tcW w:type="dxa" w:w="4392"/>
            <w:shd w:val="clear" w:color="auto" w:fill="EBF3FB"/>
          </w:tcPr>
          <w:p>
            <w:r>
              <w:rPr>
                <w:color w:val="333333"/>
                <w:sz w:val="19"/>
              </w:rPr>
              <w:t>License reconciliation or API communication failures</w:t>
            </w:r>
          </w:p>
        </w:tc>
        <w:tc>
          <w:tcPr>
            <w:tcW w:type="dxa" w:w="4392"/>
            <w:shd w:val="clear" w:color="auto" w:fill="EBF3FB"/>
          </w:tcPr>
          <w:p>
            <w:r>
              <w:rPr>
                <w:color w:val="333333"/>
                <w:sz w:val="19"/>
              </w:rPr>
              <w:t>Validate the agent under simulated transient-failure conditions and monitor closely during each promotion stage.</w:t>
            </w:r>
          </w:p>
        </w:tc>
      </w:tr>
      <w:tr>
        <w:tc>
          <w:tcPr>
            <w:tcW w:type="dxa" w:w="4392"/>
          </w:tcPr>
          <w:p>
            <w:r>
              <w:rPr>
                <w:color w:val="333333"/>
                <w:sz w:val="19"/>
              </w:rPr>
              <w:t>Deployment overlap or partial-cutover inconsistency</w:t>
            </w:r>
          </w:p>
        </w:tc>
        <w:tc>
          <w:tcPr>
            <w:tcW w:type="dxa" w:w="4392"/>
          </w:tcPr>
          <w:p>
            <w:r>
              <w:rPr>
                <w:color w:val="333333"/>
                <w:sz w:val="19"/>
              </w:rPr>
              <w:t>Perform sequential, environment-by-environment deployment. Confirm each stage before proceeding.</w:t>
            </w:r>
          </w:p>
        </w:tc>
      </w:tr>
      <w:tr>
        <w:tc>
          <w:tcPr>
            <w:tcW w:type="dxa" w:w="4392"/>
            <w:shd w:val="clear" w:color="auto" w:fill="EBF3FB"/>
          </w:tcPr>
          <w:p>
            <w:r>
              <w:rPr>
                <w:color w:val="333333"/>
                <w:sz w:val="19"/>
              </w:rPr>
              <w:t>slurmctld configuration error causing job submission failures</w:t>
            </w:r>
          </w:p>
        </w:tc>
        <w:tc>
          <w:tcPr>
            <w:tcW w:type="dxa" w:w="4392"/>
            <w:shd w:val="clear" w:color="auto" w:fill="EBF3FB"/>
          </w:tcPr>
          <w:p>
            <w:r>
              <w:rPr>
                <w:color w:val="333333"/>
                <w:sz w:val="19"/>
              </w:rPr>
              <w:t>Stage all slurm.conf changes in a maintenance window; validate with a controlled test workload before opening the queue.</w:t>
            </w:r>
          </w:p>
        </w:tc>
      </w:tr>
    </w:tbl>
    <w:p>
      <w:pPr>
        <w:spacing w:before="40" w:after="80"/>
      </w:pPr>
      <w:r>
        <w:rPr>
          <w:color w:val="333333"/>
          <w:sz w:val="21"/>
        </w:rPr>
        <w:br/>
        <w:t>Overall system risk is materially reduced by this change. Isolating the License Manager agent from the Slurm control plane limits the blast radius of any future agent-side incident.</w:t>
      </w:r>
    </w:p>
    <w:p>
      <w:pPr>
        <w:spacing w:before="360" w:after="80"/>
        <w:pBdr>
          <w:bottom w:val="single" w:sz="4" w:space="1" w:color="2D6A9F"/>
        </w:pBdr>
      </w:pPr>
      <w:r>
        <w:rPr>
          <w:b/>
          <w:color w:val="1A3A5C"/>
          <w:sz w:val="26"/>
        </w:rPr>
        <w:t>4. BACKOUT PLAN</w:t>
      </w:r>
    </w:p>
    <w:p>
      <w:pPr>
        <w:spacing w:before="40" w:after="80"/>
      </w:pPr>
      <w:r>
        <w:rPr>
          <w:color w:val="333333"/>
          <w:sz w:val="21"/>
        </w:rPr>
        <w:t>The backout strategy is intentionally conservative. The current system configuration is preserved throughout the initial rollout, meaning a return to the prior state requires only a single configuration file change:</w:t>
      </w:r>
    </w:p>
    <w:p>
      <w:pPr>
        <w:pStyle w:val="ListBullet"/>
        <w:spacing w:before="20" w:after="60"/>
        <w:ind w:left="432"/>
      </w:pPr>
      <w:r>
        <w:rPr>
          <w:color w:val="333333"/>
          <w:sz w:val="21"/>
        </w:rPr>
        <w:t>Keep the existing License Manager Python virtual environment installed and intact on slurmctld throughout the initial rollout. Do not remove it until the new architecture has been fully validated in production.</w:t>
      </w:r>
    </w:p>
    <w:p>
      <w:pPr>
        <w:pStyle w:val="ListBullet"/>
        <w:spacing w:before="20" w:after="60"/>
        <w:ind w:left="432"/>
      </w:pPr>
      <w:r>
        <w:rPr>
          <w:color w:val="333333"/>
          <w:sz w:val="21"/>
        </w:rPr>
        <w:t>Treat the new Bash prolog/epilog scripts and the utility-node agent as additive. The legacy components remain available and operable at all times during the transition.</w:t>
      </w:r>
    </w:p>
    <w:p>
      <w:pPr>
        <w:pStyle w:val="ListBullet"/>
        <w:spacing w:before="20" w:after="60"/>
        <w:ind w:left="432"/>
      </w:pPr>
      <w:r>
        <w:rPr>
          <w:color w:val="333333"/>
          <w:sz w:val="21"/>
        </w:rPr>
        <w:t>Promote through environments in order: Dev → Staging → Production. Any failure at any stage triggers an immediate backout for that environment before proceeding.</w:t>
      </w:r>
    </w:p>
    <w:p>
      <w:pPr>
        <w:pStyle w:val="ListBullet"/>
        <w:spacing w:before="20" w:after="60"/>
        <w:ind w:left="432"/>
      </w:pPr>
      <w:r>
        <w:rPr>
          <w:color w:val="333333"/>
          <w:sz w:val="21"/>
        </w:rPr>
        <w:t>Backout action: revert slurm.conf to reference the previous PrologSlurmctld and EpilogSlurmctld paths and issue a slurmctld reload. No other action is required — the Python environment and original scripts are still present and functional.</w:t>
      </w:r>
    </w:p>
    <w:p>
      <w:pPr>
        <w:pStyle w:val="ListBullet"/>
        <w:spacing w:before="20" w:after="60"/>
        <w:ind w:left="432"/>
      </w:pPr>
      <w:r>
        <w:rPr>
          <w:color w:val="333333"/>
          <w:sz w:val="21"/>
        </w:rPr>
        <w:t>Do not remove the legacy environment from slurmctld until the new approach has operated successfully in production for a defined stabilization period.</w:t>
      </w:r>
    </w:p>
    <w:p>
      <w:pPr>
        <w:spacing w:before="40" w:after="80"/>
      </w:pPr>
      <w:r>
        <w:rPr>
          <w:color w:val="333333"/>
          <w:sz w:val="21"/>
        </w:rPr>
        <w:t>This approach guarantees a fast, low-risk recovery path at every stage of the rollout and eliminates the possibility of a prolonged outage due to a failed migration.</w:t>
      </w:r>
    </w:p>
    <w:p>
      <w:pPr>
        <w:spacing w:before="360" w:after="80"/>
        <w:pBdr>
          <w:bottom w:val="single" w:sz="4" w:space="1" w:color="2D6A9F"/>
        </w:pBdr>
      </w:pPr>
      <w:r>
        <w:rPr>
          <w:b/>
          <w:color w:val="1A3A5C"/>
          <w:sz w:val="26"/>
        </w:rPr>
        <w:t>5. SCHEDULE</w:t>
      </w:r>
    </w:p>
    <w:tbl>
      <w:tblPr>
        <w:tblStyle w:val="TableGrid"/>
        <w:tblW w:type="auto" w:w="0"/>
        <w:tblLayout w:type="fixed"/>
        <w:tblLook w:firstColumn="1" w:firstRow="1" w:lastColumn="0" w:lastRow="0" w:noHBand="0" w:noVBand="1" w:val="04A0"/>
      </w:tblPr>
      <w:tblGrid>
        <w:gridCol w:w="3600"/>
        <w:gridCol w:w="6480"/>
      </w:tblGrid>
      <w:tr>
        <w:tc>
          <w:tcPr>
            <w:tcW w:type="dxa" w:w="4392"/>
            <w:shd w:val="clear" w:color="auto" w:fill="EBF3FB"/>
          </w:tcPr>
          <w:p>
            <w:r>
              <w:rPr>
                <w:b/>
                <w:color w:val="1A3A5C"/>
                <w:sz w:val="20"/>
              </w:rPr>
              <w:t>Planned Start Date</w:t>
            </w:r>
          </w:p>
        </w:tc>
        <w:tc>
          <w:tcPr>
            <w:tcW w:type="dxa" w:w="4392"/>
          </w:tcPr>
          <w:p>
            <w:r>
              <w:rPr>
                <w:color w:val="333333"/>
                <w:sz w:val="20"/>
              </w:rPr>
              <w:t>September 9, 2026</w:t>
            </w:r>
          </w:p>
        </w:tc>
      </w:tr>
      <w:tr>
        <w:tc>
          <w:tcPr>
            <w:tcW w:type="dxa" w:w="4392"/>
            <w:shd w:val="clear" w:color="auto" w:fill="EBF3FB"/>
          </w:tcPr>
          <w:p>
            <w:r>
              <w:rPr>
                <w:b/>
                <w:color w:val="1A3A5C"/>
                <w:sz w:val="20"/>
              </w:rPr>
              <w:t>Planned End Date</w:t>
            </w:r>
          </w:p>
        </w:tc>
        <w:tc>
          <w:tcPr>
            <w:tcW w:type="dxa" w:w="4392"/>
          </w:tcPr>
          <w:p>
            <w:r>
              <w:rPr>
                <w:color w:val="333333"/>
                <w:sz w:val="20"/>
              </w:rPr>
              <w:t>September 9, 2026</w:t>
            </w:r>
          </w:p>
        </w:tc>
      </w:tr>
    </w:tbl>
    <w:p/>
    <w:p>
      <w:pPr>
        <w:spacing w:before="360" w:after="80"/>
        <w:pBdr>
          <w:bottom w:val="single" w:sz="4" w:space="1" w:color="2D6A9F"/>
        </w:pBdr>
      </w:pPr>
      <w:r>
        <w:rPr>
          <w:b/>
          <w:color w:val="1A3A5C"/>
          <w:sz w:val="26"/>
        </w:rPr>
        <w:t>6. CONFLICTS</w:t>
      </w:r>
    </w:p>
    <w:p>
      <w:pPr>
        <w:spacing w:before="40" w:after="80"/>
      </w:pPr>
      <w:r>
        <w:rPr>
          <w:color w:val="333333"/>
          <w:sz w:val="21"/>
        </w:rPr>
        <w:t>No conflicts identified at this time. This section will be updated prior to final approval.</w:t>
      </w:r>
    </w:p>
    <w:p>
      <w:pPr>
        <w:spacing w:before="360" w:after="80"/>
        <w:pBdr>
          <w:bottom w:val="single" w:sz="4" w:space="1" w:color="2D6A9F"/>
        </w:pBdr>
      </w:pPr>
      <w:r>
        <w:rPr>
          <w:b/>
          <w:color w:val="1A3A5C"/>
          <w:sz w:val="26"/>
        </w:rPr>
        <w:t>7. CLOSURE INFORMATION</w:t>
      </w:r>
    </w:p>
    <w:tbl>
      <w:tblPr>
        <w:tblStyle w:val="TableGrid"/>
        <w:tblW w:type="auto" w:w="0"/>
        <w:tblLayout w:type="fixed"/>
        <w:tblLook w:firstColumn="1" w:firstRow="1" w:lastColumn="0" w:lastRow="0" w:noHBand="0" w:noVBand="1" w:val="04A0"/>
      </w:tblPr>
      <w:tblGrid>
        <w:gridCol w:w="3600"/>
        <w:gridCol w:w="6480"/>
      </w:tblGrid>
      <w:tr>
        <w:tc>
          <w:tcPr>
            <w:tcW w:type="dxa" w:w="4392"/>
            <w:shd w:val="clear" w:color="auto" w:fill="EBF3FB"/>
          </w:tcPr>
          <w:p>
            <w:r>
              <w:rPr>
                <w:b/>
                <w:color w:val="1A3A5C"/>
                <w:sz w:val="20"/>
              </w:rPr>
              <w:t>Close Code</w:t>
            </w:r>
          </w:p>
        </w:tc>
        <w:tc>
          <w:tcPr>
            <w:tcW w:type="dxa" w:w="4392"/>
          </w:tcPr>
          <w:p>
            <w:r>
              <w:rPr>
                <w:sz w:val="20"/>
              </w:rPr>
            </w:r>
          </w:p>
        </w:tc>
      </w:tr>
      <w:tr>
        <w:tc>
          <w:tcPr>
            <w:tcW w:type="dxa" w:w="4392"/>
            <w:shd w:val="clear" w:color="auto" w:fill="EBF3FB"/>
          </w:tcPr>
          <w:p>
            <w:r>
              <w:rPr>
                <w:b/>
                <w:color w:val="1A3A5C"/>
                <w:sz w:val="20"/>
              </w:rPr>
              <w:t>Close Notes</w:t>
            </w:r>
          </w:p>
        </w:tc>
        <w:tc>
          <w:tcPr>
            <w:tcW w:type="dxa" w:w="4392"/>
          </w:tcPr>
          <w:p>
            <w:r>
              <w:rPr>
                <w:sz w:val="20"/>
              </w:rPr>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