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a56db"/>
          <w:sz w:val="28"/>
          <w:szCs w:val="28"/>
        </w:rPr>
        <w:t xml:space="preserve">COVER EMAIL — ACTUARIAL ENGAGEMENT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Subject: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Actuarial Funding Engagement — Pay It Forward HealthShare (Experience Data Enclosed)</w:t>
      </w:r>
    </w:p>
    <w:p>
      <w:pPr>
        <w:pBdr>
          <w:bottom w:val="single" w:color="cccccc" w:sz="1"/>
        </w:pBdr>
        <w:spacing w:before="200"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Dear [Actuarial Firm Name] Engagement Team,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We are writing to formally engage your firm to perform an actuarial funding adequacy review for the Pay It Forward HealthShare program, a health care sharing ministry program administered on the Pay It Forward Technologies EMS platform.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What We Are Requesting: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Actuarial funding adequacy opinion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Recommended member contribution ranges by age band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Reserve guidance including IBNR estimation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Stop-loss attachment point recommendation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What Is Enclosed: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1. Technical &amp; Compliance Document (PDF/DOCX):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Describes the de-identification methodology, dataset specifications, field definitions, and program structure.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2. CSV Data Exports (zipped):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Five datasets covering a 24-month experience period: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Dataset 1: Monthly Experience Summary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Dataset 2: Needs Distribution by Type (Utilization Mix)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Dataset 3: Contribution Adequacy (Revenue Side)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Dataset 4: Age-Band Loss Experience (Risk Segmentation)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Dataset 5: Member-Month Exposure and Claims Development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3. Program Structure Description: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Initial Unshareable Amount (IUA) rules, waiting periods, sharing limits, and member eligibility requirements.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About the Data: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All data is aggregated and de-identified at the database level. No individually identifiable health information is included. Small-group suppression (n &lt; 5) is enforced. The dataset includes true daily member-month exposure calculations, incurred claims attributed to service month, and report/payment lag data suitable for completion factor analysis.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About the Platform: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Pay It Forward Technologies EMS is a proprietary administration platform built on Supabase (PostgreSQL) with real-time actuarial data extraction capabilities. The data provided is generated programmatically via secured database functions and can be refreshed on demand for any lookback period up to 60 months.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We look forward to your engagement letter and are available to discuss data specifications or provide additional breakdowns at your convenience.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Respectfully,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[Your Name]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[Your Title]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Pay It Forward HealthShare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[Phone] | [Email]</w:t>
      </w:r>
    </w:p>
    <w:p>
      <w:pPr>
        <w:pBdr>
          <w:bottom w:val="single" w:color="cccccc" w:sz="1"/>
        </w:pBdr>
        <w:spacing w:before="200"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8"/>
          <w:szCs w:val="18"/>
        </w:rPr>
        <w:t xml:space="preserve">Note: Replace bracketed items with your actual contact details before sending.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Email — Actuarial Engagement</dc:title>
  <dc:creator>Pay It Forward Technologies EMS</dc:creator>
  <cp:lastModifiedBy>Un-named</cp:lastModifiedBy>
  <cp:revision>1</cp:revision>
  <dcterms:created xsi:type="dcterms:W3CDTF">2026-02-19T23:40:40.551Z</dcterms:created>
  <dcterms:modified xsi:type="dcterms:W3CDTF">2026-02-19T23:40:40.551Z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