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Calibri" w:cs="Calibri" w:eastAsia="Calibri" w:hAnsi="Calibri"/>
          <w:b/>
          <w:bCs/>
          <w:i w:val="false"/>
          <w:iCs w:val="false"/>
          <w:color w:val="1a56db"/>
          <w:sz w:val="48"/>
          <w:szCs w:val="48"/>
        </w:rPr>
        <w:t xml:space="preserve">Pay It Forward Health</w:t>
      </w:r>
    </w:p>
    <w:p>
      <w:pPr>
        <w:spacing w:after="120"/>
        <w:jc w:val="center"/>
      </w:pPr>
      <w:r>
        <w:rPr>
          <w:rFonts w:ascii="Calibri" w:cs="Calibri" w:eastAsia="Calibri" w:hAnsi="Calibri"/>
          <w:b/>
          <w:bCs/>
          <w:i w:val="false"/>
          <w:iCs w:val="false"/>
          <w:color w:val="1f2937"/>
          <w:sz w:val="36"/>
          <w:szCs w:val="36"/>
        </w:rPr>
        <w:t xml:space="preserve">Actuarial Data Submission Package</w:t>
      </w:r>
    </w:p>
    <w:p>
      <w:pPr>
        <w:spacing w:before="600"/>
      </w:pPr>
    </w:p>
    <w:p>
      <w:pPr>
        <w:spacing w:after="120"/>
        <w:jc w:val="center"/>
      </w:pPr>
      <w:r>
        <w:rPr>
          <w:rFonts w:ascii="Calibri" w:cs="Calibri" w:eastAsia="Calibri" w:hAnsi="Calibri"/>
          <w:b w:val="false"/>
          <w:bCs w:val="false"/>
          <w:i w:val="false"/>
          <w:iCs w:val="false"/>
          <w:color w:val="6b7280"/>
          <w:sz w:val="24"/>
          <w:szCs w:val="24"/>
        </w:rPr>
        <w:t xml:space="preserve">Prepared for: Actuarial Review</w:t>
      </w:r>
    </w:p>
    <w:p>
      <w:pPr>
        <w:spacing w:after="120"/>
        <w:jc w:val="center"/>
      </w:pPr>
      <w:r>
        <w:rPr>
          <w:rFonts w:ascii="Calibri" w:cs="Calibri" w:eastAsia="Calibri" w:hAnsi="Calibri"/>
          <w:b w:val="false"/>
          <w:bCs w:val="false"/>
          <w:i w:val="false"/>
          <w:iCs w:val="false"/>
          <w:color w:val="6b7280"/>
          <w:sz w:val="24"/>
          <w:szCs w:val="24"/>
        </w:rPr>
        <w:t xml:space="preserve">Organization: Pay It Forward Health</w:t>
      </w:r>
    </w:p>
    <w:p>
      <w:pPr>
        <w:spacing w:after="120"/>
        <w:jc w:val="center"/>
      </w:pPr>
      <w:r>
        <w:rPr>
          <w:rFonts w:ascii="Calibri" w:cs="Calibri" w:eastAsia="Calibri" w:hAnsi="Calibri"/>
          <w:b w:val="false"/>
          <w:bCs w:val="false"/>
          <w:i w:val="false"/>
          <w:iCs w:val="false"/>
          <w:color w:val="6b7280"/>
          <w:sz w:val="24"/>
          <w:szCs w:val="24"/>
        </w:rPr>
        <w:t xml:space="preserve">Platform: Pay It Forward Technologies EMS</w:t>
      </w:r>
    </w:p>
    <w:p>
      <w:pPr>
        <w:spacing w:after="120"/>
        <w:jc w:val="center"/>
      </w:pPr>
      <w:r>
        <w:rPr>
          <w:rFonts w:ascii="Calibri" w:cs="Calibri" w:eastAsia="Calibri" w:hAnsi="Calibri"/>
          <w:b w:val="false"/>
          <w:bCs w:val="false"/>
          <w:i w:val="false"/>
          <w:iCs w:val="false"/>
          <w:color w:val="6b7280"/>
          <w:sz w:val="24"/>
          <w:szCs w:val="24"/>
        </w:rPr>
        <w:t xml:space="preserve">Date: February 19, 2026</w:t>
      </w:r>
    </w:p>
    <w:p>
      <w:pPr>
        <w:spacing w:after="120"/>
        <w:jc w:val="center"/>
      </w:pPr>
      <w:r>
        <w:rPr>
          <w:rFonts w:ascii="Calibri" w:cs="Calibri" w:eastAsia="Calibri" w:hAnsi="Calibri"/>
          <w:b w:val="false"/>
          <w:bCs w:val="false"/>
          <w:i w:val="false"/>
          <w:iCs w:val="false"/>
          <w:color w:val="6b7280"/>
          <w:sz w:val="24"/>
          <w:szCs w:val="24"/>
        </w:rPr>
        <w:t xml:space="preserve">Version 3.0</w:t>
      </w:r>
    </w:p>
    <w:p>
      <w:pPr>
        <w:spacing w:before="1200"/>
      </w:pPr>
    </w:p>
    <w:p>
      <w:pPr>
        <w:spacing w:after="120"/>
        <w:jc w:val="both"/>
      </w:pPr>
      <w:r>
        <w:rPr>
          <w:rFonts w:ascii="Calibri" w:cs="Calibri" w:eastAsia="Calibri" w:hAnsi="Calibri"/>
          <w:b w:val="false"/>
          <w:bCs w:val="false"/>
          <w:i w:val="false"/>
          <w:iCs w:val="false"/>
          <w:color w:val="1f2937"/>
          <w:sz w:val="22"/>
          <w:szCs w:val="22"/>
        </w:rPr>
        <w:t xml:space="preserve">This submission is intended to provide an actuarial firm with sufficient aggregated experience data to evaluate contribution adequacy, financial sustainability, reserve requirements, and stop-loss structuring for the Pay It Forward HealthShare program administered on the Pay It Forward Technologies EMS platform. The organization is seeking an independent actuarial review and funding opinion. </w:t>
      </w:r>
      <w:r>
        <w:rPr>
          <w:rFonts w:ascii="Calibri" w:cs="Calibri" w:eastAsia="Calibri" w:hAnsi="Calibri"/>
          <w:b/>
          <w:bCs/>
          <w:i w:val="false"/>
          <w:iCs w:val="false"/>
          <w:color w:val="1f2937"/>
          <w:sz w:val="22"/>
          <w:szCs w:val="22"/>
        </w:rPr>
        <w:t xml:space="preserve">The organization is requesting an actuarial funding adequacy opinion and recommended contribution ranges, including reserve guidance and stop-loss attachment recommendations based on the provided experience data.</w:t>
      </w:r>
    </w:p>
    <w:p>
      <w:r>
        <w:br w:type="page"/>
      </w:r>
    </w:p>
    <w:p>
      <w:pPr>
        <w:pStyle w:val="Heading1"/>
        <w:spacing w:before="300" w:after="120"/>
      </w:pPr>
      <w:r>
        <w:rPr>
          <w:rFonts w:ascii="Calibri" w:cs="Calibri" w:eastAsia="Calibri" w:hAnsi="Calibri"/>
          <w:b/>
          <w:bCs/>
          <w:i w:val="false"/>
          <w:iCs w:val="false"/>
          <w:color w:val="1a56db"/>
          <w:sz w:val="32"/>
          <w:szCs w:val="32"/>
        </w:rPr>
        <w:t xml:space="preserve">Part 1: Privacy &amp; Compliance Framework</w:t>
      </w:r>
    </w:p>
    <w:p>
      <w:pPr>
        <w:pStyle w:val="Heading2"/>
        <w:spacing w:before="300" w:after="120"/>
      </w:pPr>
      <w:r>
        <w:rPr>
          <w:rFonts w:ascii="Calibri" w:cs="Calibri" w:eastAsia="Calibri" w:hAnsi="Calibri"/>
          <w:b/>
          <w:bCs/>
          <w:i w:val="false"/>
          <w:iCs w:val="false"/>
          <w:color w:val="1a56db"/>
          <w:sz w:val="26"/>
          <w:szCs w:val="26"/>
        </w:rPr>
        <w:t xml:space="preserve">De-Identification Method</w:t>
      </w:r>
    </w:p>
    <w:p>
      <w:pPr>
        <w:spacing w:after="120"/>
      </w:pPr>
      <w:r>
        <w:rPr>
          <w:rFonts w:ascii="Calibri" w:cs="Calibri" w:eastAsia="Calibri" w:hAnsi="Calibri"/>
          <w:b w:val="false"/>
          <w:bCs w:val="false"/>
          <w:i w:val="false"/>
          <w:iCs w:val="false"/>
          <w:color w:val="1f2937"/>
          <w:sz w:val="22"/>
          <w:szCs w:val="22"/>
        </w:rPr>
        <w:t xml:space="preserve">All data provided in this package is aggregated-only, de-identified data. De-identification is enforced at the database level via PostgreSQL stored procedures (SECURITY DEFINER functions). The application layer never has access to individual-level records.</w:t>
      </w:r>
    </w:p>
    <w:p>
      <w:pPr>
        <w:spacing w:after="120"/>
      </w:pPr>
      <w:r>
        <w:rPr>
          <w:rFonts w:ascii="Calibri" w:cs="Calibri" w:eastAsia="Calibri" w:hAnsi="Calibri"/>
          <w:b w:val="false"/>
          <w:bCs w:val="false"/>
          <w:i/>
          <w:iCs/>
          <w:color w:val="1f2937"/>
          <w:sz w:val="22"/>
          <w:szCs w:val="22"/>
        </w:rPr>
        <w:t xml:space="preserve">De-identification is achieved through aggregation, suppression, and removal of all direct identifiers. The dataset contains no individually identifiable information and is intended to meet HIPAA de-identification standards as described in 45 CFR 164.514. The organization is not representing a formal Safe Harbor certification, but that all 18 identifiers are excluded and only aggregate statistics are provided.</w:t>
      </w:r>
    </w:p>
    <w:p>
      <w:pPr>
        <w:pStyle w:val="Heading3"/>
        <w:spacing w:before="300" w:after="120"/>
      </w:pPr>
      <w:r>
        <w:rPr>
          <w:rFonts w:ascii="Calibri" w:cs="Calibri" w:eastAsia="Calibri" w:hAnsi="Calibri"/>
          <w:b/>
          <w:bCs/>
          <w:i w:val="false"/>
          <w:iCs w:val="false"/>
          <w:color w:val="1a56db"/>
          <w:sz w:val="22"/>
          <w:szCs w:val="22"/>
        </w:rPr>
        <w:t xml:space="preserve">What is NEVER Included</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No member names, dates of birth, SSNs, or member IDs</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No email addresses, phone numbers, or physical addresses</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No individual claim/need records</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No individual payment records</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Geographic data limited to state-level only</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Age data presented only as bucketed ranges (0-17, 18-25, 26-35, 36-45, 46-55, 56-64, 65+)</w:t>
      </w:r>
    </w:p>
    <w:p>
      <w:pPr>
        <w:pStyle w:val="Heading3"/>
        <w:spacing w:before="300" w:after="120"/>
      </w:pPr>
      <w:r>
        <w:rPr>
          <w:rFonts w:ascii="Calibri" w:cs="Calibri" w:eastAsia="Calibri" w:hAnsi="Calibri"/>
          <w:b/>
          <w:bCs/>
          <w:i w:val="false"/>
          <w:iCs w:val="false"/>
          <w:color w:val="1a56db"/>
          <w:sz w:val="22"/>
          <w:szCs w:val="22"/>
        </w:rPr>
        <w:t xml:space="preserve">Small-Group Suppression</w:t>
      </w:r>
    </w:p>
    <w:p>
      <w:pPr>
        <w:spacing w:after="120"/>
      </w:pPr>
      <w:r>
        <w:rPr>
          <w:rFonts w:ascii="Calibri" w:cs="Calibri" w:eastAsia="Calibri" w:hAnsi="Calibri"/>
          <w:b w:val="false"/>
          <w:bCs w:val="false"/>
          <w:i w:val="false"/>
          <w:iCs w:val="false"/>
          <w:color w:val="1f2937"/>
          <w:sz w:val="22"/>
          <w:szCs w:val="22"/>
        </w:rPr>
        <w:t xml:space="preserve">Any aggregated category with fewer than 5 individuals returns a suppressed value (displayed as "&lt; 5") to prevent re-identification in small populations.</w:t>
      </w:r>
    </w:p>
    <w:p>
      <w:pPr>
        <w:pStyle w:val="Heading3"/>
        <w:spacing w:before="300" w:after="120"/>
      </w:pPr>
      <w:r>
        <w:rPr>
          <w:rFonts w:ascii="Calibri" w:cs="Calibri" w:eastAsia="Calibri" w:hAnsi="Calibri"/>
          <w:b/>
          <w:bCs/>
          <w:i w:val="false"/>
          <w:iCs w:val="false"/>
          <w:color w:val="1a56db"/>
          <w:sz w:val="22"/>
          <w:szCs w:val="22"/>
        </w:rPr>
        <w:t xml:space="preserve">Access Control</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Database functions validate caller authentication and organization membership</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API restricted to owner and admin roles only</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Cross-tenant isolation: one organization cannot access another's data</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All functions use SET search_path = public to prevent SQL injection</w:t>
      </w:r>
    </w:p>
    <w:p>
      <w:pPr>
        <w:pBdr>
          <w:bottom w:val="single" w:color="cccccc" w:sz="1"/>
        </w:pBdr>
        <w:spacing w:before="200" w:after="200"/>
      </w:pPr>
      <w:r>
        <w:rPr>
          <w:rFonts w:ascii="Calibri" w:cs="Calibri" w:eastAsia="Calibri" w:hAnsi="Calibri"/>
          <w:b w:val="false"/>
          <w:bCs w:val="false"/>
          <w:i w:val="false"/>
          <w:iCs w:val="false"/>
          <w:color w:val="1f2937"/>
          <w:sz w:val="22"/>
          <w:szCs w:val="22"/>
        </w:rPr>
        <w:t xml:space="preserve"/>
      </w:r>
    </w:p>
    <w:p>
      <w:pPr>
        <w:pStyle w:val="Heading1"/>
        <w:spacing w:before="300" w:after="120"/>
      </w:pPr>
      <w:r>
        <w:rPr>
          <w:rFonts w:ascii="Calibri" w:cs="Calibri" w:eastAsia="Calibri" w:hAnsi="Calibri"/>
          <w:b/>
          <w:bCs/>
          <w:i w:val="false"/>
          <w:iCs w:val="false"/>
          <w:color w:val="1a56db"/>
          <w:sz w:val="32"/>
          <w:szCs w:val="32"/>
        </w:rPr>
        <w:t xml:space="preserve">Part 2: Actuarial Experience Data Extract Specification</w:t>
      </w:r>
    </w:p>
    <w:p>
      <w:pPr>
        <w:spacing w:after="120"/>
      </w:pPr>
      <w:r>
        <w:rPr>
          <w:rFonts w:ascii="Calibri" w:cs="Calibri" w:eastAsia="Calibri" w:hAnsi="Calibri"/>
          <w:b w:val="false"/>
          <w:bCs w:val="false"/>
          <w:i w:val="false"/>
          <w:iCs w:val="false"/>
          <w:color w:val="1f2937"/>
          <w:sz w:val="22"/>
          <w:szCs w:val="22"/>
        </w:rPr>
        <w:t xml:space="preserve">The platform generates five datasets on-demand, covering a configurable lookback period (default: 24 months). All data is exportable as CSV directly from the admin dashboard.</w:t>
      </w:r>
    </w:p>
    <w:p>
      <w:pPr>
        <w:pBdr>
          <w:bottom w:val="single" w:color="cccccc" w:sz="1"/>
        </w:pBdr>
        <w:spacing w:before="200" w:after="200"/>
      </w:pPr>
      <w:r>
        <w:rPr>
          <w:rFonts w:ascii="Calibri" w:cs="Calibri" w:eastAsia="Calibri" w:hAnsi="Calibri"/>
          <w:b w:val="false"/>
          <w:bCs w:val="false"/>
          <w:i w:val="false"/>
          <w:iCs w:val="false"/>
          <w:color w:val="1f2937"/>
          <w:sz w:val="22"/>
          <w:szCs w:val="22"/>
        </w:rPr>
        <w:t xml:space="preserve"/>
      </w:r>
    </w:p>
    <w:p>
      <w:pPr>
        <w:pStyle w:val="Heading2"/>
        <w:spacing w:before="300" w:after="120"/>
      </w:pPr>
      <w:r>
        <w:rPr>
          <w:rFonts w:ascii="Calibri" w:cs="Calibri" w:eastAsia="Calibri" w:hAnsi="Calibri"/>
          <w:b/>
          <w:bCs/>
          <w:i w:val="false"/>
          <w:iCs w:val="false"/>
          <w:color w:val="1a56db"/>
          <w:sz w:val="26"/>
          <w:szCs w:val="26"/>
        </w:rPr>
        <w:t xml:space="preserve">Dataset 1: Monthly Experience Summary</w:t>
      </w:r>
    </w:p>
    <w:p>
      <w:pPr>
        <w:spacing w:after="120"/>
      </w:pPr>
      <w:r>
        <w:rPr>
          <w:rFonts w:ascii="Calibri" w:cs="Calibri" w:eastAsia="Calibri" w:hAnsi="Calibri"/>
          <w:b w:val="false"/>
          <w:bCs w:val="false"/>
          <w:i w:val="false"/>
          <w:iCs w:val="false"/>
          <w:color w:val="1f2937"/>
          <w:sz w:val="22"/>
          <w:szCs w:val="22"/>
        </w:rPr>
        <w:t xml:space="preserve">The primary actuarial input. Each row represents one calendar month.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color="1a56db" w:val="solid"/>
          </w:tcPr>
          <w:p>
            <w:pPr>
              <w:spacing w:after="0"/>
            </w:pPr>
            <w:r>
              <w:rPr>
                <w:rFonts w:ascii="Calibri" w:cs="Calibri" w:eastAsia="Calibri" w:hAnsi="Calibri"/>
                <w:b/>
                <w:bCs/>
                <w:i w:val="false"/>
                <w:iCs w:val="false"/>
                <w:color w:val="ffffff"/>
                <w:sz w:val="20"/>
                <w:szCs w:val="20"/>
              </w:rPr>
              <w:t xml:space="preserve">Field</w:t>
            </w:r>
          </w:p>
        </w:tc>
        <w:tc>
          <w:tcPr>
            <w:tcW w:type="dxa" w:w="3000"/>
            <w:shd w:color="1a56db" w:val="solid"/>
          </w:tcPr>
          <w:p>
            <w:pPr>
              <w:spacing w:after="0"/>
            </w:pPr>
            <w:r>
              <w:rPr>
                <w:rFonts w:ascii="Calibri" w:cs="Calibri" w:eastAsia="Calibri" w:hAnsi="Calibri"/>
                <w:b/>
                <w:bCs/>
                <w:i w:val="false"/>
                <w:iCs w:val="false"/>
                <w:color w:val="ffffff"/>
                <w:sz w:val="20"/>
                <w:szCs w:val="20"/>
              </w:rPr>
              <w:t xml:space="preserve">Type</w:t>
            </w:r>
          </w:p>
        </w:tc>
        <w:tc>
          <w:tcPr>
            <w:tcW w:type="dxa" w:w="3000"/>
            <w:shd w:color="1a56db" w:val="solid"/>
          </w:tcPr>
          <w:p>
            <w:pPr>
              <w:spacing w:after="0"/>
            </w:pPr>
            <w:r>
              <w:rPr>
                <w:rFonts w:ascii="Calibri" w:cs="Calibri" w:eastAsia="Calibri" w:hAnsi="Calibri"/>
                <w:b/>
                <w:bCs/>
                <w:i w:val="false"/>
                <w:iCs w:val="false"/>
                <w:color w:val="ffffff"/>
                <w:sz w:val="20"/>
                <w:szCs w:val="20"/>
              </w:rPr>
              <w:t xml:space="preserve">Description</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Period</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YYYY-MM</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Calendar month</w:t>
            </w:r>
          </w:p>
        </w:tc>
      </w:tr>
      <w:tr>
        <w:tc>
          <w:p>
            <w:pPr>
              <w:spacing w:after="0"/>
            </w:pPr>
            <w:r>
              <w:rPr>
                <w:rFonts w:ascii="Calibri" w:cs="Calibri" w:eastAsia="Calibri" w:hAnsi="Calibri"/>
                <w:b w:val="false"/>
                <w:bCs w:val="false"/>
                <w:i w:val="false"/>
                <w:iCs w:val="false"/>
                <w:color w:val="1f2937"/>
                <w:sz w:val="18"/>
                <w:szCs w:val="18"/>
              </w:rPr>
              <w:t xml:space="preserve">Eligible Members</w:t>
            </w:r>
          </w:p>
        </w:tc>
        <w:tc>
          <w:p>
            <w:pPr>
              <w:spacing w:after="0"/>
            </w:pPr>
            <w:r>
              <w:rPr>
                <w:rFonts w:ascii="Calibri" w:cs="Calibri" w:eastAsia="Calibri" w:hAnsi="Calibri"/>
                <w:b w:val="false"/>
                <w:bCs w:val="false"/>
                <w:i w:val="false"/>
                <w:iCs w:val="false"/>
                <w:color w:val="1f2937"/>
                <w:sz w:val="18"/>
                <w:szCs w:val="18"/>
              </w:rPr>
              <w:t xml:space="preserve">Integer</w:t>
            </w:r>
          </w:p>
        </w:tc>
        <w:tc>
          <w:p>
            <w:pPr>
              <w:spacing w:after="0"/>
            </w:pPr>
            <w:r>
              <w:rPr>
                <w:rFonts w:ascii="Calibri" w:cs="Calibri" w:eastAsia="Calibri" w:hAnsi="Calibri"/>
                <w:b w:val="false"/>
                <w:bCs w:val="false"/>
                <w:i w:val="false"/>
                <w:iCs w:val="false"/>
                <w:color w:val="1f2937"/>
                <w:sz w:val="18"/>
                <w:szCs w:val="18"/>
              </w:rPr>
              <w:t xml:space="preserve">Unique members eligible for sharing at any point during the calendar month (headcount measure). Exposure for actuarial modeling is provided separately in Dataset 5 as Member Months.</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New Members</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Integer</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Members who joined that month</w:t>
            </w:r>
          </w:p>
        </w:tc>
      </w:tr>
      <w:tr>
        <w:tc>
          <w:p>
            <w:pPr>
              <w:spacing w:after="0"/>
            </w:pPr>
            <w:r>
              <w:rPr>
                <w:rFonts w:ascii="Calibri" w:cs="Calibri" w:eastAsia="Calibri" w:hAnsi="Calibri"/>
                <w:b w:val="false"/>
                <w:bCs w:val="false"/>
                <w:i w:val="false"/>
                <w:iCs w:val="false"/>
                <w:color w:val="1f2937"/>
                <w:sz w:val="18"/>
                <w:szCs w:val="18"/>
              </w:rPr>
              <w:t xml:space="preserve">Contributions Collected</w:t>
            </w:r>
          </w:p>
        </w:tc>
        <w:tc>
          <w:p>
            <w:pPr>
              <w:spacing w:after="0"/>
            </w:pPr>
            <w:r>
              <w:rPr>
                <w:rFonts w:ascii="Calibri" w:cs="Calibri" w:eastAsia="Calibri" w:hAnsi="Calibri"/>
                <w:b w:val="false"/>
                <w:bCs w:val="false"/>
                <w:i w:val="false"/>
                <w:iCs w:val="false"/>
                <w:color w:val="1f2937"/>
                <w:sz w:val="18"/>
                <w:szCs w:val="18"/>
              </w:rPr>
              <w:t xml:space="preserve">Currency</w:t>
            </w:r>
          </w:p>
        </w:tc>
        <w:tc>
          <w:p>
            <w:pPr>
              <w:spacing w:after="0"/>
            </w:pPr>
            <w:r>
              <w:rPr>
                <w:rFonts w:ascii="Calibri" w:cs="Calibri" w:eastAsia="Calibri" w:hAnsi="Calibri"/>
                <w:b w:val="false"/>
                <w:bCs w:val="false"/>
                <w:i w:val="false"/>
                <w:iCs w:val="false"/>
                <w:color w:val="1f2937"/>
                <w:sz w:val="18"/>
                <w:szCs w:val="18"/>
              </w:rPr>
              <w:t xml:space="preserve">Total $ collected from member sharing contributions</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Processing Fees</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Currency</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Payment processing fees deducted</w:t>
            </w:r>
          </w:p>
        </w:tc>
      </w:tr>
      <w:tr>
        <w:tc>
          <w:p>
            <w:pPr>
              <w:spacing w:after="0"/>
            </w:pPr>
            <w:r>
              <w:rPr>
                <w:rFonts w:ascii="Calibri" w:cs="Calibri" w:eastAsia="Calibri" w:hAnsi="Calibri"/>
                <w:b w:val="false"/>
                <w:bCs w:val="false"/>
                <w:i w:val="false"/>
                <w:iCs w:val="false"/>
                <w:color w:val="1f2937"/>
                <w:sz w:val="18"/>
                <w:szCs w:val="18"/>
              </w:rPr>
              <w:t xml:space="preserve">Net Revenue</w:t>
            </w:r>
          </w:p>
        </w:tc>
        <w:tc>
          <w:p>
            <w:pPr>
              <w:spacing w:after="0"/>
            </w:pPr>
            <w:r>
              <w:rPr>
                <w:rFonts w:ascii="Calibri" w:cs="Calibri" w:eastAsia="Calibri" w:hAnsi="Calibri"/>
                <w:b w:val="false"/>
                <w:bCs w:val="false"/>
                <w:i w:val="false"/>
                <w:iCs w:val="false"/>
                <w:color w:val="1f2937"/>
                <w:sz w:val="18"/>
                <w:szCs w:val="18"/>
              </w:rPr>
              <w:t xml:space="preserve">Currency</w:t>
            </w:r>
          </w:p>
        </w:tc>
        <w:tc>
          <w:p>
            <w:pPr>
              <w:spacing w:after="0"/>
            </w:pPr>
            <w:r>
              <w:rPr>
                <w:rFonts w:ascii="Calibri" w:cs="Calibri" w:eastAsia="Calibri" w:hAnsi="Calibri"/>
                <w:b w:val="false"/>
                <w:bCs w:val="false"/>
                <w:i w:val="false"/>
                <w:iCs w:val="false"/>
                <w:color w:val="1f2937"/>
                <w:sz w:val="18"/>
                <w:szCs w:val="18"/>
              </w:rPr>
              <w:t xml:space="preserve">Collected minus fees</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Failed Payments</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Integer</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Number of failed payment attempts</w:t>
            </w:r>
          </w:p>
        </w:tc>
      </w:tr>
      <w:tr>
        <w:tc>
          <w:p>
            <w:pPr>
              <w:spacing w:after="0"/>
            </w:pPr>
            <w:r>
              <w:rPr>
                <w:rFonts w:ascii="Calibri" w:cs="Calibri" w:eastAsia="Calibri" w:hAnsi="Calibri"/>
                <w:b w:val="false"/>
                <w:bCs w:val="false"/>
                <w:i w:val="false"/>
                <w:iCs w:val="false"/>
                <w:color w:val="1f2937"/>
                <w:sz w:val="18"/>
                <w:szCs w:val="18"/>
              </w:rPr>
              <w:t xml:space="preserve">Failed Amount</w:t>
            </w:r>
          </w:p>
        </w:tc>
        <w:tc>
          <w:p>
            <w:pPr>
              <w:spacing w:after="0"/>
            </w:pPr>
            <w:r>
              <w:rPr>
                <w:rFonts w:ascii="Calibri" w:cs="Calibri" w:eastAsia="Calibri" w:hAnsi="Calibri"/>
                <w:b w:val="false"/>
                <w:bCs w:val="false"/>
                <w:i w:val="false"/>
                <w:iCs w:val="false"/>
                <w:color w:val="1f2937"/>
                <w:sz w:val="18"/>
                <w:szCs w:val="18"/>
              </w:rPr>
              <w:t xml:space="preserve">Currency</w:t>
            </w:r>
          </w:p>
        </w:tc>
        <w:tc>
          <w:p>
            <w:pPr>
              <w:spacing w:after="0"/>
            </w:pPr>
            <w:r>
              <w:rPr>
                <w:rFonts w:ascii="Calibri" w:cs="Calibri" w:eastAsia="Calibri" w:hAnsi="Calibri"/>
                <w:b w:val="false"/>
                <w:bCs w:val="false"/>
                <w:i w:val="false"/>
                <w:iCs w:val="false"/>
                <w:color w:val="1f2937"/>
                <w:sz w:val="18"/>
                <w:szCs w:val="18"/>
              </w:rPr>
              <w:t xml:space="preserve">$ value of failed payments</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Needs Submitted (Count)</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Integer</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Number of needs/claims filed</w:t>
            </w:r>
          </w:p>
        </w:tc>
      </w:tr>
      <w:tr>
        <w:tc>
          <w:p>
            <w:pPr>
              <w:spacing w:after="0"/>
            </w:pPr>
            <w:r>
              <w:rPr>
                <w:rFonts w:ascii="Calibri" w:cs="Calibri" w:eastAsia="Calibri" w:hAnsi="Calibri"/>
                <w:b w:val="false"/>
                <w:bCs w:val="false"/>
                <w:i w:val="false"/>
                <w:iCs w:val="false"/>
                <w:color w:val="1f2937"/>
                <w:sz w:val="18"/>
                <w:szCs w:val="18"/>
              </w:rPr>
              <w:t xml:space="preserve">Needs Submitted ($)</w:t>
            </w:r>
          </w:p>
        </w:tc>
        <w:tc>
          <w:p>
            <w:pPr>
              <w:spacing w:after="0"/>
            </w:pPr>
            <w:r>
              <w:rPr>
                <w:rFonts w:ascii="Calibri" w:cs="Calibri" w:eastAsia="Calibri" w:hAnsi="Calibri"/>
                <w:b w:val="false"/>
                <w:bCs w:val="false"/>
                <w:i w:val="false"/>
                <w:iCs w:val="false"/>
                <w:color w:val="1f2937"/>
                <w:sz w:val="18"/>
                <w:szCs w:val="18"/>
              </w:rPr>
              <w:t xml:space="preserve">Currency</w:t>
            </w:r>
          </w:p>
        </w:tc>
        <w:tc>
          <w:p>
            <w:pPr>
              <w:spacing w:after="0"/>
            </w:pPr>
            <w:r>
              <w:rPr>
                <w:rFonts w:ascii="Calibri" w:cs="Calibri" w:eastAsia="Calibri" w:hAnsi="Calibri"/>
                <w:b w:val="false"/>
                <w:bCs w:val="false"/>
                <w:i w:val="false"/>
                <w:iCs w:val="false"/>
                <w:color w:val="1f2937"/>
                <w:sz w:val="18"/>
                <w:szCs w:val="18"/>
              </w:rPr>
              <w:t xml:space="preserve">Total $ value of needs filed</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Needs Approved (Count)</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Integer</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Number approved for sharing</w:t>
            </w:r>
          </w:p>
        </w:tc>
      </w:tr>
      <w:tr>
        <w:tc>
          <w:p>
            <w:pPr>
              <w:spacing w:after="0"/>
            </w:pPr>
            <w:r>
              <w:rPr>
                <w:rFonts w:ascii="Calibri" w:cs="Calibri" w:eastAsia="Calibri" w:hAnsi="Calibri"/>
                <w:b w:val="false"/>
                <w:bCs w:val="false"/>
                <w:i w:val="false"/>
                <w:iCs w:val="false"/>
                <w:color w:val="1f2937"/>
                <w:sz w:val="18"/>
                <w:szCs w:val="18"/>
              </w:rPr>
              <w:t xml:space="preserve">Needs Approved ($)</w:t>
            </w:r>
          </w:p>
        </w:tc>
        <w:tc>
          <w:p>
            <w:pPr>
              <w:spacing w:after="0"/>
            </w:pPr>
            <w:r>
              <w:rPr>
                <w:rFonts w:ascii="Calibri" w:cs="Calibri" w:eastAsia="Calibri" w:hAnsi="Calibri"/>
                <w:b w:val="false"/>
                <w:bCs w:val="false"/>
                <w:i w:val="false"/>
                <w:iCs w:val="false"/>
                <w:color w:val="1f2937"/>
                <w:sz w:val="18"/>
                <w:szCs w:val="18"/>
              </w:rPr>
              <w:t xml:space="preserve">Currency</w:t>
            </w:r>
          </w:p>
        </w:tc>
        <w:tc>
          <w:p>
            <w:pPr>
              <w:spacing w:after="0"/>
            </w:pPr>
            <w:r>
              <w:rPr>
                <w:rFonts w:ascii="Calibri" w:cs="Calibri" w:eastAsia="Calibri" w:hAnsi="Calibri"/>
                <w:b w:val="false"/>
                <w:bCs w:val="false"/>
                <w:i w:val="false"/>
                <w:iCs w:val="false"/>
                <w:color w:val="1f2937"/>
                <w:sz w:val="18"/>
                <w:szCs w:val="18"/>
              </w:rPr>
              <w:t xml:space="preserve">Total $ value approved</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Needs Paid/Shared ($)</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Currency</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Total $ actually reimbursed/shared to members</w:t>
            </w:r>
          </w:p>
        </w:tc>
      </w:tr>
      <w:tr>
        <w:tc>
          <w:p>
            <w:pPr>
              <w:spacing w:after="0"/>
            </w:pPr>
            <w:r>
              <w:rPr>
                <w:rFonts w:ascii="Calibri" w:cs="Calibri" w:eastAsia="Calibri" w:hAnsi="Calibri"/>
                <w:b w:val="false"/>
                <w:bCs w:val="false"/>
                <w:i w:val="false"/>
                <w:iCs w:val="false"/>
                <w:color w:val="1f2937"/>
                <w:sz w:val="18"/>
                <w:szCs w:val="18"/>
              </w:rPr>
              <w:t xml:space="preserve">Avg Need Size</w:t>
            </w:r>
          </w:p>
        </w:tc>
        <w:tc>
          <w:p>
            <w:pPr>
              <w:spacing w:after="0"/>
            </w:pPr>
            <w:r>
              <w:rPr>
                <w:rFonts w:ascii="Calibri" w:cs="Calibri" w:eastAsia="Calibri" w:hAnsi="Calibri"/>
                <w:b w:val="false"/>
                <w:bCs w:val="false"/>
                <w:i w:val="false"/>
                <w:iCs w:val="false"/>
                <w:color w:val="1f2937"/>
                <w:sz w:val="18"/>
                <w:szCs w:val="18"/>
              </w:rPr>
              <w:t xml:space="preserve">Currency</w:t>
            </w:r>
          </w:p>
        </w:tc>
        <w:tc>
          <w:p>
            <w:pPr>
              <w:spacing w:after="0"/>
            </w:pPr>
            <w:r>
              <w:rPr>
                <w:rFonts w:ascii="Calibri" w:cs="Calibri" w:eastAsia="Calibri" w:hAnsi="Calibri"/>
                <w:b w:val="false"/>
                <w:bCs w:val="false"/>
                <w:i w:val="false"/>
                <w:iCs w:val="false"/>
                <w:color w:val="1f2937"/>
                <w:sz w:val="18"/>
                <w:szCs w:val="18"/>
              </w:rPr>
              <w:t xml:space="preserve">Average submitted need amount</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Median Need Size</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Currency</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Median submitted need amount</w:t>
            </w:r>
          </w:p>
        </w:tc>
      </w:tr>
      <w:tr>
        <w:tc>
          <w:p>
            <w:pPr>
              <w:spacing w:after="0"/>
            </w:pPr>
            <w:r>
              <w:rPr>
                <w:rFonts w:ascii="Calibri" w:cs="Calibri" w:eastAsia="Calibri" w:hAnsi="Calibri"/>
                <w:b w:val="false"/>
                <w:bCs w:val="false"/>
                <w:i w:val="false"/>
                <w:iCs w:val="false"/>
                <w:color w:val="1f2937"/>
                <w:sz w:val="18"/>
                <w:szCs w:val="18"/>
              </w:rPr>
              <w:t xml:space="preserve">Max Single Need</w:t>
            </w:r>
          </w:p>
        </w:tc>
        <w:tc>
          <w:p>
            <w:pPr>
              <w:spacing w:after="0"/>
            </w:pPr>
            <w:r>
              <w:rPr>
                <w:rFonts w:ascii="Calibri" w:cs="Calibri" w:eastAsia="Calibri" w:hAnsi="Calibri"/>
                <w:b w:val="false"/>
                <w:bCs w:val="false"/>
                <w:i w:val="false"/>
                <w:iCs w:val="false"/>
                <w:color w:val="1f2937"/>
                <w:sz w:val="18"/>
                <w:szCs w:val="18"/>
              </w:rPr>
              <w:t xml:space="preserve">Currency</w:t>
            </w:r>
          </w:p>
        </w:tc>
        <w:tc>
          <w:p>
            <w:pPr>
              <w:spacing w:after="0"/>
            </w:pPr>
            <w:r>
              <w:rPr>
                <w:rFonts w:ascii="Calibri" w:cs="Calibri" w:eastAsia="Calibri" w:hAnsi="Calibri"/>
                <w:b w:val="false"/>
                <w:bCs w:val="false"/>
                <w:i w:val="false"/>
                <w:iCs w:val="false"/>
                <w:color w:val="1f2937"/>
                <w:sz w:val="18"/>
                <w:szCs w:val="18"/>
              </w:rPr>
              <w:t xml:space="preserve">Largest single need (catastrophic indicator)</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Needs &gt; $25,000</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Integer</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Catastrophic exposure count</w:t>
            </w:r>
          </w:p>
        </w:tc>
      </w:tr>
      <w:tr>
        <w:tc>
          <w:p>
            <w:pPr>
              <w:spacing w:after="0"/>
            </w:pPr>
            <w:r>
              <w:rPr>
                <w:rFonts w:ascii="Calibri" w:cs="Calibri" w:eastAsia="Calibri" w:hAnsi="Calibri"/>
                <w:b w:val="false"/>
                <w:bCs w:val="false"/>
                <w:i w:val="false"/>
                <w:iCs w:val="false"/>
                <w:color w:val="1f2937"/>
                <w:sz w:val="18"/>
                <w:szCs w:val="18"/>
              </w:rPr>
              <w:t xml:space="preserve">Needs &gt; $50,000</w:t>
            </w:r>
          </w:p>
        </w:tc>
        <w:tc>
          <w:p>
            <w:pPr>
              <w:spacing w:after="0"/>
            </w:pPr>
            <w:r>
              <w:rPr>
                <w:rFonts w:ascii="Calibri" w:cs="Calibri" w:eastAsia="Calibri" w:hAnsi="Calibri"/>
                <w:b w:val="false"/>
                <w:bCs w:val="false"/>
                <w:i w:val="false"/>
                <w:iCs w:val="false"/>
                <w:color w:val="1f2937"/>
                <w:sz w:val="18"/>
                <w:szCs w:val="18"/>
              </w:rPr>
              <w:t xml:space="preserve">Integer</w:t>
            </w:r>
          </w:p>
        </w:tc>
        <w:tc>
          <w:p>
            <w:pPr>
              <w:spacing w:after="0"/>
            </w:pPr>
            <w:r>
              <w:rPr>
                <w:rFonts w:ascii="Calibri" w:cs="Calibri" w:eastAsia="Calibri" w:hAnsi="Calibri"/>
                <w:b w:val="false"/>
                <w:bCs w:val="false"/>
                <w:i w:val="false"/>
                <w:iCs w:val="false"/>
                <w:color w:val="1f2937"/>
                <w:sz w:val="18"/>
                <w:szCs w:val="18"/>
              </w:rPr>
              <w:t xml:space="preserve">Severe catastrophic exposure count</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Needs per 100 Members</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Utilization rate</w:t>
            </w:r>
          </w:p>
        </w:tc>
      </w:tr>
      <w:tr>
        <w:tc>
          <w:p>
            <w:pPr>
              <w:spacing w:after="0"/>
            </w:pPr>
            <w:r>
              <w:rPr>
                <w:rFonts w:ascii="Calibri" w:cs="Calibri" w:eastAsia="Calibri" w:hAnsi="Calibri"/>
                <w:b w:val="false"/>
                <w:bCs w:val="false"/>
                <w:i w:val="false"/>
                <w:iCs w:val="false"/>
                <w:color w:val="1f2937"/>
                <w:sz w:val="18"/>
                <w:szCs w:val="18"/>
              </w:rPr>
              <w:t xml:space="preserve">Loss Ratio</w:t>
            </w:r>
          </w:p>
        </w:tc>
        <w:tc>
          <w:p>
            <w:pPr>
              <w:spacing w:after="0"/>
            </w:pPr>
            <w:r>
              <w:rPr>
                <w:rFonts w:ascii="Calibri" w:cs="Calibri" w:eastAsia="Calibri" w:hAnsi="Calibri"/>
                <w:b w:val="false"/>
                <w:bCs w:val="false"/>
                <w:i w:val="false"/>
                <w:iCs w:val="false"/>
                <w:color w:val="1f2937"/>
                <w:sz w:val="18"/>
                <w:szCs w:val="18"/>
              </w:rPr>
              <w:t xml:space="preserve">%</w:t>
            </w:r>
          </w:p>
        </w:tc>
        <w:tc>
          <w:p>
            <w:pPr>
              <w:spacing w:after="0"/>
            </w:pPr>
            <w:r>
              <w:rPr>
                <w:rFonts w:ascii="Calibri" w:cs="Calibri" w:eastAsia="Calibri" w:hAnsi="Calibri"/>
                <w:b w:val="false"/>
                <w:bCs w:val="false"/>
                <w:i w:val="false"/>
                <w:iCs w:val="false"/>
                <w:color w:val="1f2937"/>
                <w:sz w:val="18"/>
                <w:szCs w:val="18"/>
              </w:rPr>
              <w:t xml:space="preserve">Paid / Collected * 100</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Avg Member Contribution</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Currency</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Collected / Eligible Members</w:t>
            </w:r>
          </w:p>
        </w:tc>
      </w:tr>
      <w:tr>
        <w:tc>
          <w:p>
            <w:pPr>
              <w:spacing w:after="0"/>
            </w:pPr>
            <w:r>
              <w:rPr>
                <w:rFonts w:ascii="Calibri" w:cs="Calibri" w:eastAsia="Calibri" w:hAnsi="Calibri"/>
                <w:b w:val="false"/>
                <w:bCs w:val="false"/>
                <w:i w:val="false"/>
                <w:iCs w:val="false"/>
                <w:color w:val="1f2937"/>
                <w:sz w:val="18"/>
                <w:szCs w:val="18"/>
              </w:rPr>
              <w:t xml:space="preserve">IUA Applied</w:t>
            </w:r>
          </w:p>
        </w:tc>
        <w:tc>
          <w:p>
            <w:pPr>
              <w:spacing w:after="0"/>
            </w:pPr>
            <w:r>
              <w:rPr>
                <w:rFonts w:ascii="Calibri" w:cs="Calibri" w:eastAsia="Calibri" w:hAnsi="Calibri"/>
                <w:b w:val="false"/>
                <w:bCs w:val="false"/>
                <w:i w:val="false"/>
                <w:iCs w:val="false"/>
                <w:color w:val="1f2937"/>
                <w:sz w:val="18"/>
                <w:szCs w:val="18"/>
              </w:rPr>
              <w:t xml:space="preserve">Currency</w:t>
            </w:r>
          </w:p>
        </w:tc>
        <w:tc>
          <w:p>
            <w:pPr>
              <w:spacing w:after="0"/>
            </w:pPr>
            <w:r>
              <w:rPr>
                <w:rFonts w:ascii="Calibri" w:cs="Calibri" w:eastAsia="Calibri" w:hAnsi="Calibri"/>
                <w:b w:val="false"/>
                <w:bCs w:val="false"/>
                <w:i w:val="false"/>
                <w:iCs w:val="false"/>
                <w:color w:val="1f2937"/>
                <w:sz w:val="18"/>
                <w:szCs w:val="18"/>
              </w:rPr>
              <w:t xml:space="preserve">Total Initial Unshareable Amount applied (deductible equivalent)</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Member Responsibility</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Currency</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Total member cost-share</w:t>
            </w:r>
          </w:p>
        </w:tc>
      </w:tr>
    </w:tbl>
    <w:p>
      <w:pPr>
        <w:spacing w:after="120"/>
      </w:pPr>
      <w:r>
        <w:rPr>
          <w:rFonts w:ascii="Calibri" w:cs="Calibri" w:eastAsia="Calibri" w:hAnsi="Calibri"/>
          <w:b/>
          <w:bCs/>
          <w:i w:val="false"/>
          <w:iCs w:val="false"/>
          <w:color w:val="1f2937"/>
          <w:sz w:val="20"/>
          <w:szCs w:val="20"/>
        </w:rPr>
        <w:t xml:space="preserve">Actuarial Use: Loss ratio trending, contribution adequacy, reserve estimation, catastrophic exposure modeling, utilization trending.</w:t>
      </w:r>
    </w:p>
    <w:p>
      <w:pPr>
        <w:pBdr>
          <w:bottom w:val="single" w:color="cccccc" w:sz="1"/>
        </w:pBdr>
        <w:spacing w:before="200" w:after="200"/>
      </w:pPr>
      <w:r>
        <w:rPr>
          <w:rFonts w:ascii="Calibri" w:cs="Calibri" w:eastAsia="Calibri" w:hAnsi="Calibri"/>
          <w:b w:val="false"/>
          <w:bCs w:val="false"/>
          <w:i w:val="false"/>
          <w:iCs w:val="false"/>
          <w:color w:val="1f2937"/>
          <w:sz w:val="22"/>
          <w:szCs w:val="22"/>
        </w:rPr>
        <w:t xml:space="preserve"/>
      </w:r>
    </w:p>
    <w:p>
      <w:pPr>
        <w:pStyle w:val="Heading2"/>
        <w:spacing w:before="300" w:after="120"/>
      </w:pPr>
      <w:r>
        <w:rPr>
          <w:rFonts w:ascii="Calibri" w:cs="Calibri" w:eastAsia="Calibri" w:hAnsi="Calibri"/>
          <w:b/>
          <w:bCs/>
          <w:i w:val="false"/>
          <w:iCs w:val="false"/>
          <w:color w:val="1a56db"/>
          <w:sz w:val="26"/>
          <w:szCs w:val="26"/>
        </w:rPr>
        <w:t xml:space="preserve">Dataset 2: Needs Distribution by Type (Utilization Mix)</w:t>
      </w:r>
    </w:p>
    <w:p>
      <w:pPr>
        <w:spacing w:after="120"/>
      </w:pPr>
      <w:r>
        <w:rPr>
          <w:rFonts w:ascii="Calibri" w:cs="Calibri" w:eastAsia="Calibri" w:hAnsi="Calibri"/>
          <w:b w:val="false"/>
          <w:bCs w:val="false"/>
          <w:i w:val="false"/>
          <w:iCs w:val="false"/>
          <w:color w:val="1f2937"/>
          <w:sz w:val="22"/>
          <w:szCs w:val="22"/>
        </w:rPr>
        <w:t xml:space="preserve">Each row represents a need category over the full lookback period.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color="1a56db" w:val="solid"/>
          </w:tcPr>
          <w:p>
            <w:pPr>
              <w:spacing w:after="0"/>
            </w:pPr>
            <w:r>
              <w:rPr>
                <w:rFonts w:ascii="Calibri" w:cs="Calibri" w:eastAsia="Calibri" w:hAnsi="Calibri"/>
                <w:b/>
                <w:bCs/>
                <w:i w:val="false"/>
                <w:iCs w:val="false"/>
                <w:color w:val="ffffff"/>
                <w:sz w:val="20"/>
                <w:szCs w:val="20"/>
              </w:rPr>
              <w:t xml:space="preserve">Field</w:t>
            </w:r>
          </w:p>
        </w:tc>
        <w:tc>
          <w:tcPr>
            <w:tcW w:type="dxa" w:w="3000"/>
            <w:shd w:color="1a56db" w:val="solid"/>
          </w:tcPr>
          <w:p>
            <w:pPr>
              <w:spacing w:after="0"/>
            </w:pPr>
            <w:r>
              <w:rPr>
                <w:rFonts w:ascii="Calibri" w:cs="Calibri" w:eastAsia="Calibri" w:hAnsi="Calibri"/>
                <w:b/>
                <w:bCs/>
                <w:i w:val="false"/>
                <w:iCs w:val="false"/>
                <w:color w:val="ffffff"/>
                <w:sz w:val="20"/>
                <w:szCs w:val="20"/>
              </w:rPr>
              <w:t xml:space="preserve">Type</w:t>
            </w:r>
          </w:p>
        </w:tc>
        <w:tc>
          <w:tcPr>
            <w:tcW w:type="dxa" w:w="3000"/>
            <w:shd w:color="1a56db" w:val="solid"/>
          </w:tcPr>
          <w:p>
            <w:pPr>
              <w:spacing w:after="0"/>
            </w:pPr>
            <w:r>
              <w:rPr>
                <w:rFonts w:ascii="Calibri" w:cs="Calibri" w:eastAsia="Calibri" w:hAnsi="Calibri"/>
                <w:b/>
                <w:bCs/>
                <w:i w:val="false"/>
                <w:iCs w:val="false"/>
                <w:color w:val="ffffff"/>
                <w:sz w:val="20"/>
                <w:szCs w:val="20"/>
              </w:rPr>
              <w:t xml:space="preserve">Description</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Need Type</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Text</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Category (e.g., ER, preventive, surgical, diagnostic, prescription, etc.)</w:t>
            </w:r>
          </w:p>
        </w:tc>
      </w:tr>
      <w:tr>
        <w:tc>
          <w:p>
            <w:pPr>
              <w:spacing w:after="0"/>
            </w:pPr>
            <w:r>
              <w:rPr>
                <w:rFonts w:ascii="Calibri" w:cs="Calibri" w:eastAsia="Calibri" w:hAnsi="Calibri"/>
                <w:b w:val="false"/>
                <w:bCs w:val="false"/>
                <w:i w:val="false"/>
                <w:iCs w:val="false"/>
                <w:color w:val="1f2937"/>
                <w:sz w:val="18"/>
                <w:szCs w:val="18"/>
              </w:rPr>
              <w:t xml:space="preserve">Count</w:t>
            </w:r>
          </w:p>
        </w:tc>
        <w:tc>
          <w:p>
            <w:pPr>
              <w:spacing w:after="0"/>
            </w:pPr>
            <w:r>
              <w:rPr>
                <w:rFonts w:ascii="Calibri" w:cs="Calibri" w:eastAsia="Calibri" w:hAnsi="Calibri"/>
                <w:b w:val="false"/>
                <w:bCs w:val="false"/>
                <w:i w:val="false"/>
                <w:iCs w:val="false"/>
                <w:color w:val="1f2937"/>
                <w:sz w:val="18"/>
                <w:szCs w:val="18"/>
              </w:rPr>
              <w:t xml:space="preserve">Integer</w:t>
            </w:r>
          </w:p>
        </w:tc>
        <w:tc>
          <w:p>
            <w:pPr>
              <w:spacing w:after="0"/>
            </w:pPr>
            <w:r>
              <w:rPr>
                <w:rFonts w:ascii="Calibri" w:cs="Calibri" w:eastAsia="Calibri" w:hAnsi="Calibri"/>
                <w:b w:val="false"/>
                <w:bCs w:val="false"/>
                <w:i w:val="false"/>
                <w:iCs w:val="false"/>
                <w:color w:val="1f2937"/>
                <w:sz w:val="18"/>
                <w:szCs w:val="18"/>
              </w:rPr>
              <w:t xml:space="preserve">Number of needs in this category</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Total Submitted ($)</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Currency</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Total $ submitted</w:t>
            </w:r>
          </w:p>
        </w:tc>
      </w:tr>
      <w:tr>
        <w:tc>
          <w:p>
            <w:pPr>
              <w:spacing w:after="0"/>
            </w:pPr>
            <w:r>
              <w:rPr>
                <w:rFonts w:ascii="Calibri" w:cs="Calibri" w:eastAsia="Calibri" w:hAnsi="Calibri"/>
                <w:b w:val="false"/>
                <w:bCs w:val="false"/>
                <w:i w:val="false"/>
                <w:iCs w:val="false"/>
                <w:color w:val="1f2937"/>
                <w:sz w:val="18"/>
                <w:szCs w:val="18"/>
              </w:rPr>
              <w:t xml:space="preserve">Total Approved ($)</w:t>
            </w:r>
          </w:p>
        </w:tc>
        <w:tc>
          <w:p>
            <w:pPr>
              <w:spacing w:after="0"/>
            </w:pPr>
            <w:r>
              <w:rPr>
                <w:rFonts w:ascii="Calibri" w:cs="Calibri" w:eastAsia="Calibri" w:hAnsi="Calibri"/>
                <w:b w:val="false"/>
                <w:bCs w:val="false"/>
                <w:i w:val="false"/>
                <w:iCs w:val="false"/>
                <w:color w:val="1f2937"/>
                <w:sz w:val="18"/>
                <w:szCs w:val="18"/>
              </w:rPr>
              <w:t xml:space="preserve">Currency</w:t>
            </w:r>
          </w:p>
        </w:tc>
        <w:tc>
          <w:p>
            <w:pPr>
              <w:spacing w:after="0"/>
            </w:pPr>
            <w:r>
              <w:rPr>
                <w:rFonts w:ascii="Calibri" w:cs="Calibri" w:eastAsia="Calibri" w:hAnsi="Calibri"/>
                <w:b w:val="false"/>
                <w:bCs w:val="false"/>
                <w:i w:val="false"/>
                <w:iCs w:val="false"/>
                <w:color w:val="1f2937"/>
                <w:sz w:val="18"/>
                <w:szCs w:val="18"/>
              </w:rPr>
              <w:t xml:space="preserve">Total $ approved for sharing</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Total Paid ($)</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Currency</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Total $ shared/reimbursed</w:t>
            </w:r>
          </w:p>
        </w:tc>
      </w:tr>
      <w:tr>
        <w:tc>
          <w:p>
            <w:pPr>
              <w:spacing w:after="0"/>
            </w:pPr>
            <w:r>
              <w:rPr>
                <w:rFonts w:ascii="Calibri" w:cs="Calibri" w:eastAsia="Calibri" w:hAnsi="Calibri"/>
                <w:b w:val="false"/>
                <w:bCs w:val="false"/>
                <w:i w:val="false"/>
                <w:iCs w:val="false"/>
                <w:color w:val="1f2937"/>
                <w:sz w:val="18"/>
                <w:szCs w:val="18"/>
              </w:rPr>
              <w:t xml:space="preserve">Avg Amount</w:t>
            </w:r>
          </w:p>
        </w:tc>
        <w:tc>
          <w:p>
            <w:pPr>
              <w:spacing w:after="0"/>
            </w:pPr>
            <w:r>
              <w:rPr>
                <w:rFonts w:ascii="Calibri" w:cs="Calibri" w:eastAsia="Calibri" w:hAnsi="Calibri"/>
                <w:b w:val="false"/>
                <w:bCs w:val="false"/>
                <w:i w:val="false"/>
                <w:iCs w:val="false"/>
                <w:color w:val="1f2937"/>
                <w:sz w:val="18"/>
                <w:szCs w:val="18"/>
              </w:rPr>
              <w:t xml:space="preserve">Currency</w:t>
            </w:r>
          </w:p>
        </w:tc>
        <w:tc>
          <w:p>
            <w:pPr>
              <w:spacing w:after="0"/>
            </w:pPr>
            <w:r>
              <w:rPr>
                <w:rFonts w:ascii="Calibri" w:cs="Calibri" w:eastAsia="Calibri" w:hAnsi="Calibri"/>
                <w:b w:val="false"/>
                <w:bCs w:val="false"/>
                <w:i w:val="false"/>
                <w:iCs w:val="false"/>
                <w:color w:val="1f2937"/>
                <w:sz w:val="18"/>
                <w:szCs w:val="18"/>
              </w:rPr>
              <w:t xml:space="preserve">Average need size for this type</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 of Total</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This type as proportion of all needs</w:t>
            </w:r>
          </w:p>
        </w:tc>
      </w:tr>
    </w:tbl>
    <w:p>
      <w:pPr>
        <w:spacing w:after="120"/>
      </w:pPr>
      <w:r>
        <w:rPr>
          <w:rFonts w:ascii="Calibri" w:cs="Calibri" w:eastAsia="Calibri" w:hAnsi="Calibri"/>
          <w:b/>
          <w:bCs/>
          <w:i w:val="false"/>
          <w:iCs w:val="false"/>
          <w:color w:val="1f2937"/>
          <w:sz w:val="20"/>
          <w:szCs w:val="20"/>
        </w:rPr>
        <w:t xml:space="preserve">Actuarial Use: ER vs preventive ratio, prescription cost analysis, high-cost category identification, service mix modeling.</w:t>
      </w:r>
    </w:p>
    <w:p>
      <w:pPr>
        <w:pBdr>
          <w:bottom w:val="single" w:color="cccccc" w:sz="1"/>
        </w:pBdr>
        <w:spacing w:before="200" w:after="200"/>
      </w:pPr>
      <w:r>
        <w:rPr>
          <w:rFonts w:ascii="Calibri" w:cs="Calibri" w:eastAsia="Calibri" w:hAnsi="Calibri"/>
          <w:b w:val="false"/>
          <w:bCs w:val="false"/>
          <w:i w:val="false"/>
          <w:iCs w:val="false"/>
          <w:color w:val="1f2937"/>
          <w:sz w:val="22"/>
          <w:szCs w:val="22"/>
        </w:rPr>
        <w:t xml:space="preserve"/>
      </w:r>
    </w:p>
    <w:p>
      <w:pPr>
        <w:pStyle w:val="Heading2"/>
        <w:spacing w:before="300" w:after="120"/>
      </w:pPr>
      <w:r>
        <w:rPr>
          <w:rFonts w:ascii="Calibri" w:cs="Calibri" w:eastAsia="Calibri" w:hAnsi="Calibri"/>
          <w:b/>
          <w:bCs/>
          <w:i w:val="false"/>
          <w:iCs w:val="false"/>
          <w:color w:val="1a56db"/>
          <w:sz w:val="26"/>
          <w:szCs w:val="26"/>
        </w:rPr>
        <w:t xml:space="preserve">Dataset 3: Contribution Adequacy (Revenue Side)</w:t>
      </w:r>
    </w:p>
    <w:p>
      <w:pPr>
        <w:spacing w:after="120"/>
      </w:pPr>
      <w:r>
        <w:rPr>
          <w:rFonts w:ascii="Calibri" w:cs="Calibri" w:eastAsia="Calibri" w:hAnsi="Calibri"/>
          <w:b w:val="false"/>
          <w:bCs w:val="false"/>
          <w:i w:val="false"/>
          <w:iCs w:val="false"/>
          <w:color w:val="1f2937"/>
          <w:sz w:val="22"/>
          <w:szCs w:val="22"/>
        </w:rPr>
        <w:t xml:space="preserve">Monthly view of the revenue/contribution pipeline.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color="1a56db" w:val="solid"/>
          </w:tcPr>
          <w:p>
            <w:pPr>
              <w:spacing w:after="0"/>
            </w:pPr>
            <w:r>
              <w:rPr>
                <w:rFonts w:ascii="Calibri" w:cs="Calibri" w:eastAsia="Calibri" w:hAnsi="Calibri"/>
                <w:b/>
                <w:bCs/>
                <w:i w:val="false"/>
                <w:iCs w:val="false"/>
                <w:color w:val="ffffff"/>
                <w:sz w:val="20"/>
                <w:szCs w:val="20"/>
              </w:rPr>
              <w:t xml:space="preserve">Field</w:t>
            </w:r>
          </w:p>
        </w:tc>
        <w:tc>
          <w:tcPr>
            <w:tcW w:type="dxa" w:w="3000"/>
            <w:shd w:color="1a56db" w:val="solid"/>
          </w:tcPr>
          <w:p>
            <w:pPr>
              <w:spacing w:after="0"/>
            </w:pPr>
            <w:r>
              <w:rPr>
                <w:rFonts w:ascii="Calibri" w:cs="Calibri" w:eastAsia="Calibri" w:hAnsi="Calibri"/>
                <w:b/>
                <w:bCs/>
                <w:i w:val="false"/>
                <w:iCs w:val="false"/>
                <w:color w:val="ffffff"/>
                <w:sz w:val="20"/>
                <w:szCs w:val="20"/>
              </w:rPr>
              <w:t xml:space="preserve">Type</w:t>
            </w:r>
          </w:p>
        </w:tc>
        <w:tc>
          <w:tcPr>
            <w:tcW w:type="dxa" w:w="3000"/>
            <w:shd w:color="1a56db" w:val="solid"/>
          </w:tcPr>
          <w:p>
            <w:pPr>
              <w:spacing w:after="0"/>
            </w:pPr>
            <w:r>
              <w:rPr>
                <w:rFonts w:ascii="Calibri" w:cs="Calibri" w:eastAsia="Calibri" w:hAnsi="Calibri"/>
                <w:b/>
                <w:bCs/>
                <w:i w:val="false"/>
                <w:iCs w:val="false"/>
                <w:color w:val="ffffff"/>
                <w:sz w:val="20"/>
                <w:szCs w:val="20"/>
              </w:rPr>
              <w:t xml:space="preserve">Description</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Period</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YYYY-MM</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Calendar month</w:t>
            </w:r>
          </w:p>
        </w:tc>
      </w:tr>
      <w:tr>
        <w:tc>
          <w:p>
            <w:pPr>
              <w:spacing w:after="0"/>
            </w:pPr>
            <w:r>
              <w:rPr>
                <w:rFonts w:ascii="Calibri" w:cs="Calibri" w:eastAsia="Calibri" w:hAnsi="Calibri"/>
                <w:b w:val="false"/>
                <w:bCs w:val="false"/>
                <w:i w:val="false"/>
                <w:iCs w:val="false"/>
                <w:color w:val="1f2937"/>
                <w:sz w:val="18"/>
                <w:szCs w:val="18"/>
              </w:rPr>
              <w:t xml:space="preserve">Active Billing Schedules</w:t>
            </w:r>
          </w:p>
        </w:tc>
        <w:tc>
          <w:p>
            <w:pPr>
              <w:spacing w:after="0"/>
            </w:pPr>
            <w:r>
              <w:rPr>
                <w:rFonts w:ascii="Calibri" w:cs="Calibri" w:eastAsia="Calibri" w:hAnsi="Calibri"/>
                <w:b w:val="false"/>
                <w:bCs w:val="false"/>
                <w:i w:val="false"/>
                <w:iCs w:val="false"/>
                <w:color w:val="1f2937"/>
                <w:sz w:val="18"/>
                <w:szCs w:val="18"/>
              </w:rPr>
              <w:t xml:space="preserve">Integer</w:t>
            </w:r>
          </w:p>
        </w:tc>
        <w:tc>
          <w:p>
            <w:pPr>
              <w:spacing w:after="0"/>
            </w:pPr>
            <w:r>
              <w:rPr>
                <w:rFonts w:ascii="Calibri" w:cs="Calibri" w:eastAsia="Calibri" w:hAnsi="Calibri"/>
                <w:b w:val="false"/>
                <w:bCs w:val="false"/>
                <w:i w:val="false"/>
                <w:iCs w:val="false"/>
                <w:color w:val="1f2937"/>
                <w:sz w:val="18"/>
                <w:szCs w:val="18"/>
              </w:rPr>
              <w:t xml:space="preserve">Members with active recurring contributions</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Avg Monthly Contribution</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Currency</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Average $ per member</w:t>
            </w:r>
          </w:p>
        </w:tc>
      </w:tr>
      <w:tr>
        <w:tc>
          <w:p>
            <w:pPr>
              <w:spacing w:after="0"/>
            </w:pPr>
            <w:r>
              <w:rPr>
                <w:rFonts w:ascii="Calibri" w:cs="Calibri" w:eastAsia="Calibri" w:hAnsi="Calibri"/>
                <w:b w:val="false"/>
                <w:bCs w:val="false"/>
                <w:i w:val="false"/>
                <w:iCs w:val="false"/>
                <w:color w:val="1f2937"/>
                <w:sz w:val="18"/>
                <w:szCs w:val="18"/>
              </w:rPr>
              <w:t xml:space="preserve">Median Monthly Contribution</w:t>
            </w:r>
          </w:p>
        </w:tc>
        <w:tc>
          <w:p>
            <w:pPr>
              <w:spacing w:after="0"/>
            </w:pPr>
            <w:r>
              <w:rPr>
                <w:rFonts w:ascii="Calibri" w:cs="Calibri" w:eastAsia="Calibri" w:hAnsi="Calibri"/>
                <w:b w:val="false"/>
                <w:bCs w:val="false"/>
                <w:i w:val="false"/>
                <w:iCs w:val="false"/>
                <w:color w:val="1f2937"/>
                <w:sz w:val="18"/>
                <w:szCs w:val="18"/>
              </w:rPr>
              <w:t xml:space="preserve">Currency</w:t>
            </w:r>
          </w:p>
        </w:tc>
        <w:tc>
          <w:p>
            <w:pPr>
              <w:spacing w:after="0"/>
            </w:pPr>
            <w:r>
              <w:rPr>
                <w:rFonts w:ascii="Calibri" w:cs="Calibri" w:eastAsia="Calibri" w:hAnsi="Calibri"/>
                <w:b w:val="false"/>
                <w:bCs w:val="false"/>
                <w:i w:val="false"/>
                <w:iCs w:val="false"/>
                <w:color w:val="1f2937"/>
                <w:sz w:val="18"/>
                <w:szCs w:val="18"/>
              </w:rPr>
              <w:t xml:space="preserve">Median $ per member</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Total Expected ($)</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Currency</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Sum of all active schedule amounts (expected revenue)</w:t>
            </w:r>
          </w:p>
        </w:tc>
      </w:tr>
      <w:tr>
        <w:tc>
          <w:p>
            <w:pPr>
              <w:spacing w:after="0"/>
            </w:pPr>
            <w:r>
              <w:rPr>
                <w:rFonts w:ascii="Calibri" w:cs="Calibri" w:eastAsia="Calibri" w:hAnsi="Calibri"/>
                <w:b w:val="false"/>
                <w:bCs w:val="false"/>
                <w:i w:val="false"/>
                <w:iCs w:val="false"/>
                <w:color w:val="1f2937"/>
                <w:sz w:val="18"/>
                <w:szCs w:val="18"/>
              </w:rPr>
              <w:t xml:space="preserve">Total Collected ($)</w:t>
            </w:r>
          </w:p>
        </w:tc>
        <w:tc>
          <w:p>
            <w:pPr>
              <w:spacing w:after="0"/>
            </w:pPr>
            <w:r>
              <w:rPr>
                <w:rFonts w:ascii="Calibri" w:cs="Calibri" w:eastAsia="Calibri" w:hAnsi="Calibri"/>
                <w:b w:val="false"/>
                <w:bCs w:val="false"/>
                <w:i w:val="false"/>
                <w:iCs w:val="false"/>
                <w:color w:val="1f2937"/>
                <w:sz w:val="18"/>
                <w:szCs w:val="18"/>
              </w:rPr>
              <w:t xml:space="preserve">Currency</w:t>
            </w:r>
          </w:p>
        </w:tc>
        <w:tc>
          <w:p>
            <w:pPr>
              <w:spacing w:after="0"/>
            </w:pPr>
            <w:r>
              <w:rPr>
                <w:rFonts w:ascii="Calibri" w:cs="Calibri" w:eastAsia="Calibri" w:hAnsi="Calibri"/>
                <w:b w:val="false"/>
                <w:bCs w:val="false"/>
                <w:i w:val="false"/>
                <w:iCs w:val="false"/>
                <w:color w:val="1f2937"/>
                <w:sz w:val="18"/>
                <w:szCs w:val="18"/>
              </w:rPr>
              <w:t xml:space="preserve">Successfully processed charges</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Total Failed ($)</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Currency</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Failed charge amounts</w:t>
            </w:r>
          </w:p>
        </w:tc>
      </w:tr>
      <w:tr>
        <w:tc>
          <w:p>
            <w:pPr>
              <w:spacing w:after="0"/>
            </w:pPr>
            <w:r>
              <w:rPr>
                <w:rFonts w:ascii="Calibri" w:cs="Calibri" w:eastAsia="Calibri" w:hAnsi="Calibri"/>
                <w:b w:val="false"/>
                <w:bCs w:val="false"/>
                <w:i w:val="false"/>
                <w:iCs w:val="false"/>
                <w:color w:val="1f2937"/>
                <w:sz w:val="18"/>
                <w:szCs w:val="18"/>
              </w:rPr>
              <w:t xml:space="preserve">Failed Count</w:t>
            </w:r>
          </w:p>
        </w:tc>
        <w:tc>
          <w:p>
            <w:pPr>
              <w:spacing w:after="0"/>
            </w:pPr>
            <w:r>
              <w:rPr>
                <w:rFonts w:ascii="Calibri" w:cs="Calibri" w:eastAsia="Calibri" w:hAnsi="Calibri"/>
                <w:b w:val="false"/>
                <w:bCs w:val="false"/>
                <w:i w:val="false"/>
                <w:iCs w:val="false"/>
                <w:color w:val="1f2937"/>
                <w:sz w:val="18"/>
                <w:szCs w:val="18"/>
              </w:rPr>
              <w:t xml:space="preserve">Integer</w:t>
            </w:r>
          </w:p>
        </w:tc>
        <w:tc>
          <w:p>
            <w:pPr>
              <w:spacing w:after="0"/>
            </w:pPr>
            <w:r>
              <w:rPr>
                <w:rFonts w:ascii="Calibri" w:cs="Calibri" w:eastAsia="Calibri" w:hAnsi="Calibri"/>
                <w:b w:val="false"/>
                <w:bCs w:val="false"/>
                <w:i w:val="false"/>
                <w:iCs w:val="false"/>
                <w:color w:val="1f2937"/>
                <w:sz w:val="18"/>
                <w:szCs w:val="18"/>
              </w:rPr>
              <w:t xml:space="preserve">Number of failed transactions</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Processing Fees</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Currency</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Payment processor fees</w:t>
            </w:r>
          </w:p>
        </w:tc>
      </w:tr>
      <w:tr>
        <w:tc>
          <w:p>
            <w:pPr>
              <w:spacing w:after="0"/>
            </w:pPr>
            <w:r>
              <w:rPr>
                <w:rFonts w:ascii="Calibri" w:cs="Calibri" w:eastAsia="Calibri" w:hAnsi="Calibri"/>
                <w:b w:val="false"/>
                <w:bCs w:val="false"/>
                <w:i w:val="false"/>
                <w:iCs w:val="false"/>
                <w:color w:val="1f2937"/>
                <w:sz w:val="18"/>
                <w:szCs w:val="18"/>
              </w:rPr>
              <w:t xml:space="preserve">Net Revenue</w:t>
            </w:r>
          </w:p>
        </w:tc>
        <w:tc>
          <w:p>
            <w:pPr>
              <w:spacing w:after="0"/>
            </w:pPr>
            <w:r>
              <w:rPr>
                <w:rFonts w:ascii="Calibri" w:cs="Calibri" w:eastAsia="Calibri" w:hAnsi="Calibri"/>
                <w:b w:val="false"/>
                <w:bCs w:val="false"/>
                <w:i w:val="false"/>
                <w:iCs w:val="false"/>
                <w:color w:val="1f2937"/>
                <w:sz w:val="18"/>
                <w:szCs w:val="18"/>
              </w:rPr>
              <w:t xml:space="preserve">Currency</w:t>
            </w:r>
          </w:p>
        </w:tc>
        <w:tc>
          <w:p>
            <w:pPr>
              <w:spacing w:after="0"/>
            </w:pPr>
            <w:r>
              <w:rPr>
                <w:rFonts w:ascii="Calibri" w:cs="Calibri" w:eastAsia="Calibri" w:hAnsi="Calibri"/>
                <w:b w:val="false"/>
                <w:bCs w:val="false"/>
                <w:i w:val="false"/>
                <w:iCs w:val="false"/>
                <w:color w:val="1f2937"/>
                <w:sz w:val="18"/>
                <w:szCs w:val="18"/>
              </w:rPr>
              <w:t xml:space="preserve">Collected minus fees</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Collection Rate</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Collected / Expected * 100</w:t>
            </w:r>
          </w:p>
        </w:tc>
      </w:tr>
    </w:tbl>
    <w:p>
      <w:pPr>
        <w:spacing w:after="120"/>
      </w:pPr>
      <w:r>
        <w:rPr>
          <w:rFonts w:ascii="Calibri" w:cs="Calibri" w:eastAsia="Calibri" w:hAnsi="Calibri"/>
          <w:b/>
          <w:bCs/>
          <w:i w:val="false"/>
          <w:iCs w:val="false"/>
          <w:color w:val="1f2937"/>
          <w:sz w:val="20"/>
          <w:szCs w:val="20"/>
        </w:rPr>
        <w:t xml:space="preserve">Actuarial Use: Contribution sufficiency analysis, collection risk, revenue projection, reserve funding adequacy.</w:t>
      </w:r>
    </w:p>
    <w:p>
      <w:pPr>
        <w:pBdr>
          <w:bottom w:val="single" w:color="cccccc" w:sz="1"/>
        </w:pBdr>
        <w:spacing w:before="200" w:after="200"/>
      </w:pPr>
      <w:r>
        <w:rPr>
          <w:rFonts w:ascii="Calibri" w:cs="Calibri" w:eastAsia="Calibri" w:hAnsi="Calibri"/>
          <w:b w:val="false"/>
          <w:bCs w:val="false"/>
          <w:i w:val="false"/>
          <w:iCs w:val="false"/>
          <w:color w:val="1f2937"/>
          <w:sz w:val="22"/>
          <w:szCs w:val="22"/>
        </w:rPr>
        <w:t xml:space="preserve"/>
      </w:r>
    </w:p>
    <w:p>
      <w:pPr>
        <w:pStyle w:val="Heading2"/>
        <w:spacing w:before="300" w:after="120"/>
      </w:pPr>
      <w:r>
        <w:rPr>
          <w:rFonts w:ascii="Calibri" w:cs="Calibri" w:eastAsia="Calibri" w:hAnsi="Calibri"/>
          <w:b/>
          <w:bCs/>
          <w:i w:val="false"/>
          <w:iCs w:val="false"/>
          <w:color w:val="1a56db"/>
          <w:sz w:val="26"/>
          <w:szCs w:val="26"/>
        </w:rPr>
        <w:t xml:space="preserve">Dataset 4: Age-Band Loss Experience (Risk Segmentation)</w:t>
      </w:r>
    </w:p>
    <w:p>
      <w:pPr>
        <w:spacing w:after="120"/>
      </w:pPr>
      <w:r>
        <w:rPr>
          <w:rFonts w:ascii="Calibri" w:cs="Calibri" w:eastAsia="Calibri" w:hAnsi="Calibri"/>
          <w:b w:val="false"/>
          <w:bCs w:val="false"/>
          <w:i w:val="false"/>
          <w:iCs w:val="false"/>
          <w:color w:val="1f2937"/>
          <w:sz w:val="22"/>
          <w:szCs w:val="22"/>
        </w:rPr>
        <w:t xml:space="preserve">Each row represents an age cohort over the full lookback period. Small groups (&lt; 5 members) are suppressed.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color="1a56db" w:val="solid"/>
          </w:tcPr>
          <w:p>
            <w:pPr>
              <w:spacing w:after="0"/>
            </w:pPr>
            <w:r>
              <w:rPr>
                <w:rFonts w:ascii="Calibri" w:cs="Calibri" w:eastAsia="Calibri" w:hAnsi="Calibri"/>
                <w:b/>
                <w:bCs/>
                <w:i w:val="false"/>
                <w:iCs w:val="false"/>
                <w:color w:val="ffffff"/>
                <w:sz w:val="20"/>
                <w:szCs w:val="20"/>
              </w:rPr>
              <w:t xml:space="preserve">Field</w:t>
            </w:r>
          </w:p>
        </w:tc>
        <w:tc>
          <w:tcPr>
            <w:tcW w:type="dxa" w:w="3000"/>
            <w:shd w:color="1a56db" w:val="solid"/>
          </w:tcPr>
          <w:p>
            <w:pPr>
              <w:spacing w:after="0"/>
            </w:pPr>
            <w:r>
              <w:rPr>
                <w:rFonts w:ascii="Calibri" w:cs="Calibri" w:eastAsia="Calibri" w:hAnsi="Calibri"/>
                <w:b/>
                <w:bCs/>
                <w:i w:val="false"/>
                <w:iCs w:val="false"/>
                <w:color w:val="ffffff"/>
                <w:sz w:val="20"/>
                <w:szCs w:val="20"/>
              </w:rPr>
              <w:t xml:space="preserve">Type</w:t>
            </w:r>
          </w:p>
        </w:tc>
        <w:tc>
          <w:tcPr>
            <w:tcW w:type="dxa" w:w="3000"/>
            <w:shd w:color="1a56db" w:val="solid"/>
          </w:tcPr>
          <w:p>
            <w:pPr>
              <w:spacing w:after="0"/>
            </w:pPr>
            <w:r>
              <w:rPr>
                <w:rFonts w:ascii="Calibri" w:cs="Calibri" w:eastAsia="Calibri" w:hAnsi="Calibri"/>
                <w:b/>
                <w:bCs/>
                <w:i w:val="false"/>
                <w:iCs w:val="false"/>
                <w:color w:val="ffffff"/>
                <w:sz w:val="20"/>
                <w:szCs w:val="20"/>
              </w:rPr>
              <w:t xml:space="preserve">Description</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Age Band</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Text</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Bucketed range (0-17, 18-25, 26-35, 36-45, 46-55, 56-64, 65+)</w:t>
            </w:r>
          </w:p>
        </w:tc>
      </w:tr>
      <w:tr>
        <w:tc>
          <w:p>
            <w:pPr>
              <w:spacing w:after="0"/>
            </w:pPr>
            <w:r>
              <w:rPr>
                <w:rFonts w:ascii="Calibri" w:cs="Calibri" w:eastAsia="Calibri" w:hAnsi="Calibri"/>
                <w:b w:val="false"/>
                <w:bCs w:val="false"/>
                <w:i w:val="false"/>
                <w:iCs w:val="false"/>
                <w:color w:val="1f2937"/>
                <w:sz w:val="18"/>
                <w:szCs w:val="18"/>
              </w:rPr>
              <w:t xml:space="preserve">Eligible Members</w:t>
            </w:r>
          </w:p>
        </w:tc>
        <w:tc>
          <w:p>
            <w:pPr>
              <w:spacing w:after="0"/>
            </w:pPr>
            <w:r>
              <w:rPr>
                <w:rFonts w:ascii="Calibri" w:cs="Calibri" w:eastAsia="Calibri" w:hAnsi="Calibri"/>
                <w:b w:val="false"/>
                <w:bCs w:val="false"/>
                <w:i w:val="false"/>
                <w:iCs w:val="false"/>
                <w:color w:val="1f2937"/>
                <w:sz w:val="18"/>
                <w:szCs w:val="18"/>
              </w:rPr>
              <w:t xml:space="preserve">Integer</w:t>
            </w:r>
          </w:p>
        </w:tc>
        <w:tc>
          <w:p>
            <w:pPr>
              <w:spacing w:after="0"/>
            </w:pPr>
            <w:r>
              <w:rPr>
                <w:rFonts w:ascii="Calibri" w:cs="Calibri" w:eastAsia="Calibri" w:hAnsi="Calibri"/>
                <w:b w:val="false"/>
                <w:bCs w:val="false"/>
                <w:i w:val="false"/>
                <w:iCs w:val="false"/>
                <w:color w:val="1f2937"/>
                <w:sz w:val="18"/>
                <w:szCs w:val="18"/>
              </w:rPr>
              <w:t xml:space="preserve">Members in this band</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Needs Count</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Integer</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Needs filed by this cohort</w:t>
            </w:r>
          </w:p>
        </w:tc>
      </w:tr>
      <w:tr>
        <w:tc>
          <w:p>
            <w:pPr>
              <w:spacing w:after="0"/>
            </w:pPr>
            <w:r>
              <w:rPr>
                <w:rFonts w:ascii="Calibri" w:cs="Calibri" w:eastAsia="Calibri" w:hAnsi="Calibri"/>
                <w:b w:val="false"/>
                <w:bCs w:val="false"/>
                <w:i w:val="false"/>
                <w:iCs w:val="false"/>
                <w:color w:val="1f2937"/>
                <w:sz w:val="18"/>
                <w:szCs w:val="18"/>
              </w:rPr>
              <w:t xml:space="preserve">Total Submitted ($)</w:t>
            </w:r>
          </w:p>
        </w:tc>
        <w:tc>
          <w:p>
            <w:pPr>
              <w:spacing w:after="0"/>
            </w:pPr>
            <w:r>
              <w:rPr>
                <w:rFonts w:ascii="Calibri" w:cs="Calibri" w:eastAsia="Calibri" w:hAnsi="Calibri"/>
                <w:b w:val="false"/>
                <w:bCs w:val="false"/>
                <w:i w:val="false"/>
                <w:iCs w:val="false"/>
                <w:color w:val="1f2937"/>
                <w:sz w:val="18"/>
                <w:szCs w:val="18"/>
              </w:rPr>
              <w:t xml:space="preserve">Currency</w:t>
            </w:r>
          </w:p>
        </w:tc>
        <w:tc>
          <w:p>
            <w:pPr>
              <w:spacing w:after="0"/>
            </w:pPr>
            <w:r>
              <w:rPr>
                <w:rFonts w:ascii="Calibri" w:cs="Calibri" w:eastAsia="Calibri" w:hAnsi="Calibri"/>
                <w:b w:val="false"/>
                <w:bCs w:val="false"/>
                <w:i w:val="false"/>
                <w:iCs w:val="false"/>
                <w:color w:val="1f2937"/>
                <w:sz w:val="18"/>
                <w:szCs w:val="18"/>
              </w:rPr>
              <w:t xml:space="preserve">$ submitted by this cohort</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Total Paid ($)</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Currency</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 shared/reimbursed to this cohort</w:t>
            </w:r>
          </w:p>
        </w:tc>
      </w:tr>
      <w:tr>
        <w:tc>
          <w:p>
            <w:pPr>
              <w:spacing w:after="0"/>
            </w:pPr>
            <w:r>
              <w:rPr>
                <w:rFonts w:ascii="Calibri" w:cs="Calibri" w:eastAsia="Calibri" w:hAnsi="Calibri"/>
                <w:b w:val="false"/>
                <w:bCs w:val="false"/>
                <w:i w:val="false"/>
                <w:iCs w:val="false"/>
                <w:color w:val="1f2937"/>
                <w:sz w:val="18"/>
                <w:szCs w:val="18"/>
              </w:rPr>
              <w:t xml:space="preserve">Avg Need Size</w:t>
            </w:r>
          </w:p>
        </w:tc>
        <w:tc>
          <w:p>
            <w:pPr>
              <w:spacing w:after="0"/>
            </w:pPr>
            <w:r>
              <w:rPr>
                <w:rFonts w:ascii="Calibri" w:cs="Calibri" w:eastAsia="Calibri" w:hAnsi="Calibri"/>
                <w:b w:val="false"/>
                <w:bCs w:val="false"/>
                <w:i w:val="false"/>
                <w:iCs w:val="false"/>
                <w:color w:val="1f2937"/>
                <w:sz w:val="18"/>
                <w:szCs w:val="18"/>
              </w:rPr>
              <w:t xml:space="preserve">Currency</w:t>
            </w:r>
          </w:p>
        </w:tc>
        <w:tc>
          <w:p>
            <w:pPr>
              <w:spacing w:after="0"/>
            </w:pPr>
            <w:r>
              <w:rPr>
                <w:rFonts w:ascii="Calibri" w:cs="Calibri" w:eastAsia="Calibri" w:hAnsi="Calibri"/>
                <w:b w:val="false"/>
                <w:bCs w:val="false"/>
                <w:i w:val="false"/>
                <w:iCs w:val="false"/>
                <w:color w:val="1f2937"/>
                <w:sz w:val="18"/>
                <w:szCs w:val="18"/>
              </w:rPr>
              <w:t xml:space="preserve">Average need for this band</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Needs per 100</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Utilization rate for this band</w:t>
            </w:r>
          </w:p>
        </w:tc>
      </w:tr>
      <w:tr>
        <w:tc>
          <w:p>
            <w:pPr>
              <w:spacing w:after="0"/>
            </w:pPr>
            <w:r>
              <w:rPr>
                <w:rFonts w:ascii="Calibri" w:cs="Calibri" w:eastAsia="Calibri" w:hAnsi="Calibri"/>
                <w:b w:val="false"/>
                <w:bCs w:val="false"/>
                <w:i w:val="false"/>
                <w:iCs w:val="false"/>
                <w:color w:val="1f2937"/>
                <w:sz w:val="18"/>
                <w:szCs w:val="18"/>
              </w:rPr>
              <w:t xml:space="preserve">Pre-Existing Condition %</w:t>
            </w:r>
          </w:p>
        </w:tc>
        <w:tc>
          <w:p>
            <w:pPr>
              <w:spacing w:after="0"/>
            </w:pPr>
            <w:r>
              <w:rPr>
                <w:rFonts w:ascii="Calibri" w:cs="Calibri" w:eastAsia="Calibri" w:hAnsi="Calibri"/>
                <w:b w:val="false"/>
                <w:bCs w:val="false"/>
                <w:i w:val="false"/>
                <w:iCs w:val="false"/>
                <w:color w:val="1f2937"/>
                <w:sz w:val="18"/>
                <w:szCs w:val="18"/>
              </w:rPr>
              <w:t xml:space="preserve">%</w:t>
            </w:r>
          </w:p>
        </w:tc>
        <w:tc>
          <w:p>
            <w:pPr>
              <w:spacing w:after="0"/>
            </w:pPr>
            <w:r>
              <w:rPr>
                <w:rFonts w:ascii="Calibri" w:cs="Calibri" w:eastAsia="Calibri" w:hAnsi="Calibri"/>
                <w:b w:val="false"/>
                <w:bCs w:val="false"/>
                <w:i w:val="false"/>
                <w:iCs w:val="false"/>
                <w:color w:val="1f2937"/>
                <w:sz w:val="18"/>
                <w:szCs w:val="18"/>
              </w:rPr>
              <w:t xml:space="preserve">% of band with pre-existing conditions</w:t>
            </w:r>
          </w:p>
        </w:tc>
      </w:tr>
    </w:tbl>
    <w:p>
      <w:pPr>
        <w:spacing w:after="120"/>
      </w:pPr>
      <w:r>
        <w:rPr>
          <w:rFonts w:ascii="Calibri" w:cs="Calibri" w:eastAsia="Calibri" w:hAnsi="Calibri"/>
          <w:b/>
          <w:bCs/>
          <w:i w:val="false"/>
          <w:iCs w:val="false"/>
          <w:color w:val="1f2937"/>
          <w:sz w:val="20"/>
          <w:szCs w:val="20"/>
        </w:rPr>
        <w:t xml:space="preserve">Actuarial Use: Age-adjusted risk modeling, morbidity analysis, contribution tier recommendation, stop-loss pricing.</w:t>
      </w:r>
    </w:p>
    <w:p>
      <w:pPr>
        <w:pBdr>
          <w:bottom w:val="single" w:color="cccccc" w:sz="1"/>
        </w:pBdr>
        <w:spacing w:before="200" w:after="200"/>
      </w:pPr>
      <w:r>
        <w:rPr>
          <w:rFonts w:ascii="Calibri" w:cs="Calibri" w:eastAsia="Calibri" w:hAnsi="Calibri"/>
          <w:b w:val="false"/>
          <w:bCs w:val="false"/>
          <w:i w:val="false"/>
          <w:iCs w:val="false"/>
          <w:color w:val="1f2937"/>
          <w:sz w:val="22"/>
          <w:szCs w:val="22"/>
        </w:rPr>
        <w:t xml:space="preserve"/>
      </w:r>
    </w:p>
    <w:p>
      <w:pPr>
        <w:pStyle w:val="Heading2"/>
        <w:spacing w:before="300" w:after="120"/>
      </w:pPr>
      <w:r>
        <w:rPr>
          <w:rFonts w:ascii="Calibri" w:cs="Calibri" w:eastAsia="Calibri" w:hAnsi="Calibri"/>
          <w:b/>
          <w:bCs/>
          <w:i w:val="false"/>
          <w:iCs w:val="false"/>
          <w:color w:val="1a56db"/>
          <w:sz w:val="26"/>
          <w:szCs w:val="26"/>
        </w:rPr>
        <w:t xml:space="preserve">Dataset 5: Member-Month Exposure and Claims Development</w:t>
      </w:r>
    </w:p>
    <w:p>
      <w:pPr>
        <w:spacing w:after="120"/>
      </w:pPr>
      <w:r>
        <w:rPr>
          <w:rFonts w:ascii="Calibri" w:cs="Calibri" w:eastAsia="Calibri" w:hAnsi="Calibri"/>
          <w:b w:val="false"/>
          <w:bCs w:val="false"/>
          <w:i w:val="false"/>
          <w:iCs w:val="false"/>
          <w:color w:val="1f2937"/>
          <w:sz w:val="22"/>
          <w:szCs w:val="22"/>
        </w:rPr>
        <w:t xml:space="preserve">Each row represents a service-month cohort and is the critical dataset for credibility analysis, reserve development, and PMPM calculation.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color="1a56db" w:val="solid"/>
          </w:tcPr>
          <w:p>
            <w:pPr>
              <w:spacing w:after="0"/>
            </w:pPr>
            <w:r>
              <w:rPr>
                <w:rFonts w:ascii="Calibri" w:cs="Calibri" w:eastAsia="Calibri" w:hAnsi="Calibri"/>
                <w:b/>
                <w:bCs/>
                <w:i w:val="false"/>
                <w:iCs w:val="false"/>
                <w:color w:val="ffffff"/>
                <w:sz w:val="20"/>
                <w:szCs w:val="20"/>
              </w:rPr>
              <w:t xml:space="preserve">Field</w:t>
            </w:r>
          </w:p>
        </w:tc>
        <w:tc>
          <w:tcPr>
            <w:tcW w:type="dxa" w:w="3000"/>
            <w:shd w:color="1a56db" w:val="solid"/>
          </w:tcPr>
          <w:p>
            <w:pPr>
              <w:spacing w:after="0"/>
            </w:pPr>
            <w:r>
              <w:rPr>
                <w:rFonts w:ascii="Calibri" w:cs="Calibri" w:eastAsia="Calibri" w:hAnsi="Calibri"/>
                <w:b/>
                <w:bCs/>
                <w:i w:val="false"/>
                <w:iCs w:val="false"/>
                <w:color w:val="ffffff"/>
                <w:sz w:val="20"/>
                <w:szCs w:val="20"/>
              </w:rPr>
              <w:t xml:space="preserve">Type</w:t>
            </w:r>
          </w:p>
        </w:tc>
        <w:tc>
          <w:tcPr>
            <w:tcW w:type="dxa" w:w="3000"/>
            <w:shd w:color="1a56db" w:val="solid"/>
          </w:tcPr>
          <w:p>
            <w:pPr>
              <w:spacing w:after="0"/>
            </w:pPr>
            <w:r>
              <w:rPr>
                <w:rFonts w:ascii="Calibri" w:cs="Calibri" w:eastAsia="Calibri" w:hAnsi="Calibri"/>
                <w:b/>
                <w:bCs/>
                <w:i w:val="false"/>
                <w:iCs w:val="false"/>
                <w:color w:val="ffffff"/>
                <w:sz w:val="20"/>
                <w:szCs w:val="20"/>
              </w:rPr>
              <w:t xml:space="preserve">Description</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Period</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YYYY-MM</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Calendar month</w:t>
            </w:r>
          </w:p>
        </w:tc>
      </w:tr>
      <w:tr>
        <w:tc>
          <w:p>
            <w:pPr>
              <w:spacing w:after="0"/>
            </w:pPr>
            <w:r>
              <w:rPr>
                <w:rFonts w:ascii="Calibri" w:cs="Calibri" w:eastAsia="Calibri" w:hAnsi="Calibri"/>
                <w:b w:val="false"/>
                <w:bCs w:val="false"/>
                <w:i w:val="false"/>
                <w:iCs w:val="false"/>
                <w:color w:val="1f2937"/>
                <w:sz w:val="18"/>
                <w:szCs w:val="18"/>
              </w:rPr>
              <w:t xml:space="preserve">Service Month</w:t>
            </w:r>
          </w:p>
        </w:tc>
        <w:tc>
          <w:p>
            <w:pPr>
              <w:spacing w:after="0"/>
            </w:pPr>
            <w:r>
              <w:rPr>
                <w:rFonts w:ascii="Calibri" w:cs="Calibri" w:eastAsia="Calibri" w:hAnsi="Calibri"/>
                <w:b w:val="false"/>
                <w:bCs w:val="false"/>
                <w:i w:val="false"/>
                <w:iCs w:val="false"/>
                <w:color w:val="1f2937"/>
                <w:sz w:val="18"/>
                <w:szCs w:val="18"/>
              </w:rPr>
              <w:t xml:space="preserve">YYYY-MM</w:t>
            </w:r>
          </w:p>
        </w:tc>
        <w:tc>
          <w:p>
            <w:pPr>
              <w:spacing w:after="0"/>
            </w:pPr>
            <w:r>
              <w:rPr>
                <w:rFonts w:ascii="Calibri" w:cs="Calibri" w:eastAsia="Calibri" w:hAnsi="Calibri"/>
                <w:b w:val="false"/>
                <w:bCs w:val="false"/>
                <w:i w:val="false"/>
                <w:iCs w:val="false"/>
                <w:color w:val="1f2937"/>
                <w:sz w:val="18"/>
                <w:szCs w:val="18"/>
              </w:rPr>
              <w:t xml:space="preserve">Month in which the underlying medical service occurred (incident date cohort). Used by actuaries to build completion triangles and analyze claims by date of service rather than date of payment.</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Member Months</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Integer</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Total exposure units for the month. Calculated as the count of members eligible for sharing on each day of the month, summed and divided by the number of days in the month.</w:t>
            </w:r>
          </w:p>
        </w:tc>
      </w:tr>
      <w:tr>
        <w:tc>
          <w:p>
            <w:pPr>
              <w:spacing w:after="0"/>
            </w:pPr>
            <w:r>
              <w:rPr>
                <w:rFonts w:ascii="Calibri" w:cs="Calibri" w:eastAsia="Calibri" w:hAnsi="Calibri"/>
                <w:b w:val="false"/>
                <w:bCs w:val="false"/>
                <w:i w:val="false"/>
                <w:iCs w:val="false"/>
                <w:color w:val="1f2937"/>
                <w:sz w:val="18"/>
                <w:szCs w:val="18"/>
              </w:rPr>
              <w:t xml:space="preserve">Beginning Members</w:t>
            </w:r>
          </w:p>
        </w:tc>
        <w:tc>
          <w:p>
            <w:pPr>
              <w:spacing w:after="0"/>
            </w:pPr>
            <w:r>
              <w:rPr>
                <w:rFonts w:ascii="Calibri" w:cs="Calibri" w:eastAsia="Calibri" w:hAnsi="Calibri"/>
                <w:b w:val="false"/>
                <w:bCs w:val="false"/>
                <w:i w:val="false"/>
                <w:iCs w:val="false"/>
                <w:color w:val="1f2937"/>
                <w:sz w:val="18"/>
                <w:szCs w:val="18"/>
              </w:rPr>
              <w:t xml:space="preserve">Integer</w:t>
            </w:r>
          </w:p>
        </w:tc>
        <w:tc>
          <w:p>
            <w:pPr>
              <w:spacing w:after="0"/>
            </w:pPr>
            <w:r>
              <w:rPr>
                <w:rFonts w:ascii="Calibri" w:cs="Calibri" w:eastAsia="Calibri" w:hAnsi="Calibri"/>
                <w:b w:val="false"/>
                <w:bCs w:val="false"/>
                <w:i w:val="false"/>
                <w:iCs w:val="false"/>
                <w:color w:val="1f2937"/>
                <w:sz w:val="18"/>
                <w:szCs w:val="18"/>
              </w:rPr>
              <w:t xml:space="preserve">Members active on first day of month</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Ending Members</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Integer</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Members active on last day of month</w:t>
            </w:r>
          </w:p>
        </w:tc>
      </w:tr>
      <w:tr>
        <w:tc>
          <w:p>
            <w:pPr>
              <w:spacing w:after="0"/>
            </w:pPr>
            <w:r>
              <w:rPr>
                <w:rFonts w:ascii="Calibri" w:cs="Calibri" w:eastAsia="Calibri" w:hAnsi="Calibri"/>
                <w:b w:val="false"/>
                <w:bCs w:val="false"/>
                <w:i w:val="false"/>
                <w:iCs w:val="false"/>
                <w:color w:val="1f2937"/>
                <w:sz w:val="18"/>
                <w:szCs w:val="18"/>
              </w:rPr>
              <w:t xml:space="preserve">New Enrollments</w:t>
            </w:r>
          </w:p>
        </w:tc>
        <w:tc>
          <w:p>
            <w:pPr>
              <w:spacing w:after="0"/>
            </w:pPr>
            <w:r>
              <w:rPr>
                <w:rFonts w:ascii="Calibri" w:cs="Calibri" w:eastAsia="Calibri" w:hAnsi="Calibri"/>
                <w:b w:val="false"/>
                <w:bCs w:val="false"/>
                <w:i w:val="false"/>
                <w:iCs w:val="false"/>
                <w:color w:val="1f2937"/>
                <w:sz w:val="18"/>
                <w:szCs w:val="18"/>
              </w:rPr>
              <w:t xml:space="preserve">Integer</w:t>
            </w:r>
          </w:p>
        </w:tc>
        <w:tc>
          <w:p>
            <w:pPr>
              <w:spacing w:after="0"/>
            </w:pPr>
            <w:r>
              <w:rPr>
                <w:rFonts w:ascii="Calibri" w:cs="Calibri" w:eastAsia="Calibri" w:hAnsi="Calibri"/>
                <w:b w:val="false"/>
                <w:bCs w:val="false"/>
                <w:i w:val="false"/>
                <w:iCs w:val="false"/>
                <w:color w:val="1f2937"/>
                <w:sz w:val="18"/>
                <w:szCs w:val="18"/>
              </w:rPr>
              <w:t xml:space="preserve">Members joining during month</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Terminations</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Integer</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Members leaving during month</w:t>
            </w:r>
          </w:p>
        </w:tc>
      </w:tr>
      <w:tr>
        <w:tc>
          <w:p>
            <w:pPr>
              <w:spacing w:after="0"/>
            </w:pPr>
            <w:r>
              <w:rPr>
                <w:rFonts w:ascii="Calibri" w:cs="Calibri" w:eastAsia="Calibri" w:hAnsi="Calibri"/>
                <w:b w:val="false"/>
                <w:bCs w:val="false"/>
                <w:i w:val="false"/>
                <w:iCs w:val="false"/>
                <w:color w:val="1f2937"/>
                <w:sz w:val="18"/>
                <w:szCs w:val="18"/>
              </w:rPr>
              <w:t xml:space="preserve">Incurred Amount ($)</w:t>
            </w:r>
          </w:p>
        </w:tc>
        <w:tc>
          <w:p>
            <w:pPr>
              <w:spacing w:after="0"/>
            </w:pPr>
            <w:r>
              <w:rPr>
                <w:rFonts w:ascii="Calibri" w:cs="Calibri" w:eastAsia="Calibri" w:hAnsi="Calibri"/>
                <w:b w:val="false"/>
                <w:bCs w:val="false"/>
                <w:i w:val="false"/>
                <w:iCs w:val="false"/>
                <w:color w:val="1f2937"/>
                <w:sz w:val="18"/>
                <w:szCs w:val="18"/>
              </w:rPr>
              <w:t xml:space="preserve">Currency</w:t>
            </w:r>
          </w:p>
        </w:tc>
        <w:tc>
          <w:p>
            <w:pPr>
              <w:spacing w:after="0"/>
            </w:pPr>
            <w:r>
              <w:rPr>
                <w:rFonts w:ascii="Calibri" w:cs="Calibri" w:eastAsia="Calibri" w:hAnsi="Calibri"/>
                <w:b w:val="false"/>
                <w:bCs w:val="false"/>
                <w:i w:val="false"/>
                <w:iCs w:val="false"/>
                <w:color w:val="1f2937"/>
                <w:sz w:val="18"/>
                <w:szCs w:val="18"/>
              </w:rPr>
              <w:t xml:space="preserve">Approved sharing amounts attributed to the date of service (incident date), not the date of submission or approval. This represents incurred claims for actuarial loss development analysis.</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Paid Amount ($)</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Currency</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Amount actually reimbursed during month</w:t>
            </w:r>
          </w:p>
        </w:tc>
      </w:tr>
      <w:tr>
        <w:tc>
          <w:p>
            <w:pPr>
              <w:spacing w:after="0"/>
            </w:pPr>
            <w:r>
              <w:rPr>
                <w:rFonts w:ascii="Calibri" w:cs="Calibri" w:eastAsia="Calibri" w:hAnsi="Calibri"/>
                <w:b w:val="false"/>
                <w:bCs w:val="false"/>
                <w:i w:val="false"/>
                <w:iCs w:val="false"/>
                <w:color w:val="1f2937"/>
                <w:sz w:val="18"/>
                <w:szCs w:val="18"/>
              </w:rPr>
              <w:t xml:space="preserve">Pending Amount ($)</w:t>
            </w:r>
          </w:p>
        </w:tc>
        <w:tc>
          <w:p>
            <w:pPr>
              <w:spacing w:after="0"/>
            </w:pPr>
            <w:r>
              <w:rPr>
                <w:rFonts w:ascii="Calibri" w:cs="Calibri" w:eastAsia="Calibri" w:hAnsi="Calibri"/>
                <w:b w:val="false"/>
                <w:bCs w:val="false"/>
                <w:i w:val="false"/>
                <w:iCs w:val="false"/>
                <w:color w:val="1f2937"/>
                <w:sz w:val="18"/>
                <w:szCs w:val="18"/>
              </w:rPr>
              <w:t xml:space="preserve">Currency</w:t>
            </w:r>
          </w:p>
        </w:tc>
        <w:tc>
          <w:p>
            <w:pPr>
              <w:spacing w:after="0"/>
            </w:pPr>
            <w:r>
              <w:rPr>
                <w:rFonts w:ascii="Calibri" w:cs="Calibri" w:eastAsia="Calibri" w:hAnsi="Calibri"/>
                <w:b w:val="false"/>
                <w:bCs w:val="false"/>
                <w:i w:val="false"/>
                <w:iCs w:val="false"/>
                <w:color w:val="1f2937"/>
                <w:sz w:val="18"/>
                <w:szCs w:val="18"/>
              </w:rPr>
              <w:t xml:space="preserve">Approved but unpaid needs (open liabilities / IBNR proxy)</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PMPM</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Currency</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Per Member Per Month cost (incurred amount / member-months)</w:t>
            </w:r>
          </w:p>
        </w:tc>
      </w:tr>
      <w:tr>
        <w:tc>
          <w:p>
            <w:pPr>
              <w:spacing w:after="0"/>
            </w:pPr>
            <w:r>
              <w:rPr>
                <w:rFonts w:ascii="Calibri" w:cs="Calibri" w:eastAsia="Calibri" w:hAnsi="Calibri"/>
                <w:b w:val="false"/>
                <w:bCs w:val="false"/>
                <w:i w:val="false"/>
                <w:iCs w:val="false"/>
                <w:color w:val="1f2937"/>
                <w:sz w:val="18"/>
                <w:szCs w:val="18"/>
              </w:rPr>
              <w:t xml:space="preserve">Report Lag (Days)</w:t>
            </w:r>
          </w:p>
        </w:tc>
        <w:tc>
          <w:p>
            <w:pPr>
              <w:spacing w:after="0"/>
            </w:pPr>
            <w:r>
              <w:rPr>
                <w:rFonts w:ascii="Calibri" w:cs="Calibri" w:eastAsia="Calibri" w:hAnsi="Calibri"/>
                <w:b w:val="false"/>
                <w:bCs w:val="false"/>
                <w:i w:val="false"/>
                <w:iCs w:val="false"/>
                <w:color w:val="1f2937"/>
                <w:sz w:val="18"/>
                <w:szCs w:val="18"/>
              </w:rPr>
              <w:t xml:space="preserve">Integer</w:t>
            </w:r>
          </w:p>
        </w:tc>
        <w:tc>
          <w:p>
            <w:pPr>
              <w:spacing w:after="0"/>
            </w:pPr>
            <w:r>
              <w:rPr>
                <w:rFonts w:ascii="Calibri" w:cs="Calibri" w:eastAsia="Calibri" w:hAnsi="Calibri"/>
                <w:b w:val="false"/>
                <w:bCs w:val="false"/>
                <w:i w:val="false"/>
                <w:iCs w:val="false"/>
                <w:color w:val="1f2937"/>
                <w:sz w:val="18"/>
                <w:szCs w:val="18"/>
              </w:rPr>
              <w:t xml:space="preserve">Average days from incident/service date to need submission</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Payment Lag (Days)</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Integer</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Average days from submission to reimbursement</w:t>
            </w:r>
          </w:p>
        </w:tc>
      </w:tr>
    </w:tbl>
    <w:p>
      <w:pPr>
        <w:spacing w:after="120"/>
      </w:pPr>
      <w:r>
        <w:rPr>
          <w:rFonts w:ascii="Calibri" w:cs="Calibri" w:eastAsia="Calibri" w:hAnsi="Calibri"/>
          <w:b/>
          <w:bCs/>
          <w:i w:val="false"/>
          <w:iCs w:val="false"/>
          <w:color w:val="1f2937"/>
          <w:sz w:val="20"/>
          <w:szCs w:val="20"/>
        </w:rPr>
        <w:t xml:space="preserve">Actuarial Use: PMPM cost calculation, incurred-but-not-reported (IBNR) reserve development, claim completion factor triangles, solvency and reserve adequacy analysis.</w:t>
      </w:r>
    </w:p>
    <w:p>
      <w:pPr>
        <w:pBdr>
          <w:bottom w:val="single" w:color="cccccc" w:sz="1"/>
        </w:pBdr>
        <w:spacing w:before="200" w:after="200"/>
      </w:pPr>
      <w:r>
        <w:rPr>
          <w:rFonts w:ascii="Calibri" w:cs="Calibri" w:eastAsia="Calibri" w:hAnsi="Calibri"/>
          <w:b w:val="false"/>
          <w:bCs w:val="false"/>
          <w:i w:val="false"/>
          <w:iCs w:val="false"/>
          <w:color w:val="1f2937"/>
          <w:sz w:val="22"/>
          <w:szCs w:val="22"/>
        </w:rPr>
        <w:t xml:space="preserve"/>
      </w:r>
    </w:p>
    <w:p>
      <w:pPr>
        <w:pStyle w:val="Heading2"/>
        <w:spacing w:before="300" w:after="120"/>
      </w:pPr>
      <w:r>
        <w:rPr>
          <w:rFonts w:ascii="Calibri" w:cs="Calibri" w:eastAsia="Calibri" w:hAnsi="Calibri"/>
          <w:b/>
          <w:bCs/>
          <w:i w:val="false"/>
          <w:iCs w:val="false"/>
          <w:color w:val="1a56db"/>
          <w:sz w:val="26"/>
          <w:szCs w:val="26"/>
        </w:rPr>
        <w:t xml:space="preserve">Portfolio Summary (Included with All Exports)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color="1a56db" w:val="solid"/>
          </w:tcPr>
          <w:p>
            <w:pPr>
              <w:spacing w:after="0"/>
            </w:pPr>
            <w:r>
              <w:rPr>
                <w:rFonts w:ascii="Calibri" w:cs="Calibri" w:eastAsia="Calibri" w:hAnsi="Calibri"/>
                <w:b/>
                <w:bCs/>
                <w:i w:val="false"/>
                <w:iCs w:val="false"/>
                <w:color w:val="ffffff"/>
                <w:sz w:val="20"/>
                <w:szCs w:val="20"/>
              </w:rPr>
              <w:t xml:space="preserve">Metric</w:t>
            </w:r>
          </w:p>
        </w:tc>
        <w:tc>
          <w:tcPr>
            <w:tcW w:type="dxa" w:w="4500"/>
            <w:shd w:color="1a56db" w:val="solid"/>
          </w:tcPr>
          <w:p>
            <w:pPr>
              <w:spacing w:after="0"/>
            </w:pPr>
            <w:r>
              <w:rPr>
                <w:rFonts w:ascii="Calibri" w:cs="Calibri" w:eastAsia="Calibri" w:hAnsi="Calibri"/>
                <w:b/>
                <w:bCs/>
                <w:i w:val="false"/>
                <w:iCs w:val="false"/>
                <w:color w:val="ffffff"/>
                <w:sz w:val="20"/>
                <w:szCs w:val="20"/>
              </w:rPr>
              <w:t xml:space="preserve">Description</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Total Members</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All-time member count</w:t>
            </w:r>
          </w:p>
        </w:tc>
      </w:tr>
      <w:tr>
        <w:tc>
          <w:p>
            <w:pPr>
              <w:spacing w:after="0"/>
            </w:pPr>
            <w:r>
              <w:rPr>
                <w:rFonts w:ascii="Calibri" w:cs="Calibri" w:eastAsia="Calibri" w:hAnsi="Calibri"/>
                <w:b w:val="false"/>
                <w:bCs w:val="false"/>
                <w:i w:val="false"/>
                <w:iCs w:val="false"/>
                <w:color w:val="1f2937"/>
                <w:sz w:val="18"/>
                <w:szCs w:val="18"/>
              </w:rPr>
              <w:t xml:space="preserve">Active Members</w:t>
            </w:r>
          </w:p>
        </w:tc>
        <w:tc>
          <w:p>
            <w:pPr>
              <w:spacing w:after="0"/>
            </w:pPr>
            <w:r>
              <w:rPr>
                <w:rFonts w:ascii="Calibri" w:cs="Calibri" w:eastAsia="Calibri" w:hAnsi="Calibri"/>
                <w:b w:val="false"/>
                <w:bCs w:val="false"/>
                <w:i w:val="false"/>
                <w:iCs w:val="false"/>
                <w:color w:val="1f2937"/>
                <w:sz w:val="18"/>
                <w:szCs w:val="18"/>
              </w:rPr>
              <w:t xml:space="preserve">Currently active</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Total Needs Submitted</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Count over lookback period</w:t>
            </w:r>
          </w:p>
        </w:tc>
      </w:tr>
      <w:tr>
        <w:tc>
          <w:p>
            <w:pPr>
              <w:spacing w:after="0"/>
            </w:pPr>
            <w:r>
              <w:rPr>
                <w:rFonts w:ascii="Calibri" w:cs="Calibri" w:eastAsia="Calibri" w:hAnsi="Calibri"/>
                <w:b w:val="false"/>
                <w:bCs w:val="false"/>
                <w:i w:val="false"/>
                <w:iCs w:val="false"/>
                <w:color w:val="1f2937"/>
                <w:sz w:val="18"/>
                <w:szCs w:val="18"/>
              </w:rPr>
              <w:t xml:space="preserve">Total Amount Submitted</w:t>
            </w:r>
          </w:p>
        </w:tc>
        <w:tc>
          <w:p>
            <w:pPr>
              <w:spacing w:after="0"/>
            </w:pPr>
            <w:r>
              <w:rPr>
                <w:rFonts w:ascii="Calibri" w:cs="Calibri" w:eastAsia="Calibri" w:hAnsi="Calibri"/>
                <w:b w:val="false"/>
                <w:bCs w:val="false"/>
                <w:i w:val="false"/>
                <w:iCs w:val="false"/>
                <w:color w:val="1f2937"/>
                <w:sz w:val="18"/>
                <w:szCs w:val="18"/>
              </w:rPr>
              <w:t xml:space="preserve">$ over lookback period</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Total Amount Approved</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 approved for sharing</w:t>
            </w:r>
          </w:p>
        </w:tc>
      </w:tr>
      <w:tr>
        <w:tc>
          <w:p>
            <w:pPr>
              <w:spacing w:after="0"/>
            </w:pPr>
            <w:r>
              <w:rPr>
                <w:rFonts w:ascii="Calibri" w:cs="Calibri" w:eastAsia="Calibri" w:hAnsi="Calibri"/>
                <w:b w:val="false"/>
                <w:bCs w:val="false"/>
                <w:i w:val="false"/>
                <w:iCs w:val="false"/>
                <w:color w:val="1f2937"/>
                <w:sz w:val="18"/>
                <w:szCs w:val="18"/>
              </w:rPr>
              <w:t xml:space="preserve">Total Amount Paid/Shared</w:t>
            </w:r>
          </w:p>
        </w:tc>
        <w:tc>
          <w:p>
            <w:pPr>
              <w:spacing w:after="0"/>
            </w:pPr>
            <w:r>
              <w:rPr>
                <w:rFonts w:ascii="Calibri" w:cs="Calibri" w:eastAsia="Calibri" w:hAnsi="Calibri"/>
                <w:b w:val="false"/>
                <w:bCs w:val="false"/>
                <w:i w:val="false"/>
                <w:iCs w:val="false"/>
                <w:color w:val="1f2937"/>
                <w:sz w:val="18"/>
                <w:szCs w:val="18"/>
              </w:rPr>
              <w:t xml:space="preserve">$ actually reimbursed</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Total Contributions Collected</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 collected from members</w:t>
            </w:r>
          </w:p>
        </w:tc>
      </w:tr>
      <w:tr>
        <w:tc>
          <w:p>
            <w:pPr>
              <w:spacing w:after="0"/>
            </w:pPr>
            <w:r>
              <w:rPr>
                <w:rFonts w:ascii="Calibri" w:cs="Calibri" w:eastAsia="Calibri" w:hAnsi="Calibri"/>
                <w:b w:val="false"/>
                <w:bCs w:val="false"/>
                <w:i w:val="false"/>
                <w:iCs w:val="false"/>
                <w:color w:val="1f2937"/>
                <w:sz w:val="18"/>
                <w:szCs w:val="18"/>
              </w:rPr>
              <w:t xml:space="preserve">Current MRR</w:t>
            </w:r>
          </w:p>
        </w:tc>
        <w:tc>
          <w:p>
            <w:pPr>
              <w:spacing w:after="0"/>
            </w:pPr>
            <w:r>
              <w:rPr>
                <w:rFonts w:ascii="Calibri" w:cs="Calibri" w:eastAsia="Calibri" w:hAnsi="Calibri"/>
                <w:b w:val="false"/>
                <w:bCs w:val="false"/>
                <w:i w:val="false"/>
                <w:iCs w:val="false"/>
                <w:color w:val="1f2937"/>
                <w:sz w:val="18"/>
                <w:szCs w:val="18"/>
              </w:rPr>
              <w:t xml:space="preserve">Monthly recurring revenue (current)</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Avg Monthly Share</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Average member contribution</w:t>
            </w:r>
          </w:p>
        </w:tc>
      </w:tr>
      <w:tr>
        <w:tc>
          <w:p>
            <w:pPr>
              <w:spacing w:after="0"/>
            </w:pPr>
            <w:r>
              <w:rPr>
                <w:rFonts w:ascii="Calibri" w:cs="Calibri" w:eastAsia="Calibri" w:hAnsi="Calibri"/>
                <w:b w:val="false"/>
                <w:bCs w:val="false"/>
                <w:i w:val="false"/>
                <w:iCs w:val="false"/>
                <w:color w:val="1f2937"/>
                <w:sz w:val="18"/>
                <w:szCs w:val="18"/>
              </w:rPr>
              <w:t xml:space="preserve">Overall Loss Ratio</w:t>
            </w:r>
          </w:p>
        </w:tc>
        <w:tc>
          <w:p>
            <w:pPr>
              <w:spacing w:after="0"/>
            </w:pPr>
            <w:r>
              <w:rPr>
                <w:rFonts w:ascii="Calibri" w:cs="Calibri" w:eastAsia="Calibri" w:hAnsi="Calibri"/>
                <w:b w:val="false"/>
                <w:bCs w:val="false"/>
                <w:i w:val="false"/>
                <w:iCs w:val="false"/>
                <w:color w:val="1f2937"/>
                <w:sz w:val="18"/>
                <w:szCs w:val="18"/>
              </w:rPr>
              <w:t xml:space="preserve">Paid / Collected</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Collection Rate</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Collected / Expected</w:t>
            </w:r>
          </w:p>
        </w:tc>
      </w:tr>
      <w:tr>
        <w:tc>
          <w:p>
            <w:pPr>
              <w:spacing w:after="0"/>
            </w:pPr>
            <w:r>
              <w:rPr>
                <w:rFonts w:ascii="Calibri" w:cs="Calibri" w:eastAsia="Calibri" w:hAnsi="Calibri"/>
                <w:b w:val="false"/>
                <w:bCs w:val="false"/>
                <w:i w:val="false"/>
                <w:iCs w:val="false"/>
                <w:color w:val="1f2937"/>
                <w:sz w:val="18"/>
                <w:szCs w:val="18"/>
              </w:rPr>
              <w:t xml:space="preserve">Utilization per 100</w:t>
            </w:r>
          </w:p>
        </w:tc>
        <w:tc>
          <w:p>
            <w:pPr>
              <w:spacing w:after="0"/>
            </w:pPr>
            <w:r>
              <w:rPr>
                <w:rFonts w:ascii="Calibri" w:cs="Calibri" w:eastAsia="Calibri" w:hAnsi="Calibri"/>
                <w:b w:val="false"/>
                <w:bCs w:val="false"/>
                <w:i w:val="false"/>
                <w:iCs w:val="false"/>
                <w:color w:val="1f2937"/>
                <w:sz w:val="18"/>
                <w:szCs w:val="18"/>
              </w:rPr>
              <w:t xml:space="preserve">Needs per 100 active members</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Catastrophic Needs (&gt;$25k)</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Count of high-severity needs</w:t>
            </w:r>
          </w:p>
        </w:tc>
      </w:tr>
    </w:tbl>
    <w:p>
      <w:r>
        <w:br w:type="page"/>
      </w:r>
    </w:p>
    <w:p>
      <w:pPr>
        <w:pStyle w:val="Heading1"/>
        <w:spacing w:before="300" w:after="120"/>
      </w:pPr>
      <w:r>
        <w:rPr>
          <w:rFonts w:ascii="Calibri" w:cs="Calibri" w:eastAsia="Calibri" w:hAnsi="Calibri"/>
          <w:b/>
          <w:bCs/>
          <w:i w:val="false"/>
          <w:iCs w:val="false"/>
          <w:color w:val="1a56db"/>
          <w:sz w:val="32"/>
          <w:szCs w:val="32"/>
        </w:rPr>
        <w:t xml:space="preserve">Part 3: What the Actuary Can Model From This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color="1a56db" w:val="solid"/>
          </w:tcPr>
          <w:p>
            <w:pPr>
              <w:spacing w:after="0"/>
            </w:pPr>
            <w:r>
              <w:rPr>
                <w:rFonts w:ascii="Calibri" w:cs="Calibri" w:eastAsia="Calibri" w:hAnsi="Calibri"/>
                <w:b/>
                <w:bCs/>
                <w:i w:val="false"/>
                <w:iCs w:val="false"/>
                <w:color w:val="ffffff"/>
                <w:sz w:val="20"/>
                <w:szCs w:val="20"/>
              </w:rPr>
              <w:t xml:space="preserve">Actuarial Output</w:t>
            </w:r>
          </w:p>
        </w:tc>
        <w:tc>
          <w:tcPr>
            <w:tcW w:type="dxa" w:w="4500"/>
            <w:shd w:color="1a56db" w:val="solid"/>
          </w:tcPr>
          <w:p>
            <w:pPr>
              <w:spacing w:after="0"/>
            </w:pPr>
            <w:r>
              <w:rPr>
                <w:rFonts w:ascii="Calibri" w:cs="Calibri" w:eastAsia="Calibri" w:hAnsi="Calibri"/>
                <w:b/>
                <w:bCs/>
                <w:i w:val="false"/>
                <w:iCs w:val="false"/>
                <w:color w:val="ffffff"/>
                <w:sz w:val="20"/>
                <w:szCs w:val="20"/>
              </w:rPr>
              <w:t xml:space="preserve">Enabled By</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PMPM cost</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Dataset 5: incurred amount / member-months (true daily exposure)</w:t>
            </w:r>
          </w:p>
        </w:tc>
      </w:tr>
      <w:tr>
        <w:tc>
          <w:p>
            <w:pPr>
              <w:spacing w:after="0"/>
            </w:pPr>
            <w:r>
              <w:rPr>
                <w:rFonts w:ascii="Calibri" w:cs="Calibri" w:eastAsia="Calibri" w:hAnsi="Calibri"/>
                <w:b w:val="false"/>
                <w:bCs w:val="false"/>
                <w:i w:val="false"/>
                <w:iCs w:val="false"/>
                <w:color w:val="1f2937"/>
                <w:sz w:val="18"/>
                <w:szCs w:val="18"/>
              </w:rPr>
              <w:t xml:space="preserve">Expected loss ratio</w:t>
            </w:r>
          </w:p>
        </w:tc>
        <w:tc>
          <w:p>
            <w:pPr>
              <w:spacing w:after="0"/>
            </w:pPr>
            <w:r>
              <w:rPr>
                <w:rFonts w:ascii="Calibri" w:cs="Calibri" w:eastAsia="Calibri" w:hAnsi="Calibri"/>
                <w:b w:val="false"/>
                <w:bCs w:val="false"/>
                <w:i w:val="false"/>
                <w:iCs w:val="false"/>
                <w:color w:val="1f2937"/>
                <w:sz w:val="18"/>
                <w:szCs w:val="18"/>
              </w:rPr>
              <w:t xml:space="preserve">Dataset 1: paid / contributions collected</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Contribution adequacy</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Datasets 1 + 3: 24-month trend of loss ratio + collection rate</w:t>
            </w:r>
          </w:p>
        </w:tc>
      </w:tr>
      <w:tr>
        <w:tc>
          <w:p>
            <w:pPr>
              <w:spacing w:after="0"/>
            </w:pPr>
            <w:r>
              <w:rPr>
                <w:rFonts w:ascii="Calibri" w:cs="Calibri" w:eastAsia="Calibri" w:hAnsi="Calibri"/>
                <w:b w:val="false"/>
                <w:bCs w:val="false"/>
                <w:i w:val="false"/>
                <w:iCs w:val="false"/>
                <w:color w:val="1f2937"/>
                <w:sz w:val="18"/>
                <w:szCs w:val="18"/>
              </w:rPr>
              <w:t xml:space="preserve">Reserve requirements (IBNR)</w:t>
            </w:r>
          </w:p>
        </w:tc>
        <w:tc>
          <w:p>
            <w:pPr>
              <w:spacing w:after="0"/>
            </w:pPr>
            <w:r>
              <w:rPr>
                <w:rFonts w:ascii="Calibri" w:cs="Calibri" w:eastAsia="Calibri" w:hAnsi="Calibri"/>
                <w:b w:val="false"/>
                <w:bCs w:val="false"/>
                <w:i w:val="false"/>
                <w:iCs w:val="false"/>
                <w:color w:val="1f2937"/>
                <w:sz w:val="18"/>
                <w:szCs w:val="18"/>
              </w:rPr>
              <w:t xml:space="preserve">Dataset 5: pending amount + report/payment lag for completion factor triangles by service month cohort</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Catastrophic exposure</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Dataset 1: max single need, needs &gt;$25k/&gt;$50k</w:t>
            </w:r>
          </w:p>
        </w:tc>
      </w:tr>
      <w:tr>
        <w:tc>
          <w:p>
            <w:pPr>
              <w:spacing w:after="0"/>
            </w:pPr>
            <w:r>
              <w:rPr>
                <w:rFonts w:ascii="Calibri" w:cs="Calibri" w:eastAsia="Calibri" w:hAnsi="Calibri"/>
                <w:b w:val="false"/>
                <w:bCs w:val="false"/>
                <w:i w:val="false"/>
                <w:iCs w:val="false"/>
                <w:color w:val="1f2937"/>
                <w:sz w:val="18"/>
                <w:szCs w:val="18"/>
              </w:rPr>
              <w:t xml:space="preserve">Sustainability probability</w:t>
            </w:r>
          </w:p>
        </w:tc>
        <w:tc>
          <w:p>
            <w:pPr>
              <w:spacing w:after="0"/>
            </w:pPr>
            <w:r>
              <w:rPr>
                <w:rFonts w:ascii="Calibri" w:cs="Calibri" w:eastAsia="Calibri" w:hAnsi="Calibri"/>
                <w:b w:val="false"/>
                <w:bCs w:val="false"/>
                <w:i w:val="false"/>
                <w:iCs w:val="false"/>
                <w:color w:val="1f2937"/>
                <w:sz w:val="18"/>
                <w:szCs w:val="18"/>
              </w:rPr>
              <w:t xml:space="preserve">Datasets 1 + 5: 24-month trend of members, PMPM, revenue, loss ratio</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Stop-loss recommendation</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Datasets 1 + 4: distribution of max needs by month + age-band severity</w:t>
            </w:r>
          </w:p>
        </w:tc>
      </w:tr>
      <w:tr>
        <w:tc>
          <w:p>
            <w:pPr>
              <w:spacing w:after="0"/>
            </w:pPr>
            <w:r>
              <w:rPr>
                <w:rFonts w:ascii="Calibri" w:cs="Calibri" w:eastAsia="Calibri" w:hAnsi="Calibri"/>
                <w:b w:val="false"/>
                <w:bCs w:val="false"/>
                <w:i w:val="false"/>
                <w:iCs w:val="false"/>
                <w:color w:val="1f2937"/>
                <w:sz w:val="18"/>
                <w:szCs w:val="18"/>
              </w:rPr>
              <w:t xml:space="preserve">Contribution model / rate-setting</w:t>
            </w:r>
          </w:p>
        </w:tc>
        <w:tc>
          <w:p>
            <w:pPr>
              <w:spacing w:after="0"/>
            </w:pPr>
            <w:r>
              <w:rPr>
                <w:rFonts w:ascii="Calibri" w:cs="Calibri" w:eastAsia="Calibri" w:hAnsi="Calibri"/>
                <w:b w:val="false"/>
                <w:bCs w:val="false"/>
                <w:i w:val="false"/>
                <w:iCs w:val="false"/>
                <w:color w:val="1f2937"/>
                <w:sz w:val="18"/>
                <w:szCs w:val="18"/>
              </w:rPr>
              <w:t xml:space="preserve">Datasets 4 + 5: age-band cost per member-month + utilization rates</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Funding sufficiency opinion</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Dataset 3: net revenue vs Dataset 5: incurred obligations</w:t>
            </w:r>
          </w:p>
        </w:tc>
      </w:tr>
      <w:tr>
        <w:tc>
          <w:p>
            <w:pPr>
              <w:spacing w:after="0"/>
            </w:pPr>
            <w:r>
              <w:rPr>
                <w:rFonts w:ascii="Calibri" w:cs="Calibri" w:eastAsia="Calibri" w:hAnsi="Calibri"/>
                <w:b w:val="false"/>
                <w:bCs w:val="false"/>
                <w:i w:val="false"/>
                <w:iCs w:val="false"/>
                <w:color w:val="1f2937"/>
                <w:sz w:val="18"/>
                <w:szCs w:val="18"/>
              </w:rPr>
              <w:t xml:space="preserve">Solvency projection</w:t>
            </w:r>
          </w:p>
        </w:tc>
        <w:tc>
          <w:p>
            <w:pPr>
              <w:spacing w:after="0"/>
            </w:pPr>
            <w:r>
              <w:rPr>
                <w:rFonts w:ascii="Calibri" w:cs="Calibri" w:eastAsia="Calibri" w:hAnsi="Calibri"/>
                <w:b w:val="false"/>
                <w:bCs w:val="false"/>
                <w:i w:val="false"/>
                <w:iCs w:val="false"/>
                <w:color w:val="1f2937"/>
                <w:sz w:val="18"/>
                <w:szCs w:val="18"/>
              </w:rPr>
              <w:t xml:space="preserve">Datasets 1 + 3 + 5: revenue trajectory vs loss trajectory over 3-5 years</w:t>
            </w:r>
          </w:p>
        </w:tc>
      </w:tr>
      <w:tr>
        <w:tc>
          <w:tcPr>
            <w:shd w:color="f3f4f6" w:val="solid"/>
          </w:tcPr>
          <w:p>
            <w:pPr>
              <w:spacing w:after="0"/>
            </w:pPr>
            <w:r>
              <w:rPr>
                <w:rFonts w:ascii="Calibri" w:cs="Calibri" w:eastAsia="Calibri" w:hAnsi="Calibri"/>
                <w:b w:val="false"/>
                <w:bCs w:val="false"/>
                <w:i w:val="false"/>
                <w:iCs w:val="false"/>
                <w:color w:val="1f2937"/>
                <w:sz w:val="18"/>
                <w:szCs w:val="18"/>
              </w:rPr>
              <w:t xml:space="preserve">Incurred claims development</w:t>
            </w:r>
          </w:p>
        </w:tc>
        <w:tc>
          <w:tcPr>
            <w:shd w:color="f3f4f6" w:val="solid"/>
          </w:tcPr>
          <w:p>
            <w:pPr>
              <w:spacing w:after="0"/>
            </w:pPr>
            <w:r>
              <w:rPr>
                <w:rFonts w:ascii="Calibri" w:cs="Calibri" w:eastAsia="Calibri" w:hAnsi="Calibri"/>
                <w:b w:val="false"/>
                <w:bCs w:val="false"/>
                <w:i w:val="false"/>
                <w:iCs w:val="false"/>
                <w:color w:val="1f2937"/>
                <w:sz w:val="18"/>
                <w:szCs w:val="18"/>
              </w:rPr>
              <w:t xml:space="preserve">Dataset 5: service month cohort + report lag + payment lag enable completion factor triangles</w:t>
            </w:r>
          </w:p>
        </w:tc>
      </w:tr>
    </w:tbl>
    <w:p>
      <w:pPr>
        <w:pBdr>
          <w:bottom w:val="single" w:color="cccccc" w:sz="1"/>
        </w:pBdr>
        <w:spacing w:before="200" w:after="200"/>
      </w:pPr>
      <w:r>
        <w:rPr>
          <w:rFonts w:ascii="Calibri" w:cs="Calibri" w:eastAsia="Calibri" w:hAnsi="Calibri"/>
          <w:b w:val="false"/>
          <w:bCs w:val="false"/>
          <w:i w:val="false"/>
          <w:iCs w:val="false"/>
          <w:color w:val="1f2937"/>
          <w:sz w:val="22"/>
          <w:szCs w:val="22"/>
        </w:rPr>
        <w:t xml:space="preserve"/>
      </w:r>
    </w:p>
    <w:p>
      <w:pPr>
        <w:pStyle w:val="Heading1"/>
        <w:spacing w:before="300" w:after="120"/>
      </w:pPr>
      <w:r>
        <w:rPr>
          <w:rFonts w:ascii="Calibri" w:cs="Calibri" w:eastAsia="Calibri" w:hAnsi="Calibri"/>
          <w:b/>
          <w:bCs/>
          <w:i w:val="false"/>
          <w:iCs w:val="false"/>
          <w:color w:val="1a56db"/>
          <w:sz w:val="32"/>
          <w:szCs w:val="32"/>
        </w:rPr>
        <w:t xml:space="preserve">Part 4: Data Access</w:t>
      </w:r>
    </w:p>
    <w:p>
      <w:pPr>
        <w:spacing w:after="120"/>
      </w:pPr>
      <w:r>
        <w:rPr>
          <w:rFonts w:ascii="Calibri" w:cs="Calibri" w:eastAsia="Calibri" w:hAnsi="Calibri"/>
          <w:b w:val="false"/>
          <w:bCs w:val="false"/>
          <w:i w:val="false"/>
          <w:iCs w:val="false"/>
          <w:color w:val="1f2937"/>
          <w:sz w:val="22"/>
          <w:szCs w:val="22"/>
        </w:rPr>
        <w:t xml:space="preserve">The actuarial data is available via two methods:</w:t>
      </w:r>
    </w:p>
    <w:p>
      <w:pPr>
        <w:spacing w:after="120"/>
      </w:pPr>
      <w:r>
        <w:rPr>
          <w:rFonts w:ascii="Calibri" w:cs="Calibri" w:eastAsia="Calibri" w:hAnsi="Calibri"/>
          <w:b/>
          <w:bCs/>
          <w:i w:val="false"/>
          <w:iCs w:val="false"/>
          <w:color w:val="1f2937"/>
          <w:sz w:val="22"/>
          <w:szCs w:val="22"/>
        </w:rPr>
        <w:t xml:space="preserve">1. Admin Dashboard</w:t>
      </w:r>
      <w:r>
        <w:rPr>
          <w:rFonts w:ascii="Calibri" w:cs="Calibri" w:eastAsia="Calibri" w:hAnsi="Calibri"/>
          <w:b w:val="false"/>
          <w:bCs w:val="false"/>
          <w:i w:val="false"/>
          <w:iCs w:val="false"/>
          <w:color w:val="1f2937"/>
          <w:sz w:val="22"/>
          <w:szCs w:val="22"/>
        </w:rPr>
        <w:t xml:space="preserve"> — Navigate to Analytics &gt; Actuarial Data. View all five datasets in interactive tables with charts, or click "Export All CSVs" to download all datasets as CSV files in one click.</w:t>
      </w:r>
    </w:p>
    <w:p>
      <w:pPr>
        <w:spacing w:after="120"/>
      </w:pPr>
      <w:r>
        <w:rPr>
          <w:rFonts w:ascii="Calibri" w:cs="Calibri" w:eastAsia="Calibri" w:hAnsi="Calibri"/>
          <w:b/>
          <w:bCs/>
          <w:i w:val="false"/>
          <w:iCs w:val="false"/>
          <w:color w:val="1f2937"/>
          <w:sz w:val="22"/>
          <w:szCs w:val="22"/>
        </w:rPr>
        <w:t xml:space="preserve">2. API</w:t>
      </w:r>
      <w:r>
        <w:rPr>
          <w:rFonts w:ascii="Calibri" w:cs="Calibri" w:eastAsia="Calibri" w:hAnsi="Calibri"/>
          <w:b w:val="false"/>
          <w:bCs w:val="false"/>
          <w:i w:val="false"/>
          <w:iCs w:val="false"/>
          <w:color w:val="1f2937"/>
          <w:sz w:val="22"/>
          <w:szCs w:val="22"/>
        </w:rPr>
        <w:t xml:space="preserve"> — GET /api/analytics/actuarial-experience?months=24 (authenticated, admin-only). Returns the complete dataset as JSON. Lookback period is configurable from 1 to 60 months.</w:t>
      </w:r>
    </w:p>
    <w:p>
      <w:pPr>
        <w:spacing w:after="120"/>
      </w:pPr>
      <w:r>
        <w:rPr>
          <w:rFonts w:ascii="Calibri" w:cs="Calibri" w:eastAsia="Calibri" w:hAnsi="Calibri"/>
          <w:b w:val="false"/>
          <w:bCs w:val="false"/>
          <w:i w:val="false"/>
          <w:iCs w:val="false"/>
          <w:color w:val="1f2937"/>
          <w:sz w:val="22"/>
          <w:szCs w:val="22"/>
        </w:rPr>
        <w:t xml:space="preserve">The data is generated in real-time from the production database. No manual extraction required.</w:t>
      </w:r>
    </w:p>
    <w:p>
      <w:pPr>
        <w:pBdr>
          <w:bottom w:val="single" w:color="cccccc" w:sz="1"/>
        </w:pBdr>
        <w:spacing w:before="200" w:after="200"/>
      </w:pPr>
      <w:r>
        <w:rPr>
          <w:rFonts w:ascii="Calibri" w:cs="Calibri" w:eastAsia="Calibri" w:hAnsi="Calibri"/>
          <w:b w:val="false"/>
          <w:bCs w:val="false"/>
          <w:i w:val="false"/>
          <w:iCs w:val="false"/>
          <w:color w:val="1f2937"/>
          <w:sz w:val="22"/>
          <w:szCs w:val="22"/>
        </w:rPr>
        <w:t xml:space="preserve"/>
      </w:r>
    </w:p>
    <w:p>
      <w:pPr>
        <w:pStyle w:val="Heading1"/>
        <w:spacing w:before="300" w:after="120"/>
      </w:pPr>
      <w:r>
        <w:rPr>
          <w:rFonts w:ascii="Calibri" w:cs="Calibri" w:eastAsia="Calibri" w:hAnsi="Calibri"/>
          <w:b/>
          <w:bCs/>
          <w:i w:val="false"/>
          <w:iCs w:val="false"/>
          <w:color w:val="1a56db"/>
          <w:sz w:val="32"/>
          <w:szCs w:val="32"/>
        </w:rPr>
        <w:t xml:space="preserve">Part 5: Compliance Attestation</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This data extract contains zero Protected Health Information (PHI)</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All data uses aggregated COUNT(*), SUM(), AVG(), and PERCENTILE_CONT() functions — no individual rows are ever returned</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The system enforces de-identification at the database layer; the application cannot bypass it</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Small-group suppression (&lt; 5) prevents re-identification in small populations</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This architecture is consistent with HHS guidance under 45 CFR 164.514</w:t>
      </w:r>
    </w:p>
    <w:p>
      <w:pPr>
        <w:spacing w:after="120"/>
      </w:pPr>
      <w:r>
        <w:rPr>
          <w:rFonts w:ascii="Calibri" w:cs="Calibri" w:eastAsia="Calibri" w:hAnsi="Calibri"/>
          <w:b w:val="false"/>
          <w:bCs w:val="false"/>
          <w:i/>
          <w:iCs/>
          <w:color w:val="1f2937"/>
          <w:sz w:val="22"/>
          <w:szCs w:val="22"/>
        </w:rPr>
        <w:t xml:space="preserve">The dataset is intended for actuarial analysis of pooled financial experience only. The actuary will not receive, access, or require individually identifiable health information. All actuarial modeling can be performed using aggregated exposure, utilization, and payment statistics.</w:t>
      </w:r>
    </w:p>
    <w:p>
      <w:pPr>
        <w:spacing w:after="120"/>
      </w:pPr>
      <w:r>
        <w:rPr>
          <w:rFonts w:ascii="Calibri" w:cs="Calibri" w:eastAsia="Calibri" w:hAnsi="Calibri"/>
          <w:b w:val="false"/>
          <w:bCs w:val="false"/>
          <w:i/>
          <w:iCs/>
          <w:color w:val="1f2937"/>
          <w:sz w:val="22"/>
          <w:szCs w:val="22"/>
        </w:rPr>
        <w:t xml:space="preserve">The dataset is designed to be de-identified and contain no individually identifiable health information. The determination of whether a Business Associate Agreement is required will be made by the receiving actuarial firm and applicable counsel.</w:t>
      </w:r>
    </w:p>
    <w:p>
      <w:pPr>
        <w:pBdr>
          <w:bottom w:val="single" w:color="cccccc" w:sz="1"/>
        </w:pBdr>
        <w:spacing w:before="200" w:after="200"/>
      </w:pPr>
      <w:r>
        <w:rPr>
          <w:rFonts w:ascii="Calibri" w:cs="Calibri" w:eastAsia="Calibri" w:hAnsi="Calibri"/>
          <w:b w:val="false"/>
          <w:bCs w:val="false"/>
          <w:i w:val="false"/>
          <w:iCs w:val="false"/>
          <w:color w:val="1f2937"/>
          <w:sz w:val="22"/>
          <w:szCs w:val="22"/>
        </w:rPr>
        <w:t xml:space="preserve"/>
      </w:r>
    </w:p>
    <w:p>
      <w:pPr>
        <w:pStyle w:val="Heading1"/>
        <w:spacing w:before="300" w:after="120"/>
      </w:pPr>
      <w:r>
        <w:rPr>
          <w:rFonts w:ascii="Calibri" w:cs="Calibri" w:eastAsia="Calibri" w:hAnsi="Calibri"/>
          <w:b/>
          <w:bCs/>
          <w:i w:val="false"/>
          <w:iCs w:val="false"/>
          <w:color w:val="1a56db"/>
          <w:sz w:val="32"/>
          <w:szCs w:val="32"/>
        </w:rPr>
        <w:t xml:space="preserve">Part 6: Program Structure Description</w:t>
      </w:r>
    </w:p>
    <w:p>
      <w:pPr>
        <w:spacing w:after="120"/>
      </w:pPr>
      <w:r>
        <w:rPr>
          <w:rFonts w:ascii="Calibri" w:cs="Calibri" w:eastAsia="Calibri" w:hAnsi="Calibri"/>
          <w:b w:val="false"/>
          <w:bCs w:val="false"/>
          <w:i w:val="false"/>
          <w:iCs w:val="false"/>
          <w:color w:val="1f2937"/>
          <w:sz w:val="22"/>
          <w:szCs w:val="22"/>
        </w:rPr>
        <w:t xml:space="preserve">The following describes the health share program mechanics that influence utilization patterns and should be considered in actuarial modeling:</w:t>
      </w:r>
    </w:p>
    <w:p>
      <w:pPr>
        <w:pStyle w:val="Heading3"/>
        <w:spacing w:before="300" w:after="120"/>
      </w:pPr>
      <w:r>
        <w:rPr>
          <w:rFonts w:ascii="Calibri" w:cs="Calibri" w:eastAsia="Calibri" w:hAnsi="Calibri"/>
          <w:b/>
          <w:bCs/>
          <w:i w:val="false"/>
          <w:iCs w:val="false"/>
          <w:color w:val="1a56db"/>
          <w:sz w:val="22"/>
          <w:szCs w:val="22"/>
        </w:rPr>
        <w:t xml:space="preserve">Initial Unshareable Amount (IUA)</w:t>
      </w:r>
    </w:p>
    <w:p>
      <w:pPr>
        <w:spacing w:after="120"/>
      </w:pPr>
      <w:r>
        <w:rPr>
          <w:rFonts w:ascii="Calibri" w:cs="Calibri" w:eastAsia="Calibri" w:hAnsi="Calibri"/>
          <w:b w:val="false"/>
          <w:bCs w:val="false"/>
          <w:i w:val="false"/>
          <w:iCs w:val="false"/>
          <w:color w:val="1f2937"/>
          <w:sz w:val="22"/>
          <w:szCs w:val="22"/>
        </w:rPr>
        <w:t xml:space="preserve">The IUA functions as the member's responsibility threshold before sharing begins (analogous to a deductible). The IUA amount varies by plan tier and is configured per product. Members must meet their IUA before needs are eligible for sharing. The system tracks IUA amount, remaining IUA, and IUA-met status per need.</w:t>
      </w:r>
    </w:p>
    <w:p>
      <w:pPr>
        <w:pStyle w:val="Heading3"/>
        <w:spacing w:before="300" w:after="120"/>
      </w:pPr>
      <w:r>
        <w:rPr>
          <w:rFonts w:ascii="Calibri" w:cs="Calibri" w:eastAsia="Calibri" w:hAnsi="Calibri"/>
          <w:b/>
          <w:bCs/>
          <w:i w:val="false"/>
          <w:iCs w:val="false"/>
          <w:color w:val="1a56db"/>
          <w:sz w:val="22"/>
          <w:szCs w:val="22"/>
        </w:rPr>
        <w:t xml:space="preserve">Waiting Periods</w:t>
      </w:r>
    </w:p>
    <w:p>
      <w:pPr>
        <w:spacing w:after="120"/>
      </w:pPr>
      <w:r>
        <w:rPr>
          <w:rFonts w:ascii="Calibri" w:cs="Calibri" w:eastAsia="Calibri" w:hAnsi="Calibri"/>
          <w:b w:val="false"/>
          <w:bCs w:val="false"/>
          <w:i/>
          <w:iCs/>
          <w:color w:val="b91c1c"/>
          <w:sz w:val="22"/>
          <w:szCs w:val="22"/>
        </w:rPr>
        <w:t xml:space="preserve">[To be completed by the program administrator — specify waiting periods for new members before needs are shareable, typically 30-90 days for general needs, longer for pre-existing conditions.]</w:t>
      </w:r>
    </w:p>
    <w:p>
      <w:pPr>
        <w:pStyle w:val="Heading3"/>
        <w:spacing w:before="300" w:after="120"/>
      </w:pPr>
      <w:r>
        <w:rPr>
          <w:rFonts w:ascii="Calibri" w:cs="Calibri" w:eastAsia="Calibri" w:hAnsi="Calibri"/>
          <w:b/>
          <w:bCs/>
          <w:i w:val="false"/>
          <w:iCs w:val="false"/>
          <w:color w:val="1a56db"/>
          <w:sz w:val="22"/>
          <w:szCs w:val="22"/>
        </w:rPr>
        <w:t xml:space="preserve">Pre-Existing Condition Sharing Rules</w:t>
      </w:r>
    </w:p>
    <w:p>
      <w:pPr>
        <w:spacing w:after="120"/>
      </w:pPr>
      <w:r>
        <w:rPr>
          <w:rFonts w:ascii="Calibri" w:cs="Calibri" w:eastAsia="Calibri" w:hAnsi="Calibri"/>
          <w:b w:val="false"/>
          <w:bCs w:val="false"/>
          <w:i/>
          <w:iCs/>
          <w:color w:val="b91c1c"/>
          <w:sz w:val="22"/>
          <w:szCs w:val="22"/>
        </w:rPr>
        <w:t xml:space="preserve">[To be completed by the program administrator — specify whether pre-existing conditions are shareable after a waiting period (e.g., 12-24 months), and any limitations on sharing amounts for pre-existing conditions.]</w:t>
      </w:r>
    </w:p>
    <w:p>
      <w:pPr>
        <w:pStyle w:val="Heading3"/>
        <w:spacing w:before="300" w:after="120"/>
      </w:pPr>
      <w:r>
        <w:rPr>
          <w:rFonts w:ascii="Calibri" w:cs="Calibri" w:eastAsia="Calibri" w:hAnsi="Calibri"/>
          <w:b/>
          <w:bCs/>
          <w:i w:val="false"/>
          <w:iCs w:val="false"/>
          <w:color w:val="1a56db"/>
          <w:sz w:val="22"/>
          <w:szCs w:val="22"/>
        </w:rPr>
        <w:t xml:space="preserve">Maternity Sharing Rules</w:t>
      </w:r>
    </w:p>
    <w:p>
      <w:pPr>
        <w:spacing w:after="120"/>
      </w:pPr>
      <w:r>
        <w:rPr>
          <w:rFonts w:ascii="Calibri" w:cs="Calibri" w:eastAsia="Calibri" w:hAnsi="Calibri"/>
          <w:b w:val="false"/>
          <w:bCs w:val="false"/>
          <w:i/>
          <w:iCs/>
          <w:color w:val="b91c1c"/>
          <w:sz w:val="22"/>
          <w:szCs w:val="22"/>
        </w:rPr>
        <w:t xml:space="preserve">[To be completed by the program administrator — specify maternity sharing eligibility, waiting periods, and maximum sharing amounts.]</w:t>
      </w:r>
    </w:p>
    <w:p>
      <w:pPr>
        <w:pStyle w:val="Heading3"/>
        <w:spacing w:before="300" w:after="120"/>
      </w:pPr>
      <w:r>
        <w:rPr>
          <w:rFonts w:ascii="Calibri" w:cs="Calibri" w:eastAsia="Calibri" w:hAnsi="Calibri"/>
          <w:b/>
          <w:bCs/>
          <w:i w:val="false"/>
          <w:iCs w:val="false"/>
          <w:color w:val="1a56db"/>
          <w:sz w:val="22"/>
          <w:szCs w:val="22"/>
        </w:rPr>
        <w:t xml:space="preserve">Maximum Sharing Limits</w:t>
      </w:r>
    </w:p>
    <w:p>
      <w:pPr>
        <w:spacing w:after="120"/>
      </w:pPr>
      <w:r>
        <w:rPr>
          <w:rFonts w:ascii="Calibri" w:cs="Calibri" w:eastAsia="Calibri" w:hAnsi="Calibri"/>
          <w:b w:val="false"/>
          <w:bCs w:val="false"/>
          <w:i w:val="false"/>
          <w:iCs w:val="false"/>
          <w:color w:val="1f2937"/>
          <w:sz w:val="22"/>
          <w:szCs w:val="22"/>
        </w:rPr>
        <w:t xml:space="preserve">The system supports maximum annual share limits per product configuration. Individual needs are capped at the approved amount after IUA application.</w:t>
      </w:r>
    </w:p>
    <w:p>
      <w:pPr>
        <w:spacing w:after="120"/>
      </w:pPr>
      <w:r>
        <w:rPr>
          <w:rFonts w:ascii="Calibri" w:cs="Calibri" w:eastAsia="Calibri" w:hAnsi="Calibri"/>
          <w:b w:val="false"/>
          <w:bCs w:val="false"/>
          <w:i/>
          <w:iCs/>
          <w:color w:val="b91c1c"/>
          <w:sz w:val="22"/>
          <w:szCs w:val="22"/>
        </w:rPr>
        <w:t xml:space="preserve">[To be completed by the program administrator — specify per-need maximums, annual maximums, and lifetime maximums if applicable.]</w:t>
      </w:r>
    </w:p>
    <w:p>
      <w:pPr>
        <w:pStyle w:val="Heading3"/>
        <w:spacing w:before="300" w:after="120"/>
      </w:pPr>
      <w:r>
        <w:rPr>
          <w:rFonts w:ascii="Calibri" w:cs="Calibri" w:eastAsia="Calibri" w:hAnsi="Calibri"/>
          <w:b/>
          <w:bCs/>
          <w:i w:val="false"/>
          <w:iCs w:val="false"/>
          <w:color w:val="1a56db"/>
          <w:sz w:val="22"/>
          <w:szCs w:val="22"/>
        </w:rPr>
        <w:t xml:space="preserve">Network / Reference Pricing</w:t>
      </w:r>
    </w:p>
    <w:p>
      <w:pPr>
        <w:spacing w:after="120"/>
      </w:pPr>
      <w:r>
        <w:rPr>
          <w:rFonts w:ascii="Calibri" w:cs="Calibri" w:eastAsia="Calibri" w:hAnsi="Calibri"/>
          <w:b w:val="false"/>
          <w:bCs w:val="false"/>
          <w:i/>
          <w:iCs/>
          <w:color w:val="b91c1c"/>
          <w:sz w:val="22"/>
          <w:szCs w:val="22"/>
        </w:rPr>
        <w:t xml:space="preserve">[To be completed by the program administrator — specify whether a PPO network is used, reference-based pricing methodology, or cash-pay discount arrangements.]</w:t>
      </w:r>
    </w:p>
    <w:p>
      <w:pPr>
        <w:pStyle w:val="Heading3"/>
        <w:spacing w:before="300" w:after="120"/>
      </w:pPr>
      <w:r>
        <w:rPr>
          <w:rFonts w:ascii="Calibri" w:cs="Calibri" w:eastAsia="Calibri" w:hAnsi="Calibri"/>
          <w:b/>
          <w:bCs/>
          <w:i w:val="false"/>
          <w:iCs w:val="false"/>
          <w:color w:val="1a56db"/>
          <w:sz w:val="22"/>
          <w:szCs w:val="22"/>
        </w:rPr>
        <w:t xml:space="preserve">Prescription Sharing Structure</w:t>
      </w:r>
    </w:p>
    <w:p>
      <w:pPr>
        <w:spacing w:after="120"/>
      </w:pPr>
      <w:r>
        <w:rPr>
          <w:rFonts w:ascii="Calibri" w:cs="Calibri" w:eastAsia="Calibri" w:hAnsi="Calibri"/>
          <w:b w:val="false"/>
          <w:bCs w:val="false"/>
          <w:i/>
          <w:iCs/>
          <w:color w:val="b91c1c"/>
          <w:sz w:val="22"/>
          <w:szCs w:val="22"/>
        </w:rPr>
        <w:t xml:space="preserve">[To be completed by the program administrator — specify whether prescriptions are shareable, any formulary restrictions, and maximum amounts.]</w:t>
      </w:r>
    </w:p>
    <w:p>
      <w:pPr>
        <w:pStyle w:val="Heading3"/>
        <w:spacing w:before="300" w:after="120"/>
      </w:pPr>
      <w:r>
        <w:rPr>
          <w:rFonts w:ascii="Calibri" w:cs="Calibri" w:eastAsia="Calibri" w:hAnsi="Calibri"/>
          <w:b/>
          <w:bCs/>
          <w:i w:val="false"/>
          <w:iCs w:val="false"/>
          <w:color w:val="1a56db"/>
          <w:sz w:val="22"/>
          <w:szCs w:val="22"/>
        </w:rPr>
        <w:t xml:space="preserve">Membership Eligibility Requirements</w:t>
      </w:r>
    </w:p>
    <w:p>
      <w:pPr>
        <w:spacing w:after="120"/>
      </w:pPr>
      <w:r>
        <w:rPr>
          <w:rFonts w:ascii="Calibri" w:cs="Calibri" w:eastAsia="Calibri" w:hAnsi="Calibri"/>
          <w:b w:val="false"/>
          <w:bCs w:val="false"/>
          <w:i/>
          <w:iCs/>
          <w:color w:val="b91c1c"/>
          <w:sz w:val="22"/>
          <w:szCs w:val="22"/>
        </w:rPr>
        <w:t xml:space="preserve">[To be completed by the program administrator — specify age limits, geographic restrictions, health attestation requirements, and any exclusion criteria.]</w:t>
      </w:r>
    </w:p>
    <w:p>
      <w:pPr>
        <w:spacing w:after="120"/>
      </w:pPr>
      <w:r>
        <w:rPr>
          <w:rFonts w:ascii="Calibri" w:cs="Calibri" w:eastAsia="Calibri" w:hAnsi="Calibri"/>
          <w:b/>
          <w:bCs/>
          <w:i w:val="false"/>
          <w:iCs w:val="false"/>
          <w:color w:val="1f2937"/>
          <w:sz w:val="22"/>
          <w:szCs w:val="22"/>
        </w:rPr>
        <w:t xml:space="preserve">Note to Program Administrator: </w:t>
      </w:r>
      <w:r>
        <w:rPr>
          <w:rFonts w:ascii="Calibri" w:cs="Calibri" w:eastAsia="Calibri" w:hAnsi="Calibri"/>
          <w:b w:val="false"/>
          <w:bCs w:val="false"/>
          <w:i w:val="false"/>
          <w:iCs w:val="false"/>
          <w:color w:val="1f2937"/>
          <w:sz w:val="22"/>
          <w:szCs w:val="22"/>
        </w:rPr>
        <w:t xml:space="preserve">The bracketed items above must be completed with your specific program rules before submission to the actuary. The actuary requires this information because utilization behavior is directly influenced by benefit design — they price the behavior a plan encourages.</w:t>
      </w:r>
    </w:p>
    <w:p>
      <w:pPr>
        <w:pBdr>
          <w:bottom w:val="single" w:color="cccccc" w:sz="1"/>
        </w:pBdr>
        <w:spacing w:before="200" w:after="200"/>
      </w:pPr>
      <w:r>
        <w:rPr>
          <w:rFonts w:ascii="Calibri" w:cs="Calibri" w:eastAsia="Calibri" w:hAnsi="Calibri"/>
          <w:b w:val="false"/>
          <w:bCs w:val="false"/>
          <w:i w:val="false"/>
          <w:iCs w:val="false"/>
          <w:color w:val="1f2937"/>
          <w:sz w:val="22"/>
          <w:szCs w:val="22"/>
        </w:rPr>
        <w:t xml:space="preserve"/>
      </w:r>
    </w:p>
    <w:p>
      <w:pPr>
        <w:pStyle w:val="Heading1"/>
        <w:spacing w:before="300" w:after="120"/>
      </w:pPr>
      <w:r>
        <w:rPr>
          <w:rFonts w:ascii="Calibri" w:cs="Calibri" w:eastAsia="Calibri" w:hAnsi="Calibri"/>
          <w:b/>
          <w:bCs/>
          <w:i w:val="false"/>
          <w:iCs w:val="false"/>
          <w:color w:val="1a56db"/>
          <w:sz w:val="32"/>
          <w:szCs w:val="32"/>
        </w:rPr>
        <w:t xml:space="preserve">Part 7: What Happens Next</w:t>
      </w:r>
    </w:p>
    <w:p>
      <w:pPr>
        <w:spacing w:after="120"/>
      </w:pPr>
      <w:r>
        <w:rPr>
          <w:rFonts w:ascii="Calibri" w:cs="Calibri" w:eastAsia="Calibri" w:hAnsi="Calibri"/>
          <w:b w:val="false"/>
          <w:bCs w:val="false"/>
          <w:i w:val="false"/>
          <w:iCs w:val="false"/>
          <w:color w:val="1f2937"/>
          <w:sz w:val="22"/>
          <w:szCs w:val="22"/>
        </w:rPr>
        <w:t xml:space="preserve">Upon receiving this package with the accompanying CSV exports, the actuarial firm will typically:</w:t>
      </w:r>
    </w:p>
    <w:p>
      <w:pPr>
        <w:spacing w:after="120"/>
      </w:pPr>
      <w:r>
        <w:rPr>
          <w:rFonts w:ascii="Calibri" w:cs="Calibri" w:eastAsia="Calibri" w:hAnsi="Calibri"/>
          <w:b w:val="false"/>
          <w:bCs w:val="false"/>
          <w:i w:val="false"/>
          <w:iCs w:val="false"/>
          <w:color w:val="1f2937"/>
          <w:sz w:val="22"/>
          <w:szCs w:val="22"/>
        </w:rPr>
        <w:t xml:space="preserve">1. Validate dataset structure and credibility of exposure data</w:t>
      </w:r>
    </w:p>
    <w:p>
      <w:pPr>
        <w:spacing w:after="120"/>
      </w:pPr>
      <w:r>
        <w:rPr>
          <w:rFonts w:ascii="Calibri" w:cs="Calibri" w:eastAsia="Calibri" w:hAnsi="Calibri"/>
          <w:b w:val="false"/>
          <w:bCs w:val="false"/>
          <w:i w:val="false"/>
          <w:iCs w:val="false"/>
          <w:color w:val="1f2937"/>
          <w:sz w:val="22"/>
          <w:szCs w:val="22"/>
        </w:rPr>
        <w:t xml:space="preserve">2. Request CSV exports (available via one-click download from the admin panel)</w:t>
      </w:r>
    </w:p>
    <w:p>
      <w:pPr>
        <w:spacing w:after="120"/>
      </w:pPr>
      <w:r>
        <w:rPr>
          <w:rFonts w:ascii="Calibri" w:cs="Calibri" w:eastAsia="Calibri" w:hAnsi="Calibri"/>
          <w:b w:val="false"/>
          <w:bCs w:val="false"/>
          <w:i w:val="false"/>
          <w:iCs w:val="false"/>
          <w:color w:val="1f2937"/>
          <w:sz w:val="22"/>
          <w:szCs w:val="22"/>
        </w:rPr>
        <w:t xml:space="preserve">3. Run credibility analysis on the member-month exposure data</w:t>
      </w:r>
    </w:p>
    <w:p>
      <w:pPr>
        <w:spacing w:after="120"/>
      </w:pPr>
      <w:r>
        <w:rPr>
          <w:rFonts w:ascii="Calibri" w:cs="Calibri" w:eastAsia="Calibri" w:hAnsi="Calibri"/>
          <w:b w:val="false"/>
          <w:bCs w:val="false"/>
          <w:i w:val="false"/>
          <w:iCs w:val="false"/>
          <w:color w:val="1f2937"/>
          <w:sz w:val="22"/>
          <w:szCs w:val="22"/>
        </w:rPr>
        <w:t xml:space="preserve">4. Build a PMPM cost curve by age band and service month</w:t>
      </w:r>
    </w:p>
    <w:p>
      <w:pPr>
        <w:spacing w:after="120"/>
      </w:pPr>
      <w:r>
        <w:rPr>
          <w:rFonts w:ascii="Calibri" w:cs="Calibri" w:eastAsia="Calibri" w:hAnsi="Calibri"/>
          <w:b w:val="false"/>
          <w:bCs w:val="false"/>
          <w:i w:val="false"/>
          <w:iCs w:val="false"/>
          <w:color w:val="1f2937"/>
          <w:sz w:val="22"/>
          <w:szCs w:val="22"/>
        </w:rPr>
        <w:t xml:space="preserve">5. Compute completion factors from report and payment lag data</w:t>
      </w:r>
    </w:p>
    <w:p>
      <w:pPr>
        <w:spacing w:after="120"/>
      </w:pPr>
      <w:r>
        <w:rPr>
          <w:rFonts w:ascii="Calibri" w:cs="Calibri" w:eastAsia="Calibri" w:hAnsi="Calibri"/>
          <w:b w:val="false"/>
          <w:bCs w:val="false"/>
          <w:i w:val="false"/>
          <w:iCs w:val="false"/>
          <w:color w:val="1f2937"/>
          <w:sz w:val="22"/>
          <w:szCs w:val="22"/>
        </w:rPr>
        <w:t xml:space="preserve">6. Estimate expected loss ratio and trend</w:t>
      </w:r>
    </w:p>
    <w:p>
      <w:pPr>
        <w:spacing w:after="120"/>
      </w:pPr>
      <w:r>
        <w:rPr>
          <w:rFonts w:ascii="Calibri" w:cs="Calibri" w:eastAsia="Calibri" w:hAnsi="Calibri"/>
          <w:b w:val="false"/>
          <w:bCs w:val="false"/>
          <w:i w:val="false"/>
          <w:iCs w:val="false"/>
          <w:color w:val="1f2937"/>
          <w:sz w:val="22"/>
          <w:szCs w:val="22"/>
        </w:rPr>
        <w:t xml:space="preserve">7. Recommend contribution ranges by tier</w:t>
      </w:r>
    </w:p>
    <w:p>
      <w:pPr>
        <w:spacing w:after="120"/>
      </w:pPr>
      <w:r>
        <w:rPr>
          <w:rFonts w:ascii="Calibri" w:cs="Calibri" w:eastAsia="Calibri" w:hAnsi="Calibri"/>
          <w:b w:val="false"/>
          <w:bCs w:val="false"/>
          <w:i w:val="false"/>
          <w:iCs w:val="false"/>
          <w:color w:val="1f2937"/>
          <w:sz w:val="22"/>
          <w:szCs w:val="22"/>
        </w:rPr>
        <w:t xml:space="preserve">8. Recommend reserve levels (including IBNR)</w:t>
      </w:r>
    </w:p>
    <w:p>
      <w:pPr>
        <w:spacing w:after="120"/>
      </w:pPr>
      <w:r>
        <w:rPr>
          <w:rFonts w:ascii="Calibri" w:cs="Calibri" w:eastAsia="Calibri" w:hAnsi="Calibri"/>
          <w:b w:val="false"/>
          <w:bCs w:val="false"/>
          <w:i w:val="false"/>
          <w:iCs w:val="false"/>
          <w:color w:val="1f2937"/>
          <w:sz w:val="22"/>
          <w:szCs w:val="22"/>
        </w:rPr>
        <w:t xml:space="preserve">9. Recommend stop-loss attachment point</w:t>
      </w:r>
    </w:p>
    <w:p>
      <w:pPr>
        <w:spacing w:after="120"/>
      </w:pPr>
      <w:r>
        <w:rPr>
          <w:rFonts w:ascii="Calibri" w:cs="Calibri" w:eastAsia="Calibri" w:hAnsi="Calibri"/>
          <w:b w:val="false"/>
          <w:bCs w:val="false"/>
          <w:i w:val="false"/>
          <w:iCs w:val="false"/>
          <w:color w:val="1f2937"/>
          <w:sz w:val="22"/>
          <w:szCs w:val="22"/>
        </w:rPr>
        <w:t xml:space="preserve">10. Issue an Actuarial Memorandum</w:t>
      </w:r>
    </w:p>
    <w:p>
      <w:pPr>
        <w:spacing w:after="120"/>
      </w:pPr>
      <w:r>
        <w:rPr>
          <w:rFonts w:ascii="Calibri" w:cs="Calibri" w:eastAsia="Calibri" w:hAnsi="Calibri"/>
          <w:b w:val="false"/>
          <w:bCs w:val="false"/>
          <w:i w:val="false"/>
          <w:iCs w:val="false"/>
          <w:color w:val="1f2937"/>
          <w:sz w:val="22"/>
          <w:szCs w:val="22"/>
        </w:rPr>
        <w:t xml:space="preserve"/>
      </w:r>
    </w:p>
    <w:p>
      <w:pPr>
        <w:spacing w:after="120"/>
      </w:pPr>
      <w:r>
        <w:rPr>
          <w:rFonts w:ascii="Calibri" w:cs="Calibri" w:eastAsia="Calibri" w:hAnsi="Calibri"/>
          <w:b/>
          <w:bCs/>
          <w:i w:val="false"/>
          <w:iCs w:val="false"/>
          <w:color w:val="1f2937"/>
          <w:sz w:val="22"/>
          <w:szCs w:val="22"/>
        </w:rPr>
        <w:t xml:space="preserve">The Actuarial Memorandum enables:</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Onboarding new organizations to the platform</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Proving program sustainability to partners and regulators</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Negotiating reinsurance or stop-loss coverage</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Defending against regulatory scrutiny</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Attracting larger advisor groups and institutional partnerships</w:t>
      </w:r>
    </w:p>
    <w:p>
      <w:pPr>
        <w:pBdr>
          <w:bottom w:val="single" w:color="cccccc" w:sz="1"/>
        </w:pBdr>
        <w:spacing w:before="200" w:after="200"/>
      </w:pPr>
      <w:r>
        <w:rPr>
          <w:rFonts w:ascii="Calibri" w:cs="Calibri" w:eastAsia="Calibri" w:hAnsi="Calibri"/>
          <w:b w:val="false"/>
          <w:bCs w:val="false"/>
          <w:i w:val="false"/>
          <w:iCs w:val="false"/>
          <w:color w:val="1f2937"/>
          <w:sz w:val="22"/>
          <w:szCs w:val="22"/>
        </w:rPr>
        <w:t xml:space="preserve"/>
      </w:r>
    </w:p>
    <w:p>
      <w:pPr>
        <w:spacing w:after="120"/>
        <w:jc w:val="center"/>
      </w:pPr>
      <w:r>
        <w:rPr>
          <w:rFonts w:ascii="Calibri" w:cs="Calibri" w:eastAsia="Calibri" w:hAnsi="Calibri"/>
          <w:b w:val="false"/>
          <w:bCs w:val="false"/>
          <w:i/>
          <w:iCs/>
          <w:color w:val="6b7280"/>
          <w:sz w:val="22"/>
          <w:szCs w:val="22"/>
        </w:rPr>
        <w:t xml:space="preserve">End of Actuarial Data Submission Package v3.0</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jc w:val="center"/>
    </w:pPr>
    <w:r>
      <w:rPr>
        <w:rFonts w:ascii="Calibri" w:cs="Calibri" w:eastAsia="Calibri" w:hAnsi="Calibri"/>
        <w:b w:val="false"/>
        <w:bCs w:val="false"/>
        <w:i w:val="false"/>
        <w:iCs w:val="false"/>
        <w:color w:val="6b7280"/>
        <w:sz w:val="16"/>
        <w:szCs w:val="16"/>
      </w:rPr>
      <w:t xml:space="preserve">CONFIDENTIAL — For Actuarial Review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rFonts w:ascii="Calibri" w:cs="Calibri" w:eastAsia="Calibri" w:hAnsi="Calibri"/>
        <w:b w:val="false"/>
        <w:bCs w:val="false"/>
        <w:i w:val="false"/>
        <w:iCs w:val="false"/>
        <w:color w:val="6b7280"/>
        <w:sz w:val="16"/>
        <w:szCs w:val="16"/>
      </w:rPr>
      <w:t xml:space="preserve">Pay It Forward Health</w:t>
    </w:r>
    <w:r>
      <w:rPr>
        <w:rFonts w:ascii="Calibri" w:cs="Calibri" w:eastAsia="Calibri" w:hAnsi="Calibri"/>
        <w:b w:val="false"/>
        <w:bCs w:val="false"/>
        <w:i w:val="false"/>
        <w:iCs w:val="false"/>
        <w:color w:val="6b7280"/>
        <w:sz w:val="16"/>
        <w:szCs w:val="16"/>
      </w:rPr>
      <w:t xml:space="preserve">  |  Actuarial Submission Package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Actuarial Data Submission Package v3.0 — Pay It Forward Health</dc:title>
  <dc:creator>Pay It Forward Technologies EMS</dc:creator>
  <dc:description>De-identified actuarial experience data for funding review</dc:description>
  <cp:lastModifiedBy>Un-named</cp:lastModifiedBy>
  <cp:revision>1</cp:revision>
  <dcterms:created xsi:type="dcterms:W3CDTF">2026-02-20T00:11:59.727Z</dcterms:created>
  <dcterms:modified xsi:type="dcterms:W3CDTF">2026-02-20T00:11:59.728Z</dcterms:modified>
</cp:coreProperties>
</file>

<file path=docProps/custom.xml><?xml version="1.0" encoding="utf-8"?>
<Properties xmlns="http://schemas.openxmlformats.org/officeDocument/2006/custom-properties" xmlns:vt="http://schemas.openxmlformats.org/officeDocument/2006/docPropsVTypes"/>
</file>