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i w:val="false"/>
          <w:iCs w:val="false"/>
          <w:color w:val="1a56db"/>
          <w:sz w:val="48"/>
          <w:szCs w:val="48"/>
        </w:rPr>
        <w:t xml:space="preserve">Pay It Forward Health</w:t>
      </w:r>
    </w:p>
    <w:p>
      <w:pPr>
        <w:spacing w:after="120"/>
        <w:jc w:val="center"/>
      </w:pPr>
      <w:r>
        <w:rPr>
          <w:rFonts w:ascii="Calibri" w:cs="Calibri" w:eastAsia="Calibri" w:hAnsi="Calibri"/>
          <w:b/>
          <w:bCs/>
          <w:i w:val="false"/>
          <w:iCs w:val="false"/>
          <w:color w:val="1f2937"/>
          <w:sz w:val="36"/>
          <w:szCs w:val="36"/>
        </w:rPr>
        <w:t xml:space="preserve">De-Identified Group Demographics:</w:t>
      </w:r>
    </w:p>
    <w:p>
      <w:pPr>
        <w:spacing w:after="120"/>
        <w:jc w:val="center"/>
      </w:pPr>
      <w:r>
        <w:rPr>
          <w:rFonts w:ascii="Calibri" w:cs="Calibri" w:eastAsia="Calibri" w:hAnsi="Calibri"/>
          <w:b/>
          <w:bCs/>
          <w:i w:val="false"/>
          <w:iCs w:val="false"/>
          <w:color w:val="1f2937"/>
          <w:sz w:val="36"/>
          <w:szCs w:val="36"/>
        </w:rPr>
        <w:t xml:space="preserve">Technical &amp; Compliance Report</w:t>
      </w:r>
    </w:p>
    <w:p>
      <w:pPr>
        <w:spacing w:before="600"/>
      </w:pPr>
    </w:p>
    <w:p>
      <w:pPr>
        <w:spacing w:after="120"/>
        <w:jc w:val="center"/>
      </w:pPr>
      <w:r>
        <w:rPr>
          <w:rFonts w:ascii="Calibri" w:cs="Calibri" w:eastAsia="Calibri" w:hAnsi="Calibri"/>
          <w:b w:val="false"/>
          <w:bCs w:val="false"/>
          <w:i w:val="false"/>
          <w:iCs w:val="false"/>
          <w:color w:val="6b7280"/>
          <w:sz w:val="24"/>
          <w:szCs w:val="24"/>
        </w:rPr>
        <w:t xml:space="preserve">Prepared for: Compliance &amp; Actuarial Review</w:t>
      </w:r>
    </w:p>
    <w:p>
      <w:pPr>
        <w:spacing w:after="120"/>
        <w:jc w:val="center"/>
      </w:pPr>
      <w:r>
        <w:rPr>
          <w:rFonts w:ascii="Calibri" w:cs="Calibri" w:eastAsia="Calibri" w:hAnsi="Calibri"/>
          <w:b w:val="false"/>
          <w:bCs w:val="false"/>
          <w:i w:val="false"/>
          <w:iCs w:val="false"/>
          <w:color w:val="6b7280"/>
          <w:sz w:val="24"/>
          <w:szCs w:val="24"/>
        </w:rPr>
        <w:t xml:space="preserve">Platform: Pay It Forward Technologies EMS</w:t>
      </w:r>
    </w:p>
    <w:p>
      <w:pPr>
        <w:spacing w:after="120"/>
        <w:jc w:val="center"/>
      </w:pPr>
      <w:r>
        <w:rPr>
          <w:rFonts w:ascii="Calibri" w:cs="Calibri" w:eastAsia="Calibri" w:hAnsi="Calibri"/>
          <w:b w:val="false"/>
          <w:bCs w:val="false"/>
          <w:i w:val="false"/>
          <w:iCs w:val="false"/>
          <w:color w:val="6b7280"/>
          <w:sz w:val="24"/>
          <w:szCs w:val="24"/>
        </w:rPr>
        <w:t xml:space="preserve">Date: February 19, 2026</w:t>
      </w:r>
    </w:p>
    <w:p>
      <w:pPr>
        <w:spacing w:after="120"/>
        <w:jc w:val="center"/>
      </w:pPr>
      <w:r>
        <w:rPr>
          <w:rFonts w:ascii="Calibri" w:cs="Calibri" w:eastAsia="Calibri" w:hAnsi="Calibri"/>
          <w:b w:val="false"/>
          <w:bCs w:val="false"/>
          <w:i w:val="false"/>
          <w:iCs w:val="false"/>
          <w:color w:val="6b7280"/>
          <w:sz w:val="24"/>
          <w:szCs w:val="24"/>
        </w:rPr>
        <w:t xml:space="preserve">Version 1.0</w:t>
      </w:r>
    </w:p>
    <w:p>
      <w:pPr>
        <w:spacing w:before="1200"/>
      </w:pPr>
    </w:p>
    <w:p>
      <w:pPr>
        <w:spacing w:after="120"/>
        <w:jc w:val="both"/>
      </w:pPr>
      <w:r>
        <w:rPr>
          <w:rFonts w:ascii="Calibri" w:cs="Calibri" w:eastAsia="Calibri" w:hAnsi="Calibri"/>
          <w:b w:val="false"/>
          <w:bCs w:val="false"/>
          <w:i w:val="false"/>
          <w:iCs w:val="false"/>
          <w:color w:val="1f2937"/>
          <w:sz w:val="22"/>
          <w:szCs w:val="22"/>
        </w:rPr>
        <w:t xml:space="preserve">This report presents de-identified, aggregate demographic and contribution data extracted from actual program enrollment records on the Pay It Forward Technologies EMS platform. All figures in this report are derived directly from program records. </w:t>
      </w:r>
      <w:r>
        <w:rPr>
          <w:rFonts w:ascii="Calibri" w:cs="Calibri" w:eastAsia="Calibri" w:hAnsi="Calibri"/>
          <w:b/>
          <w:bCs/>
          <w:i w:val="false"/>
          <w:iCs w:val="false"/>
          <w:color w:val="1f2937"/>
          <w:sz w:val="22"/>
          <w:szCs w:val="22"/>
        </w:rPr>
        <w:t xml:space="preserve">No individually identifiable health information is contained in this report.</w:t>
      </w:r>
      <w:r>
        <w:rPr>
          <w:rFonts w:ascii="Calibri" w:cs="Calibri" w:eastAsia="Calibri" w:hAnsi="Calibri"/>
          <w:b w:val="false"/>
          <w:bCs w:val="false"/>
          <w:i w:val="false"/>
          <w:iCs w:val="false"/>
          <w:color w:val="1f2937"/>
          <w:sz w:val="22"/>
          <w:szCs w:val="22"/>
        </w:rPr>
        <w:t xml:space="preserve"> The de-identification methodology enforced at the database layer ensures that only aggregated statistics are returned, consistent with HIPAA de-identification standards under 45 CFR 164.514.</w:t>
      </w:r>
    </w:p>
    <w:p>
      <w:r>
        <w:br w:type="page"/>
      </w:r>
    </w:p>
    <w:p>
      <w:pPr>
        <w:pStyle w:val="Heading1"/>
        <w:spacing w:before="300" w:after="120"/>
      </w:pPr>
      <w:r>
        <w:rPr>
          <w:rFonts w:ascii="Calibri" w:cs="Calibri" w:eastAsia="Calibri" w:hAnsi="Calibri"/>
          <w:b/>
          <w:bCs/>
          <w:i w:val="false"/>
          <w:iCs w:val="false"/>
          <w:color w:val="1a56db"/>
          <w:sz w:val="32"/>
          <w:szCs w:val="32"/>
        </w:rPr>
        <w:t xml:space="preserve">Section 1: Executive Summary</w:t>
      </w:r>
    </w:p>
    <w:p>
      <w:pPr>
        <w:spacing w:after="120"/>
      </w:pPr>
      <w:r>
        <w:rPr>
          <w:rFonts w:ascii="Calibri" w:cs="Calibri" w:eastAsia="Calibri" w:hAnsi="Calibri"/>
          <w:b w:val="false"/>
          <w:bCs w:val="false"/>
          <w:i w:val="false"/>
          <w:iCs w:val="false"/>
          <w:color w:val="1f2937"/>
          <w:sz w:val="22"/>
          <w:szCs w:val="22"/>
        </w:rPr>
        <w:t xml:space="preserve">This report provides a comprehensive view of the Pay It Forward HealthShare program’s de-identified group demographics, financial experience, and utilization patterns. All data is produced by aggregation-only database functions that enforce de-identification at the query layer. No individual member records are ever returned or accessible through the reporting interface.</w:t>
      </w:r>
    </w:p>
    <w:p>
      <w:pPr>
        <w:spacing w:before="120"/>
      </w:pPr>
    </w:p>
    <w:p>
      <w:pPr>
        <w:pStyle w:val="Heading2"/>
        <w:spacing w:before="300" w:after="120"/>
      </w:pPr>
      <w:r>
        <w:rPr>
          <w:rFonts w:ascii="Calibri" w:cs="Calibri" w:eastAsia="Calibri" w:hAnsi="Calibri"/>
          <w:b/>
          <w:bCs/>
          <w:i w:val="false"/>
          <w:iCs w:val="false"/>
          <w:color w:val="1a56db"/>
          <w:sz w:val="26"/>
          <w:szCs w:val="26"/>
        </w:rPr>
        <w:t xml:space="preserve">Key Program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1a56db" w:val="solid"/>
          </w:tcPr>
          <w:p>
            <w:pPr>
              <w:spacing w:after="0"/>
            </w:pPr>
            <w:r>
              <w:rPr>
                <w:rFonts w:ascii="Calibri" w:cs="Calibri" w:eastAsia="Calibri" w:hAnsi="Calibri"/>
                <w:b/>
                <w:bCs/>
                <w:i w:val="false"/>
                <w:iCs w:val="false"/>
                <w:color w:val="ffffff"/>
                <w:sz w:val="20"/>
                <w:szCs w:val="20"/>
              </w:rPr>
              <w:t xml:space="preserve">Metric</w:t>
            </w:r>
          </w:p>
        </w:tc>
        <w:tc>
          <w:tcPr>
            <w:tcW w:type="dxa" w:w="4500"/>
            <w:shd w:color="1a56db" w:val="solid"/>
          </w:tcPr>
          <w:p>
            <w:pPr>
              <w:spacing w:after="0"/>
            </w:pPr>
            <w:r>
              <w:rPr>
                <w:rFonts w:ascii="Calibri" w:cs="Calibri" w:eastAsia="Calibri" w:hAnsi="Calibri"/>
                <w:b/>
                <w:bCs/>
                <w:i w:val="false"/>
                <w:iCs w:val="false"/>
                <w:color w:val="ffffff"/>
                <w:sz w:val="20"/>
                <w:szCs w:val="20"/>
              </w:rPr>
              <w:t xml:space="preserve">Value</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Members (All-Time)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4,416</w:t>
            </w:r>
          </w:p>
        </w:tc>
      </w:tr>
      <w:tr>
        <w:tc>
          <w:p>
            <w:pPr>
              <w:spacing w:after="0"/>
            </w:pPr>
            <w:r>
              <w:rPr>
                <w:rFonts w:ascii="Calibri" w:cs="Calibri" w:eastAsia="Calibri" w:hAnsi="Calibri"/>
                <w:b w:val="false"/>
                <w:bCs w:val="false"/>
                <w:i w:val="false"/>
                <w:iCs w:val="false"/>
                <w:color w:val="1f2937"/>
                <w:sz w:val="18"/>
                <w:szCs w:val="18"/>
              </w:rPr>
              <w:t xml:space="preserve">Active HS Members (Current)</w:t>
            </w:r>
          </w:p>
        </w:tc>
        <w:tc>
          <w:p>
            <w:pPr>
              <w:spacing w:after="0"/>
            </w:pPr>
            <w:r>
              <w:rPr>
                <w:rFonts w:ascii="Calibri" w:cs="Calibri" w:eastAsia="Calibri" w:hAnsi="Calibri"/>
                <w:b w:val="false"/>
                <w:bCs w:val="false"/>
                <w:i w:val="false"/>
                <w:iCs w:val="false"/>
                <w:color w:val="1f2937"/>
                <w:sz w:val="18"/>
                <w:szCs w:val="18"/>
              </w:rPr>
              <w:t xml:space="preserve">1,090</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Unique Products / Plans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65</w:t>
            </w:r>
          </w:p>
        </w:tc>
      </w:tr>
      <w:tr>
        <w:tc>
          <w:p>
            <w:pPr>
              <w:spacing w:after="0"/>
            </w:pPr>
            <w:r>
              <w:rPr>
                <w:rFonts w:ascii="Calibri" w:cs="Calibri" w:eastAsia="Calibri" w:hAnsi="Calibri"/>
                <w:b w:val="false"/>
                <w:bCs w:val="false"/>
                <w:i w:val="false"/>
                <w:iCs w:val="false"/>
                <w:color w:val="1f2937"/>
                <w:sz w:val="18"/>
                <w:szCs w:val="18"/>
              </w:rPr>
              <w:t xml:space="preserve">Age Bands</w:t>
            </w:r>
          </w:p>
        </w:tc>
        <w:tc>
          <w:p>
            <w:pPr>
              <w:spacing w:after="0"/>
            </w:pPr>
            <w:r>
              <w:rPr>
                <w:rFonts w:ascii="Calibri" w:cs="Calibri" w:eastAsia="Calibri" w:hAnsi="Calibri"/>
                <w:b w:val="false"/>
                <w:bCs w:val="false"/>
                <w:i w:val="false"/>
                <w:iCs w:val="false"/>
                <w:color w:val="1f2937"/>
                <w:sz w:val="18"/>
                <w:szCs w:val="18"/>
              </w:rPr>
              <w:t xml:space="preserve">7 (0–17, 18–25, 26–35, 36–45, 46–55, 56–64, 65+)</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States Represented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67</w:t>
            </w:r>
          </w:p>
        </w:tc>
      </w:tr>
      <w:tr>
        <w:tc>
          <w:p>
            <w:pPr>
              <w:spacing w:after="0"/>
            </w:pPr>
            <w:r>
              <w:rPr>
                <w:rFonts w:ascii="Calibri" w:cs="Calibri" w:eastAsia="Calibri" w:hAnsi="Calibri"/>
                <w:b w:val="false"/>
                <w:bCs w:val="false"/>
                <w:i w:val="false"/>
                <w:iCs w:val="false"/>
                <w:color w:val="1f2937"/>
                <w:sz w:val="18"/>
                <w:szCs w:val="18"/>
              </w:rPr>
              <w:t xml:space="preserve">Mean Monthly Contribution</w:t>
            </w:r>
          </w:p>
        </w:tc>
        <w:tc>
          <w:p>
            <w:pPr>
              <w:spacing w:after="0"/>
            </w:pPr>
            <w:r>
              <w:rPr>
                <w:rFonts w:ascii="Calibri" w:cs="Calibri" w:eastAsia="Calibri" w:hAnsi="Calibri"/>
                <w:b w:val="false"/>
                <w:bCs w:val="false"/>
                <w:i w:val="false"/>
                <w:iCs w:val="false"/>
                <w:color w:val="1f2937"/>
                <w:sz w:val="18"/>
                <w:szCs w:val="18"/>
              </w:rPr>
              <w:t xml:space="preserve">$435.80</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Median Monthly Contribution</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$350.00</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Section 2: De-Identification Methodology</w:t>
      </w:r>
    </w:p>
    <w:p>
      <w:pPr>
        <w:spacing w:after="120"/>
      </w:pPr>
      <w:r>
        <w:rPr>
          <w:rFonts w:ascii="Calibri" w:cs="Calibri" w:eastAsia="Calibri" w:hAnsi="Calibri"/>
          <w:b w:val="false"/>
          <w:bCs w:val="false"/>
          <w:i w:val="false"/>
          <w:iCs w:val="false"/>
          <w:color w:val="1f2937"/>
          <w:sz w:val="22"/>
          <w:szCs w:val="22"/>
        </w:rPr>
        <w:t xml:space="preserve">The Pay It Forward Technologies EMS platform enforces de-identification at the database layer using PostgreSQL SECURITY DEFINER functions. The application layer never has access to individual-level records. This architecture eliminates the risk of accidental PHI exposure in reporting, analytics, and actuarial data exports.</w:t>
      </w:r>
    </w:p>
    <w:p>
      <w:pPr>
        <w:pStyle w:val="Heading2"/>
        <w:spacing w:before="300" w:after="120"/>
      </w:pPr>
      <w:r>
        <w:rPr>
          <w:rFonts w:ascii="Calibri" w:cs="Calibri" w:eastAsia="Calibri" w:hAnsi="Calibri"/>
          <w:b/>
          <w:bCs/>
          <w:i w:val="false"/>
          <w:iCs w:val="false"/>
          <w:color w:val="1a56db"/>
          <w:sz w:val="26"/>
          <w:szCs w:val="26"/>
        </w:rPr>
        <w:t xml:space="preserve">Database-Level Enforcement</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All reporting functions are declared as SECURITY DEFINER with SET search_path = public</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Functions validate caller authentication and organization membership before execution</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Only aggregated SQL operations are used: COUNT(*), SUM(), AVG(), PERCENTILE_CONT()</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No SELECT * or individual row access is permitted in reporting functions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Cross-tenant isolation prevents one organization from accessing another’s data</w:t>
      </w:r>
    </w:p>
    <w:p>
      <w:pPr>
        <w:pStyle w:val="Heading2"/>
        <w:spacing w:before="300" w:after="120"/>
      </w:pPr>
      <w:r>
        <w:rPr>
          <w:rFonts w:ascii="Calibri" w:cs="Calibri" w:eastAsia="Calibri" w:hAnsi="Calibri"/>
          <w:b/>
          <w:bCs/>
          <w:i w:val="false"/>
          <w:iCs w:val="false"/>
          <w:color w:val="1a56db"/>
          <w:sz w:val="26"/>
          <w:szCs w:val="26"/>
        </w:rPr>
        <w:t xml:space="preserve">Small-Group Suppression</w:t>
      </w:r>
    </w:p>
    <w:p>
      <w:pPr>
        <w:spacing w:after="120"/>
      </w:pPr>
      <w:r>
        <w:rPr>
          <w:rFonts w:ascii="Calibri" w:cs="Calibri" w:eastAsia="Calibri" w:hAnsi="Calibri"/>
          <w:b w:val="false"/>
          <w:bCs w:val="false"/>
          <w:i w:val="false"/>
          <w:iCs w:val="false"/>
          <w:color w:val="1f2937"/>
          <w:sz w:val="22"/>
          <w:szCs w:val="22"/>
        </w:rPr>
        <w:t xml:space="preserve">Any aggregated category with fewer than 5 individuals returns a suppressed value (displayed as "&lt; 5") to prevent re-identification in small populations. This applies to all demographic breakdowns, geographic distributions, and utilization categories.</w:t>
      </w:r>
    </w:p>
    <w:p>
      <w:pPr>
        <w:pStyle w:val="Heading2"/>
        <w:spacing w:before="300" w:after="120"/>
      </w:pPr>
      <w:r>
        <w:rPr>
          <w:rFonts w:ascii="Calibri" w:cs="Calibri" w:eastAsia="Calibri" w:hAnsi="Calibri"/>
          <w:b/>
          <w:bCs/>
          <w:i w:val="false"/>
          <w:iCs w:val="false"/>
          <w:color w:val="1a56db"/>
          <w:sz w:val="26"/>
          <w:szCs w:val="26"/>
        </w:rPr>
        <w:t xml:space="preserve">HIPAA Safe Harbor: 18 Identifiers</w:t>
      </w:r>
    </w:p>
    <w:p>
      <w:pPr>
        <w:spacing w:after="120"/>
      </w:pPr>
      <w:r>
        <w:rPr>
          <w:rFonts w:ascii="Calibri" w:cs="Calibri" w:eastAsia="Calibri" w:hAnsi="Calibri"/>
          <w:b w:val="false"/>
          <w:bCs w:val="false"/>
          <w:i w:val="false"/>
          <w:iCs w:val="false"/>
          <w:color w:val="1f2937"/>
          <w:sz w:val="22"/>
          <w:szCs w:val="22"/>
        </w:rPr>
        <w:t xml:space="preserve">The following table enumerates all 18 HIPAA identifiers and how each is handled by the platform’s de-identification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HIPAA Identifier</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Handling Method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Names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Excluded — never returned in any reporting function</w:t>
            </w:r>
          </w:p>
        </w:tc>
      </w:tr>
      <w:tr>
        <w:tc>
          <w:p>
            <w:pPr>
              <w:spacing w:after="0"/>
            </w:pPr>
            <w:r>
              <w:rPr>
                <w:rFonts w:ascii="Calibri" w:cs="Calibri" w:eastAsia="Calibri" w:hAnsi="Calibri"/>
                <w:b w:val="false"/>
                <w:bCs w:val="false"/>
                <w:i w:val="false"/>
                <w:iCs w:val="false"/>
                <w:color w:val="1f2937"/>
                <w:sz w:val="18"/>
                <w:szCs w:val="18"/>
              </w:rPr>
              <w:t xml:space="preserve">2</w:t>
            </w:r>
          </w:p>
        </w:tc>
        <w:tc>
          <w:p>
            <w:pPr>
              <w:spacing w:after="0"/>
            </w:pPr>
            <w:r>
              <w:rPr>
                <w:rFonts w:ascii="Calibri" w:cs="Calibri" w:eastAsia="Calibri" w:hAnsi="Calibri"/>
                <w:b w:val="false"/>
                <w:bCs w:val="false"/>
                <w:i w:val="false"/>
                <w:iCs w:val="false"/>
                <w:color w:val="1f2937"/>
                <w:sz w:val="18"/>
                <w:szCs w:val="18"/>
              </w:rPr>
              <w:t xml:space="preserve">Geographic data (below state)</w:t>
            </w:r>
          </w:p>
        </w:tc>
        <w:tc>
          <w:p>
            <w:pPr>
              <w:spacing w:after="0"/>
            </w:pPr>
            <w:r>
              <w:rPr>
                <w:rFonts w:ascii="Calibri" w:cs="Calibri" w:eastAsia="Calibri" w:hAnsi="Calibri"/>
                <w:b w:val="false"/>
                <w:bCs w:val="false"/>
                <w:i w:val="false"/>
                <w:iCs w:val="false"/>
                <w:color w:val="1f2937"/>
                <w:sz w:val="18"/>
                <w:szCs w:val="18"/>
              </w:rPr>
              <w:t xml:space="preserve">Excluded — only state-level aggregation is returned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3</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Dates (except year)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Excluded — only month/year periods returned; no exact dates</w:t>
            </w:r>
          </w:p>
        </w:tc>
      </w:tr>
      <w:tr>
        <w:tc>
          <w:p>
            <w:pPr>
              <w:spacing w:after="0"/>
            </w:pPr>
            <w:r>
              <w:rPr>
                <w:rFonts w:ascii="Calibri" w:cs="Calibri" w:eastAsia="Calibri" w:hAnsi="Calibri"/>
                <w:b w:val="false"/>
                <w:bCs w:val="false"/>
                <w:i w:val="false"/>
                <w:iCs w:val="false"/>
                <w:color w:val="1f2937"/>
                <w:sz w:val="18"/>
                <w:szCs w:val="18"/>
              </w:rPr>
              <w:t xml:space="preserve">4</w:t>
            </w:r>
          </w:p>
        </w:tc>
        <w:tc>
          <w:p>
            <w:pPr>
              <w:spacing w:after="0"/>
            </w:pPr>
            <w:r>
              <w:rPr>
                <w:rFonts w:ascii="Calibri" w:cs="Calibri" w:eastAsia="Calibri" w:hAnsi="Calibri"/>
                <w:b w:val="false"/>
                <w:bCs w:val="false"/>
                <w:i w:val="false"/>
                <w:iCs w:val="false"/>
                <w:color w:val="1f2937"/>
                <w:sz w:val="18"/>
                <w:szCs w:val="18"/>
              </w:rPr>
              <w:t xml:space="preserve">Telephone numbers</w:t>
            </w:r>
          </w:p>
        </w:tc>
        <w:tc>
          <w:p>
            <w:pPr>
              <w:spacing w:after="0"/>
            </w:pPr>
            <w:r>
              <w:rPr>
                <w:rFonts w:ascii="Calibri" w:cs="Calibri" w:eastAsia="Calibri" w:hAnsi="Calibri"/>
                <w:b w:val="false"/>
                <w:bCs w:val="false"/>
                <w:i w:val="false"/>
                <w:iCs w:val="false"/>
                <w:color w:val="1f2937"/>
                <w:sz w:val="18"/>
                <w:szCs w:val="18"/>
              </w:rPr>
              <w:t xml:space="preserve">Excluded — not included in reporting queries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Fax numbers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Not collected by the platform</w:t>
            </w:r>
          </w:p>
        </w:tc>
      </w:tr>
      <w:tr>
        <w:tc>
          <w:p>
            <w:pPr>
              <w:spacing w:after="0"/>
            </w:pPr>
            <w:r>
              <w:rPr>
                <w:rFonts w:ascii="Calibri" w:cs="Calibri" w:eastAsia="Calibri" w:hAnsi="Calibri"/>
                <w:b w:val="false"/>
                <w:bCs w:val="false"/>
                <w:i w:val="false"/>
                <w:iCs w:val="false"/>
                <w:color w:val="1f2937"/>
                <w:sz w:val="18"/>
                <w:szCs w:val="18"/>
              </w:rPr>
              <w:t xml:space="preserve">6</w:t>
            </w:r>
          </w:p>
        </w:tc>
        <w:tc>
          <w:p>
            <w:pPr>
              <w:spacing w:after="0"/>
            </w:pPr>
            <w:r>
              <w:rPr>
                <w:rFonts w:ascii="Calibri" w:cs="Calibri" w:eastAsia="Calibri" w:hAnsi="Calibri"/>
                <w:b w:val="false"/>
                <w:bCs w:val="false"/>
                <w:i w:val="false"/>
                <w:iCs w:val="false"/>
                <w:color w:val="1f2937"/>
                <w:sz w:val="18"/>
                <w:szCs w:val="18"/>
              </w:rPr>
              <w:t xml:space="preserve">Email addresses</w:t>
            </w:r>
          </w:p>
        </w:tc>
        <w:tc>
          <w:p>
            <w:pPr>
              <w:spacing w:after="0"/>
            </w:pPr>
            <w:r>
              <w:rPr>
                <w:rFonts w:ascii="Calibri" w:cs="Calibri" w:eastAsia="Calibri" w:hAnsi="Calibri"/>
                <w:b w:val="false"/>
                <w:bCs w:val="false"/>
                <w:i w:val="false"/>
                <w:iCs w:val="false"/>
                <w:color w:val="1f2937"/>
                <w:sz w:val="18"/>
                <w:szCs w:val="18"/>
              </w:rPr>
              <w:t xml:space="preserve">Excluded — not included in reporting queries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Social Security numbers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Not collected by the platform</w:t>
            </w:r>
          </w:p>
        </w:tc>
      </w:tr>
      <w:tr>
        <w:tc>
          <w:p>
            <w:pPr>
              <w:spacing w:after="0"/>
            </w:pPr>
            <w:r>
              <w:rPr>
                <w:rFonts w:ascii="Calibri" w:cs="Calibri" w:eastAsia="Calibri" w:hAnsi="Calibri"/>
                <w:b w:val="false"/>
                <w:bCs w:val="false"/>
                <w:i w:val="false"/>
                <w:iCs w:val="false"/>
                <w:color w:val="1f2937"/>
                <w:sz w:val="18"/>
                <w:szCs w:val="18"/>
              </w:rPr>
              <w:t xml:space="preserve">8</w:t>
            </w:r>
          </w:p>
        </w:tc>
        <w:tc>
          <w:p>
            <w:pPr>
              <w:spacing w:after="0"/>
            </w:pPr>
            <w:r>
              <w:rPr>
                <w:rFonts w:ascii="Calibri" w:cs="Calibri" w:eastAsia="Calibri" w:hAnsi="Calibri"/>
                <w:b w:val="false"/>
                <w:bCs w:val="false"/>
                <w:i w:val="false"/>
                <w:iCs w:val="false"/>
                <w:color w:val="1f2937"/>
                <w:sz w:val="18"/>
                <w:szCs w:val="18"/>
              </w:rPr>
              <w:t xml:space="preserve">Medical record numbers</w:t>
            </w:r>
          </w:p>
        </w:tc>
        <w:tc>
          <w:p>
            <w:pPr>
              <w:spacing w:after="0"/>
            </w:pPr>
            <w:r>
              <w:rPr>
                <w:rFonts w:ascii="Calibri" w:cs="Calibri" w:eastAsia="Calibri" w:hAnsi="Calibri"/>
                <w:b w:val="false"/>
                <w:bCs w:val="false"/>
                <w:i w:val="false"/>
                <w:iCs w:val="false"/>
                <w:color w:val="1f2937"/>
                <w:sz w:val="18"/>
                <w:szCs w:val="18"/>
              </w:rPr>
              <w:t xml:space="preserve">Excluded — internal IDs never exposed in reporting</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Health plan beneficiary numbers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Excluded — member IDs never returned in aggregates</w:t>
            </w:r>
          </w:p>
        </w:tc>
      </w:tr>
      <w:tr>
        <w:tc>
          <w:p>
            <w:pPr>
              <w:spacing w:after="0"/>
            </w:pPr>
            <w:r>
              <w:rPr>
                <w:rFonts w:ascii="Calibri" w:cs="Calibri" w:eastAsia="Calibri" w:hAnsi="Calibri"/>
                <w:b w:val="false"/>
                <w:bCs w:val="false"/>
                <w:i w:val="false"/>
                <w:iCs w:val="false"/>
                <w:color w:val="1f2937"/>
                <w:sz w:val="18"/>
                <w:szCs w:val="18"/>
              </w:rPr>
              <w:t xml:space="preserve">10</w:t>
            </w:r>
          </w:p>
        </w:tc>
        <w:tc>
          <w:p>
            <w:pPr>
              <w:spacing w:after="0"/>
            </w:pPr>
            <w:r>
              <w:rPr>
                <w:rFonts w:ascii="Calibri" w:cs="Calibri" w:eastAsia="Calibri" w:hAnsi="Calibri"/>
                <w:b w:val="false"/>
                <w:bCs w:val="false"/>
                <w:i w:val="false"/>
                <w:iCs w:val="false"/>
                <w:color w:val="1f2937"/>
                <w:sz w:val="18"/>
                <w:szCs w:val="18"/>
              </w:rPr>
              <w:t xml:space="preserve">Account numbers</w:t>
            </w:r>
          </w:p>
        </w:tc>
        <w:tc>
          <w:p>
            <w:pPr>
              <w:spacing w:after="0"/>
            </w:pPr>
            <w:r>
              <w:rPr>
                <w:rFonts w:ascii="Calibri" w:cs="Calibri" w:eastAsia="Calibri" w:hAnsi="Calibri"/>
                <w:b w:val="false"/>
                <w:bCs w:val="false"/>
                <w:i w:val="false"/>
                <w:iCs w:val="false"/>
                <w:color w:val="1f2937"/>
                <w:sz w:val="18"/>
                <w:szCs w:val="18"/>
              </w:rPr>
              <w:t xml:space="preserve">Excluded — payment account data never in reporting layer</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11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Certificate/license numbers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Not collected by the platform</w:t>
            </w:r>
          </w:p>
        </w:tc>
      </w:tr>
      <w:tr>
        <w:tc>
          <w:p>
            <w:pPr>
              <w:spacing w:after="0"/>
            </w:pPr>
            <w:r>
              <w:rPr>
                <w:rFonts w:ascii="Calibri" w:cs="Calibri" w:eastAsia="Calibri" w:hAnsi="Calibri"/>
                <w:b w:val="false"/>
                <w:bCs w:val="false"/>
                <w:i w:val="false"/>
                <w:iCs w:val="false"/>
                <w:color w:val="1f2937"/>
                <w:sz w:val="18"/>
                <w:szCs w:val="18"/>
              </w:rPr>
              <w:t xml:space="preserve">12</w:t>
            </w:r>
          </w:p>
        </w:tc>
        <w:tc>
          <w:p>
            <w:pPr>
              <w:spacing w:after="0"/>
            </w:pPr>
            <w:r>
              <w:rPr>
                <w:rFonts w:ascii="Calibri" w:cs="Calibri" w:eastAsia="Calibri" w:hAnsi="Calibri"/>
                <w:b w:val="false"/>
                <w:bCs w:val="false"/>
                <w:i w:val="false"/>
                <w:iCs w:val="false"/>
                <w:color w:val="1f2937"/>
                <w:sz w:val="18"/>
                <w:szCs w:val="18"/>
              </w:rPr>
              <w:t xml:space="preserve">Vehicle identifiers</w:t>
            </w:r>
          </w:p>
        </w:tc>
        <w:tc>
          <w:p>
            <w:pPr>
              <w:spacing w:after="0"/>
            </w:pPr>
            <w:r>
              <w:rPr>
                <w:rFonts w:ascii="Calibri" w:cs="Calibri" w:eastAsia="Calibri" w:hAnsi="Calibri"/>
                <w:b w:val="false"/>
                <w:bCs w:val="false"/>
                <w:i w:val="false"/>
                <w:iCs w:val="false"/>
                <w:color w:val="1f2937"/>
                <w:sz w:val="18"/>
                <w:szCs w:val="18"/>
              </w:rPr>
              <w:t xml:space="preserve">Not collected by the platform</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13</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Device identifiers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Not collected by the platform</w:t>
            </w:r>
          </w:p>
        </w:tc>
      </w:tr>
      <w:tr>
        <w:tc>
          <w:p>
            <w:pPr>
              <w:spacing w:after="0"/>
            </w:pPr>
            <w:r>
              <w:rPr>
                <w:rFonts w:ascii="Calibri" w:cs="Calibri" w:eastAsia="Calibri" w:hAnsi="Calibri"/>
                <w:b w:val="false"/>
                <w:bCs w:val="false"/>
                <w:i w:val="false"/>
                <w:iCs w:val="false"/>
                <w:color w:val="1f2937"/>
                <w:sz w:val="18"/>
                <w:szCs w:val="18"/>
              </w:rPr>
              <w:t xml:space="preserve">14</w:t>
            </w:r>
          </w:p>
        </w:tc>
        <w:tc>
          <w:p>
            <w:pPr>
              <w:spacing w:after="0"/>
            </w:pPr>
            <w:r>
              <w:rPr>
                <w:rFonts w:ascii="Calibri" w:cs="Calibri" w:eastAsia="Calibri" w:hAnsi="Calibri"/>
                <w:b w:val="false"/>
                <w:bCs w:val="false"/>
                <w:i w:val="false"/>
                <w:iCs w:val="false"/>
                <w:color w:val="1f2937"/>
                <w:sz w:val="18"/>
                <w:szCs w:val="18"/>
              </w:rPr>
              <w:t xml:space="preserve">Web URLs</w:t>
            </w:r>
          </w:p>
        </w:tc>
        <w:tc>
          <w:p>
            <w:pPr>
              <w:spacing w:after="0"/>
            </w:pPr>
            <w:r>
              <w:rPr>
                <w:rFonts w:ascii="Calibri" w:cs="Calibri" w:eastAsia="Calibri" w:hAnsi="Calibri"/>
                <w:b w:val="false"/>
                <w:bCs w:val="false"/>
                <w:i w:val="false"/>
                <w:iCs w:val="false"/>
                <w:color w:val="1f2937"/>
                <w:sz w:val="18"/>
                <w:szCs w:val="18"/>
              </w:rPr>
              <w:t xml:space="preserve">Excluded — not included in reporting queries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15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IP addresses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Excluded — not included in reporting queries</w:t>
            </w:r>
          </w:p>
        </w:tc>
      </w:tr>
      <w:tr>
        <w:tc>
          <w:p>
            <w:pPr>
              <w:spacing w:after="0"/>
            </w:pPr>
            <w:r>
              <w:rPr>
                <w:rFonts w:ascii="Calibri" w:cs="Calibri" w:eastAsia="Calibri" w:hAnsi="Calibri"/>
                <w:b w:val="false"/>
                <w:bCs w:val="false"/>
                <w:i w:val="false"/>
                <w:iCs w:val="false"/>
                <w:color w:val="1f2937"/>
                <w:sz w:val="18"/>
                <w:szCs w:val="18"/>
              </w:rPr>
              <w:t xml:space="preserve">16</w:t>
            </w:r>
          </w:p>
        </w:tc>
        <w:tc>
          <w:p>
            <w:pPr>
              <w:spacing w:after="0"/>
            </w:pPr>
            <w:r>
              <w:rPr>
                <w:rFonts w:ascii="Calibri" w:cs="Calibri" w:eastAsia="Calibri" w:hAnsi="Calibri"/>
                <w:b w:val="false"/>
                <w:bCs w:val="false"/>
                <w:i w:val="false"/>
                <w:iCs w:val="false"/>
                <w:color w:val="1f2937"/>
                <w:sz w:val="18"/>
                <w:szCs w:val="18"/>
              </w:rPr>
              <w:t xml:space="preserve">Biometric identifiers</w:t>
            </w:r>
          </w:p>
        </w:tc>
        <w:tc>
          <w:p>
            <w:pPr>
              <w:spacing w:after="0"/>
            </w:pPr>
            <w:r>
              <w:rPr>
                <w:rFonts w:ascii="Calibri" w:cs="Calibri" w:eastAsia="Calibri" w:hAnsi="Calibri"/>
                <w:b w:val="false"/>
                <w:bCs w:val="false"/>
                <w:i w:val="false"/>
                <w:iCs w:val="false"/>
                <w:color w:val="1f2937"/>
                <w:sz w:val="18"/>
                <w:szCs w:val="18"/>
              </w:rPr>
              <w:t xml:space="preserve">Not collected by the platform</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17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Full-face photographs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Not collected for reporting purposes</w:t>
            </w:r>
          </w:p>
        </w:tc>
      </w:tr>
      <w:tr>
        <w:tc>
          <w:p>
            <w:pPr>
              <w:spacing w:after="0"/>
            </w:pPr>
            <w:r>
              <w:rPr>
                <w:rFonts w:ascii="Calibri" w:cs="Calibri" w:eastAsia="Calibri" w:hAnsi="Calibri"/>
                <w:b w:val="false"/>
                <w:bCs w:val="false"/>
                <w:i w:val="false"/>
                <w:iCs w:val="false"/>
                <w:color w:val="1f2937"/>
                <w:sz w:val="18"/>
                <w:szCs w:val="18"/>
              </w:rPr>
              <w:t xml:space="preserve">18</w:t>
            </w:r>
          </w:p>
        </w:tc>
        <w:tc>
          <w:p>
            <w:pPr>
              <w:spacing w:after="0"/>
            </w:pPr>
            <w:r>
              <w:rPr>
                <w:rFonts w:ascii="Calibri" w:cs="Calibri" w:eastAsia="Calibri" w:hAnsi="Calibri"/>
                <w:b w:val="false"/>
                <w:bCs w:val="false"/>
                <w:i w:val="false"/>
                <w:iCs w:val="false"/>
                <w:color w:val="1f2937"/>
                <w:sz w:val="18"/>
                <w:szCs w:val="18"/>
              </w:rPr>
              <w:t xml:space="preserve">Unique identifying numbers</w:t>
            </w:r>
          </w:p>
        </w:tc>
        <w:tc>
          <w:p>
            <w:pPr>
              <w:spacing w:after="0"/>
            </w:pPr>
            <w:r>
              <w:rPr>
                <w:rFonts w:ascii="Calibri" w:cs="Calibri" w:eastAsia="Calibri" w:hAnsi="Calibri"/>
                <w:b w:val="false"/>
                <w:bCs w:val="false"/>
                <w:i w:val="false"/>
                <w:iCs w:val="false"/>
                <w:color w:val="1f2937"/>
                <w:sz w:val="18"/>
                <w:szCs w:val="18"/>
              </w:rPr>
              <w:t xml:space="preserve">Excluded — all internal IDs stripped from aggregates</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Section 3: Member Demographics (From Program Records)</w:t>
      </w:r>
    </w:p>
    <w:p>
      <w:pPr>
        <w:spacing w:after="120"/>
      </w:pPr>
      <w:r>
        <w:rPr>
          <w:rFonts w:ascii="Calibri" w:cs="Calibri" w:eastAsia="Calibri" w:hAnsi="Calibri"/>
          <w:b w:val="false"/>
          <w:bCs w:val="false"/>
          <w:i w:val="false"/>
          <w:iCs w:val="false"/>
          <w:color w:val="1f2937"/>
          <w:sz w:val="22"/>
          <w:szCs w:val="22"/>
        </w:rPr>
        <w:t xml:space="preserve">The following tables present aggregate demographic distributions extracted from actual program enrollment records (4,416 contacts). </w:t>
      </w:r>
      <w:r>
        <w:rPr>
          <w:rFonts w:ascii="Calibri" w:cs="Calibri" w:eastAsia="Calibri" w:hAnsi="Calibri"/>
          <w:b/>
          <w:bCs/>
          <w:i w:val="false"/>
          <w:iCs w:val="false"/>
          <w:color w:val="1f2937"/>
          <w:sz w:val="22"/>
          <w:szCs w:val="22"/>
        </w:rPr>
        <w:t xml:space="preserve">All values are de-identified aggregates. No individual member records are accessible.</w:t>
      </w:r>
    </w:p>
    <w:p>
      <w:pPr>
        <w:pStyle w:val="Heading2"/>
        <w:spacing w:before="300" w:after="120"/>
      </w:pPr>
      <w:r>
        <w:rPr>
          <w:rFonts w:ascii="Calibri" w:cs="Calibri" w:eastAsia="Calibri" w:hAnsi="Calibri"/>
          <w:b/>
          <w:bCs/>
          <w:i w:val="false"/>
          <w:iCs w:val="false"/>
          <w:color w:val="1a56db"/>
          <w:sz w:val="26"/>
          <w:szCs w:val="26"/>
        </w:rPr>
        <w:t xml:space="preserve">Age Distribution</w:t>
      </w:r>
    </w:p>
    <w:p>
      <w:pPr>
        <w:spacing w:after="120"/>
      </w:pPr>
      <w:r>
        <w:rPr>
          <w:rFonts w:ascii="Calibri" w:cs="Calibri" w:eastAsia="Calibri" w:hAnsi="Calibri"/>
          <w:b w:val="false"/>
          <w:bCs w:val="false"/>
          <w:i w:val="false"/>
          <w:iCs w:val="false"/>
          <w:color w:val="1f2937"/>
          <w:sz w:val="22"/>
          <w:szCs w:val="22"/>
        </w:rPr>
        <w:t xml:space="preserve">Based on 4,302 members with date of birth on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Age Band</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Members</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 of Total</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0–17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0.6%</w:t>
            </w:r>
          </w:p>
        </w:tc>
      </w:tr>
      <w:tr>
        <w:tc>
          <w:p>
            <w:pPr>
              <w:spacing w:after="0"/>
            </w:pPr>
            <w:r>
              <w:rPr>
                <w:rFonts w:ascii="Calibri" w:cs="Calibri" w:eastAsia="Calibri" w:hAnsi="Calibri"/>
                <w:b w:val="false"/>
                <w:bCs w:val="false"/>
                <w:i w:val="false"/>
                <w:iCs w:val="false"/>
                <w:color w:val="1f2937"/>
                <w:sz w:val="18"/>
                <w:szCs w:val="18"/>
              </w:rPr>
              <w:t xml:space="preserve">18–25</w:t>
            </w:r>
          </w:p>
        </w:tc>
        <w:tc>
          <w:p>
            <w:pPr>
              <w:spacing w:after="0"/>
            </w:pPr>
            <w:r>
              <w:rPr>
                <w:rFonts w:ascii="Calibri" w:cs="Calibri" w:eastAsia="Calibri" w:hAnsi="Calibri"/>
                <w:b w:val="false"/>
                <w:bCs w:val="false"/>
                <w:i w:val="false"/>
                <w:iCs w:val="false"/>
                <w:color w:val="1f2937"/>
                <w:sz w:val="18"/>
                <w:szCs w:val="18"/>
              </w:rPr>
              <w:t xml:space="preserve">25</w:t>
            </w:r>
          </w:p>
        </w:tc>
        <w:tc>
          <w:p>
            <w:pPr>
              <w:spacing w:after="0"/>
            </w:pPr>
            <w:r>
              <w:rPr>
                <w:rFonts w:ascii="Calibri" w:cs="Calibri" w:eastAsia="Calibri" w:hAnsi="Calibri"/>
                <w:b w:val="false"/>
                <w:bCs w:val="false"/>
                <w:i w:val="false"/>
                <w:iCs w:val="false"/>
                <w:color w:val="1f2937"/>
                <w:sz w:val="18"/>
                <w:szCs w:val="18"/>
              </w:rPr>
              <w:t xml:space="preserve">0.6%</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26–35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404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9.4%</w:t>
            </w:r>
          </w:p>
        </w:tc>
      </w:tr>
      <w:tr>
        <w:tc>
          <w:p>
            <w:pPr>
              <w:spacing w:after="0"/>
            </w:pPr>
            <w:r>
              <w:rPr>
                <w:rFonts w:ascii="Calibri" w:cs="Calibri" w:eastAsia="Calibri" w:hAnsi="Calibri"/>
                <w:b w:val="false"/>
                <w:bCs w:val="false"/>
                <w:i w:val="false"/>
                <w:iCs w:val="false"/>
                <w:color w:val="1f2937"/>
                <w:sz w:val="18"/>
                <w:szCs w:val="18"/>
              </w:rPr>
              <w:t xml:space="preserve">36–45</w:t>
            </w:r>
          </w:p>
        </w:tc>
        <w:tc>
          <w:p>
            <w:pPr>
              <w:spacing w:after="0"/>
            </w:pPr>
            <w:r>
              <w:rPr>
                <w:rFonts w:ascii="Calibri" w:cs="Calibri" w:eastAsia="Calibri" w:hAnsi="Calibri"/>
                <w:b w:val="false"/>
                <w:bCs w:val="false"/>
                <w:i w:val="false"/>
                <w:iCs w:val="false"/>
                <w:color w:val="1f2937"/>
                <w:sz w:val="18"/>
                <w:szCs w:val="18"/>
              </w:rPr>
              <w:t xml:space="preserve">704</w:t>
            </w:r>
          </w:p>
        </w:tc>
        <w:tc>
          <w:p>
            <w:pPr>
              <w:spacing w:after="0"/>
            </w:pPr>
            <w:r>
              <w:rPr>
                <w:rFonts w:ascii="Calibri" w:cs="Calibri" w:eastAsia="Calibri" w:hAnsi="Calibri"/>
                <w:b w:val="false"/>
                <w:bCs w:val="false"/>
                <w:i w:val="false"/>
                <w:iCs w:val="false"/>
                <w:color w:val="1f2937"/>
                <w:sz w:val="18"/>
                <w:szCs w:val="18"/>
              </w:rPr>
              <w:t xml:space="preserve">16.4%</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46–55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983</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22.8%</w:t>
            </w:r>
          </w:p>
        </w:tc>
      </w:tr>
      <w:tr>
        <w:tc>
          <w:p>
            <w:pPr>
              <w:spacing w:after="0"/>
            </w:pPr>
            <w:r>
              <w:rPr>
                <w:rFonts w:ascii="Calibri" w:cs="Calibri" w:eastAsia="Calibri" w:hAnsi="Calibri"/>
                <w:b w:val="false"/>
                <w:bCs w:val="false"/>
                <w:i w:val="false"/>
                <w:iCs w:val="false"/>
                <w:color w:val="1f2937"/>
                <w:sz w:val="18"/>
                <w:szCs w:val="18"/>
              </w:rPr>
              <w:t xml:space="preserve">56–64</w:t>
            </w:r>
          </w:p>
        </w:tc>
        <w:tc>
          <w:p>
            <w:pPr>
              <w:spacing w:after="0"/>
            </w:pPr>
            <w:r>
              <w:rPr>
                <w:rFonts w:ascii="Calibri" w:cs="Calibri" w:eastAsia="Calibri" w:hAnsi="Calibri"/>
                <w:b w:val="false"/>
                <w:bCs w:val="false"/>
                <w:i w:val="false"/>
                <w:iCs w:val="false"/>
                <w:color w:val="1f2937"/>
                <w:sz w:val="18"/>
                <w:szCs w:val="18"/>
              </w:rPr>
              <w:t xml:space="preserve">1,345</w:t>
            </w:r>
          </w:p>
        </w:tc>
        <w:tc>
          <w:p>
            <w:pPr>
              <w:spacing w:after="0"/>
            </w:pPr>
            <w:r>
              <w:rPr>
                <w:rFonts w:ascii="Calibri" w:cs="Calibri" w:eastAsia="Calibri" w:hAnsi="Calibri"/>
                <w:b w:val="false"/>
                <w:bCs w:val="false"/>
                <w:i w:val="false"/>
                <w:iCs w:val="false"/>
                <w:color w:val="1f2937"/>
                <w:sz w:val="18"/>
                <w:szCs w:val="18"/>
              </w:rPr>
              <w:t xml:space="preserve">31.3%</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65+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816</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19.0%</w:t>
            </w:r>
          </w:p>
        </w:tc>
      </w:tr>
      <w:tr>
        <w:tc>
          <w:p>
            <w:pPr>
              <w:spacing w:after="0"/>
            </w:pPr>
            <w:r>
              <w:rPr>
                <w:rFonts w:ascii="Calibri" w:cs="Calibri" w:eastAsia="Calibri" w:hAnsi="Calibri"/>
                <w:b w:val="false"/>
                <w:bCs w:val="false"/>
                <w:i w:val="false"/>
                <w:iCs w:val="false"/>
                <w:color w:val="1f2937"/>
                <w:sz w:val="18"/>
                <w:szCs w:val="18"/>
              </w:rPr>
              <w:t xml:space="preserve">Total (with DOB)</w:t>
            </w:r>
          </w:p>
        </w:tc>
        <w:tc>
          <w:p>
            <w:pPr>
              <w:spacing w:after="0"/>
            </w:pPr>
            <w:r>
              <w:rPr>
                <w:rFonts w:ascii="Calibri" w:cs="Calibri" w:eastAsia="Calibri" w:hAnsi="Calibri"/>
                <w:b w:val="false"/>
                <w:bCs w:val="false"/>
                <w:i w:val="false"/>
                <w:iCs w:val="false"/>
                <w:color w:val="1f2937"/>
                <w:sz w:val="18"/>
                <w:szCs w:val="18"/>
              </w:rPr>
              <w:t xml:space="preserve">4,302</w:t>
            </w:r>
          </w:p>
        </w:tc>
        <w:tc>
          <w:p>
            <w:pPr>
              <w:spacing w:after="0"/>
            </w:pPr>
            <w:r>
              <w:rPr>
                <w:rFonts w:ascii="Calibri" w:cs="Calibri" w:eastAsia="Calibri" w:hAnsi="Calibri"/>
                <w:b w:val="false"/>
                <w:bCs w:val="false"/>
                <w:i w:val="false"/>
                <w:iCs w:val="false"/>
                <w:color w:val="1f2937"/>
                <w:sz w:val="18"/>
                <w:szCs w:val="18"/>
              </w:rPr>
              <w:t xml:space="preserve">100.0%</w:t>
            </w:r>
          </w:p>
        </w:tc>
      </w:tr>
    </w:tbl>
    <w:p>
      <w:pPr>
        <w:pStyle w:val="Heading2"/>
        <w:spacing w:before="300" w:after="120"/>
      </w:pPr>
      <w:r>
        <w:rPr>
          <w:rFonts w:ascii="Calibri" w:cs="Calibri" w:eastAsia="Calibri" w:hAnsi="Calibri"/>
          <w:b/>
          <w:bCs/>
          <w:i w:val="false"/>
          <w:iCs w:val="false"/>
          <w:color w:val="1a56db"/>
          <w:sz w:val="26"/>
          <w:szCs w:val="26"/>
        </w:rPr>
        <w:t xml:space="preserve">Gender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Gender</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Members</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 of Total</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Female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2,336</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52.9%</w:t>
            </w:r>
          </w:p>
        </w:tc>
      </w:tr>
      <w:tr>
        <w:tc>
          <w:p>
            <w:pPr>
              <w:spacing w:after="0"/>
            </w:pPr>
            <w:r>
              <w:rPr>
                <w:rFonts w:ascii="Calibri" w:cs="Calibri" w:eastAsia="Calibri" w:hAnsi="Calibri"/>
                <w:b w:val="false"/>
                <w:bCs w:val="false"/>
                <w:i w:val="false"/>
                <w:iCs w:val="false"/>
                <w:color w:val="1f2937"/>
                <w:sz w:val="18"/>
                <w:szCs w:val="18"/>
              </w:rPr>
              <w:t xml:space="preserve">Male</w:t>
            </w:r>
          </w:p>
        </w:tc>
        <w:tc>
          <w:p>
            <w:pPr>
              <w:spacing w:after="0"/>
            </w:pPr>
            <w:r>
              <w:rPr>
                <w:rFonts w:ascii="Calibri" w:cs="Calibri" w:eastAsia="Calibri" w:hAnsi="Calibri"/>
                <w:b w:val="false"/>
                <w:bCs w:val="false"/>
                <w:i w:val="false"/>
                <w:iCs w:val="false"/>
                <w:color w:val="1f2937"/>
                <w:sz w:val="18"/>
                <w:szCs w:val="18"/>
              </w:rPr>
              <w:t xml:space="preserve">1,852</w:t>
            </w:r>
          </w:p>
        </w:tc>
        <w:tc>
          <w:p>
            <w:pPr>
              <w:spacing w:after="0"/>
            </w:pPr>
            <w:r>
              <w:rPr>
                <w:rFonts w:ascii="Calibri" w:cs="Calibri" w:eastAsia="Calibri" w:hAnsi="Calibri"/>
                <w:b w:val="false"/>
                <w:bCs w:val="false"/>
                <w:i w:val="false"/>
                <w:iCs w:val="false"/>
                <w:color w:val="1f2937"/>
                <w:sz w:val="18"/>
                <w:szCs w:val="18"/>
              </w:rPr>
              <w:t xml:space="preserve">41.9%</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Not Specified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228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5.2%</w:t>
            </w:r>
          </w:p>
        </w:tc>
      </w:tr>
      <w:tr>
        <w:tc>
          <w:p>
            <w:pPr>
              <w:spacing w:after="0"/>
            </w:pPr>
            <w:r>
              <w:rPr>
                <w:rFonts w:ascii="Calibri" w:cs="Calibri" w:eastAsia="Calibri" w:hAnsi="Calibri"/>
                <w:b w:val="false"/>
                <w:bCs w:val="false"/>
                <w:i w:val="false"/>
                <w:iCs w:val="false"/>
                <w:color w:val="1f2937"/>
                <w:sz w:val="18"/>
                <w:szCs w:val="18"/>
              </w:rPr>
              <w:t xml:space="preserve">Total</w:t>
            </w:r>
          </w:p>
        </w:tc>
        <w:tc>
          <w:p>
            <w:pPr>
              <w:spacing w:after="0"/>
            </w:pPr>
            <w:r>
              <w:rPr>
                <w:rFonts w:ascii="Calibri" w:cs="Calibri" w:eastAsia="Calibri" w:hAnsi="Calibri"/>
                <w:b w:val="false"/>
                <w:bCs w:val="false"/>
                <w:i w:val="false"/>
                <w:iCs w:val="false"/>
                <w:color w:val="1f2937"/>
                <w:sz w:val="18"/>
                <w:szCs w:val="18"/>
              </w:rPr>
              <w:t xml:space="preserve">4,416</w:t>
            </w:r>
          </w:p>
        </w:tc>
        <w:tc>
          <w:p>
            <w:pPr>
              <w:spacing w:after="0"/>
            </w:pPr>
            <w:r>
              <w:rPr>
                <w:rFonts w:ascii="Calibri" w:cs="Calibri" w:eastAsia="Calibri" w:hAnsi="Calibri"/>
                <w:b w:val="false"/>
                <w:bCs w:val="false"/>
                <w:i w:val="false"/>
                <w:iCs w:val="false"/>
                <w:color w:val="1f2937"/>
                <w:sz w:val="18"/>
                <w:szCs w:val="18"/>
              </w:rPr>
              <w:t xml:space="preserve">100.0%</w:t>
            </w:r>
          </w:p>
        </w:tc>
      </w:tr>
    </w:tbl>
    <w:p>
      <w:pPr>
        <w:pStyle w:val="Heading2"/>
        <w:spacing w:before="300" w:after="120"/>
      </w:pPr>
      <w:r>
        <w:rPr>
          <w:rFonts w:ascii="Calibri" w:cs="Calibri" w:eastAsia="Calibri" w:hAnsi="Calibri"/>
          <w:b/>
          <w:bCs/>
          <w:i w:val="false"/>
          <w:iCs w:val="false"/>
          <w:color w:val="1a56db"/>
          <w:sz w:val="26"/>
          <w:szCs w:val="26"/>
        </w:rPr>
        <w:t xml:space="preserve">State Distribution (Top 15)</w:t>
      </w:r>
    </w:p>
    <w:p>
      <w:pPr>
        <w:spacing w:after="120"/>
      </w:pPr>
      <w:r>
        <w:rPr>
          <w:rFonts w:ascii="Calibri" w:cs="Calibri" w:eastAsia="Calibri" w:hAnsi="Calibri"/>
          <w:b w:val="false"/>
          <w:bCs w:val="false"/>
          <w:i w:val="false"/>
          <w:iCs w:val="false"/>
          <w:color w:val="1f2937"/>
          <w:sz w:val="22"/>
          <w:szCs w:val="22"/>
        </w:rPr>
        <w:t xml:space="preserve">Based on 4,391 members with state data across 67 states/territories.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State</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Members</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 of Total</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Colorado</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1,907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43.4%</w:t>
            </w:r>
          </w:p>
        </w:tc>
      </w:tr>
      <w:tr>
        <w:tc>
          <w:p>
            <w:pPr>
              <w:spacing w:after="0"/>
            </w:pPr>
            <w:r>
              <w:rPr>
                <w:rFonts w:ascii="Calibri" w:cs="Calibri" w:eastAsia="Calibri" w:hAnsi="Calibri"/>
                <w:b w:val="false"/>
                <w:bCs w:val="false"/>
                <w:i w:val="false"/>
                <w:iCs w:val="false"/>
                <w:color w:val="1f2937"/>
                <w:sz w:val="18"/>
                <w:szCs w:val="18"/>
              </w:rPr>
              <w:t xml:space="preserve">Arizona</w:t>
            </w:r>
          </w:p>
        </w:tc>
        <w:tc>
          <w:p>
            <w:pPr>
              <w:spacing w:after="0"/>
            </w:pPr>
            <w:r>
              <w:rPr>
                <w:rFonts w:ascii="Calibri" w:cs="Calibri" w:eastAsia="Calibri" w:hAnsi="Calibri"/>
                <w:b w:val="false"/>
                <w:bCs w:val="false"/>
                <w:i w:val="false"/>
                <w:iCs w:val="false"/>
                <w:color w:val="1f2937"/>
                <w:sz w:val="18"/>
                <w:szCs w:val="18"/>
              </w:rPr>
              <w:t xml:space="preserve">872</w:t>
            </w:r>
          </w:p>
        </w:tc>
        <w:tc>
          <w:p>
            <w:pPr>
              <w:spacing w:after="0"/>
            </w:pPr>
            <w:r>
              <w:rPr>
                <w:rFonts w:ascii="Calibri" w:cs="Calibri" w:eastAsia="Calibri" w:hAnsi="Calibri"/>
                <w:b w:val="false"/>
                <w:bCs w:val="false"/>
                <w:i w:val="false"/>
                <w:iCs w:val="false"/>
                <w:color w:val="1f2937"/>
                <w:sz w:val="18"/>
                <w:szCs w:val="18"/>
              </w:rPr>
              <w:t xml:space="preserve">19.9%</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California</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279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6.4%</w:t>
            </w:r>
          </w:p>
        </w:tc>
      </w:tr>
      <w:tr>
        <w:tc>
          <w:p>
            <w:pPr>
              <w:spacing w:after="0"/>
            </w:pPr>
            <w:r>
              <w:rPr>
                <w:rFonts w:ascii="Calibri" w:cs="Calibri" w:eastAsia="Calibri" w:hAnsi="Calibri"/>
                <w:b w:val="false"/>
                <w:bCs w:val="false"/>
                <w:i w:val="false"/>
                <w:iCs w:val="false"/>
                <w:color w:val="1f2937"/>
                <w:sz w:val="18"/>
                <w:szCs w:val="18"/>
              </w:rPr>
              <w:t xml:space="preserve">Florida</w:t>
            </w:r>
          </w:p>
        </w:tc>
        <w:tc>
          <w:p>
            <w:pPr>
              <w:spacing w:after="0"/>
            </w:pPr>
            <w:r>
              <w:rPr>
                <w:rFonts w:ascii="Calibri" w:cs="Calibri" w:eastAsia="Calibri" w:hAnsi="Calibri"/>
                <w:b w:val="false"/>
                <w:bCs w:val="false"/>
                <w:i w:val="false"/>
                <w:iCs w:val="false"/>
                <w:color w:val="1f2937"/>
                <w:sz w:val="18"/>
                <w:szCs w:val="18"/>
              </w:rPr>
              <w:t xml:space="preserve">242</w:t>
            </w:r>
          </w:p>
        </w:tc>
        <w:tc>
          <w:p>
            <w:pPr>
              <w:spacing w:after="0"/>
            </w:pPr>
            <w:r>
              <w:rPr>
                <w:rFonts w:ascii="Calibri" w:cs="Calibri" w:eastAsia="Calibri" w:hAnsi="Calibri"/>
                <w:b w:val="false"/>
                <w:bCs w:val="false"/>
                <w:i w:val="false"/>
                <w:iCs w:val="false"/>
                <w:color w:val="1f2937"/>
                <w:sz w:val="18"/>
                <w:szCs w:val="18"/>
              </w:rPr>
              <w:t xml:space="preserve">5.5%</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Texas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141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3.2%</w:t>
            </w:r>
          </w:p>
        </w:tc>
      </w:tr>
      <w:tr>
        <w:tc>
          <w:p>
            <w:pPr>
              <w:spacing w:after="0"/>
            </w:pPr>
            <w:r>
              <w:rPr>
                <w:rFonts w:ascii="Calibri" w:cs="Calibri" w:eastAsia="Calibri" w:hAnsi="Calibri"/>
                <w:b w:val="false"/>
                <w:bCs w:val="false"/>
                <w:i w:val="false"/>
                <w:iCs w:val="false"/>
                <w:color w:val="1f2937"/>
                <w:sz w:val="18"/>
                <w:szCs w:val="18"/>
              </w:rPr>
              <w:t xml:space="preserve">Georgia</w:t>
            </w:r>
          </w:p>
        </w:tc>
        <w:tc>
          <w:p>
            <w:pPr>
              <w:spacing w:after="0"/>
            </w:pPr>
            <w:r>
              <w:rPr>
                <w:rFonts w:ascii="Calibri" w:cs="Calibri" w:eastAsia="Calibri" w:hAnsi="Calibri"/>
                <w:b w:val="false"/>
                <w:bCs w:val="false"/>
                <w:i w:val="false"/>
                <w:iCs w:val="false"/>
                <w:color w:val="1f2937"/>
                <w:sz w:val="18"/>
                <w:szCs w:val="18"/>
              </w:rPr>
              <w:t xml:space="preserve">104</w:t>
            </w:r>
          </w:p>
        </w:tc>
        <w:tc>
          <w:p>
            <w:pPr>
              <w:spacing w:after="0"/>
            </w:pPr>
            <w:r>
              <w:rPr>
                <w:rFonts w:ascii="Calibri" w:cs="Calibri" w:eastAsia="Calibri" w:hAnsi="Calibri"/>
                <w:b w:val="false"/>
                <w:bCs w:val="false"/>
                <w:i w:val="false"/>
                <w:iCs w:val="false"/>
                <w:color w:val="1f2937"/>
                <w:sz w:val="18"/>
                <w:szCs w:val="18"/>
              </w:rPr>
              <w:t xml:space="preserve">2.4%</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New York</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1.3%</w:t>
            </w:r>
          </w:p>
        </w:tc>
      </w:tr>
      <w:tr>
        <w:tc>
          <w:p>
            <w:pPr>
              <w:spacing w:after="0"/>
            </w:pPr>
            <w:r>
              <w:rPr>
                <w:rFonts w:ascii="Calibri" w:cs="Calibri" w:eastAsia="Calibri" w:hAnsi="Calibri"/>
                <w:b w:val="false"/>
                <w:bCs w:val="false"/>
                <w:i w:val="false"/>
                <w:iCs w:val="false"/>
                <w:color w:val="1f2937"/>
                <w:sz w:val="18"/>
                <w:szCs w:val="18"/>
              </w:rPr>
              <w:t xml:space="preserve">Utah</w:t>
            </w:r>
          </w:p>
        </w:tc>
        <w:tc>
          <w:p>
            <w:pPr>
              <w:spacing w:after="0"/>
            </w:pPr>
            <w:r>
              <w:rPr>
                <w:rFonts w:ascii="Calibri" w:cs="Calibri" w:eastAsia="Calibri" w:hAnsi="Calibri"/>
                <w:b w:val="false"/>
                <w:bCs w:val="false"/>
                <w:i w:val="false"/>
                <w:iCs w:val="false"/>
                <w:color w:val="1f2937"/>
                <w:sz w:val="18"/>
                <w:szCs w:val="18"/>
              </w:rPr>
              <w:t xml:space="preserve">56</w:t>
            </w:r>
          </w:p>
        </w:tc>
        <w:tc>
          <w:p>
            <w:pPr>
              <w:spacing w:after="0"/>
            </w:pPr>
            <w:r>
              <w:rPr>
                <w:rFonts w:ascii="Calibri" w:cs="Calibri" w:eastAsia="Calibri" w:hAnsi="Calibri"/>
                <w:b w:val="false"/>
                <w:bCs w:val="false"/>
                <w:i w:val="false"/>
                <w:iCs w:val="false"/>
                <w:color w:val="1f2937"/>
                <w:sz w:val="18"/>
                <w:szCs w:val="18"/>
              </w:rPr>
              <w:t xml:space="preserve">1.3%</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New Jersey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1.2%</w:t>
            </w:r>
          </w:p>
        </w:tc>
      </w:tr>
      <w:tr>
        <w:tc>
          <w:p>
            <w:pPr>
              <w:spacing w:after="0"/>
            </w:pPr>
            <w:r>
              <w:rPr>
                <w:rFonts w:ascii="Calibri" w:cs="Calibri" w:eastAsia="Calibri" w:hAnsi="Calibri"/>
                <w:b w:val="false"/>
                <w:bCs w:val="false"/>
                <w:i w:val="false"/>
                <w:iCs w:val="false"/>
                <w:color w:val="1f2937"/>
                <w:sz w:val="18"/>
                <w:szCs w:val="18"/>
              </w:rPr>
              <w:t xml:space="preserve">Ohio</w:t>
            </w:r>
          </w:p>
        </w:tc>
        <w:tc>
          <w:p>
            <w:pPr>
              <w:spacing w:after="0"/>
            </w:pPr>
            <w:r>
              <w:rPr>
                <w:rFonts w:ascii="Calibri" w:cs="Calibri" w:eastAsia="Calibri" w:hAnsi="Calibri"/>
                <w:b w:val="false"/>
                <w:bCs w:val="false"/>
                <w:i w:val="false"/>
                <w:iCs w:val="false"/>
                <w:color w:val="1f2937"/>
                <w:sz w:val="18"/>
                <w:szCs w:val="18"/>
              </w:rPr>
              <w:t xml:space="preserve">51</w:t>
            </w:r>
          </w:p>
        </w:tc>
        <w:tc>
          <w:p>
            <w:pPr>
              <w:spacing w:after="0"/>
            </w:pPr>
            <w:r>
              <w:rPr>
                <w:rFonts w:ascii="Calibri" w:cs="Calibri" w:eastAsia="Calibri" w:hAnsi="Calibri"/>
                <w:b w:val="false"/>
                <w:bCs w:val="false"/>
                <w:i w:val="false"/>
                <w:iCs w:val="false"/>
                <w:color w:val="1f2937"/>
                <w:sz w:val="18"/>
                <w:szCs w:val="18"/>
              </w:rPr>
              <w:t xml:space="preserve">1.2%</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Oregon</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1.1%</w:t>
            </w:r>
          </w:p>
        </w:tc>
      </w:tr>
      <w:tr>
        <w:tc>
          <w:p>
            <w:pPr>
              <w:spacing w:after="0"/>
            </w:pPr>
            <w:r>
              <w:rPr>
                <w:rFonts w:ascii="Calibri" w:cs="Calibri" w:eastAsia="Calibri" w:hAnsi="Calibri"/>
                <w:b w:val="false"/>
                <w:bCs w:val="false"/>
                <w:i w:val="false"/>
                <w:iCs w:val="false"/>
                <w:color w:val="1f2937"/>
                <w:sz w:val="18"/>
                <w:szCs w:val="18"/>
              </w:rPr>
              <w:t xml:space="preserve">Washington</w:t>
            </w:r>
          </w:p>
        </w:tc>
        <w:tc>
          <w:p>
            <w:pPr>
              <w:spacing w:after="0"/>
            </w:pPr>
            <w:r>
              <w:rPr>
                <w:rFonts w:ascii="Calibri" w:cs="Calibri" w:eastAsia="Calibri" w:hAnsi="Calibri"/>
                <w:b w:val="false"/>
                <w:bCs w:val="false"/>
                <w:i w:val="false"/>
                <w:iCs w:val="false"/>
                <w:color w:val="1f2937"/>
                <w:sz w:val="18"/>
                <w:szCs w:val="18"/>
              </w:rPr>
              <w:t xml:space="preserve">39</w:t>
            </w:r>
          </w:p>
        </w:tc>
        <w:tc>
          <w:p>
            <w:pPr>
              <w:spacing w:after="0"/>
            </w:pPr>
            <w:r>
              <w:rPr>
                <w:rFonts w:ascii="Calibri" w:cs="Calibri" w:eastAsia="Calibri" w:hAnsi="Calibri"/>
                <w:b w:val="false"/>
                <w:bCs w:val="false"/>
                <w:i w:val="false"/>
                <w:iCs w:val="false"/>
                <w:color w:val="1f2937"/>
                <w:sz w:val="18"/>
                <w:szCs w:val="18"/>
              </w:rPr>
              <w:t xml:space="preserve">0.9%</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North Carolina</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0.9%</w:t>
            </w:r>
          </w:p>
        </w:tc>
      </w:tr>
      <w:tr>
        <w:tc>
          <w:p>
            <w:pPr>
              <w:spacing w:after="0"/>
            </w:pPr>
            <w:r>
              <w:rPr>
                <w:rFonts w:ascii="Calibri" w:cs="Calibri" w:eastAsia="Calibri" w:hAnsi="Calibri"/>
                <w:b w:val="false"/>
                <w:bCs w:val="false"/>
                <w:i w:val="false"/>
                <w:iCs w:val="false"/>
                <w:color w:val="1f2937"/>
                <w:sz w:val="18"/>
                <w:szCs w:val="18"/>
              </w:rPr>
              <w:t xml:space="preserve">Pennsylvania</w:t>
            </w:r>
          </w:p>
        </w:tc>
        <w:tc>
          <w:p>
            <w:pPr>
              <w:spacing w:after="0"/>
            </w:pPr>
            <w:r>
              <w:rPr>
                <w:rFonts w:ascii="Calibri" w:cs="Calibri" w:eastAsia="Calibri" w:hAnsi="Calibri"/>
                <w:b w:val="false"/>
                <w:bCs w:val="false"/>
                <w:i w:val="false"/>
                <w:iCs w:val="false"/>
                <w:color w:val="1f2937"/>
                <w:sz w:val="18"/>
                <w:szCs w:val="18"/>
              </w:rPr>
              <w:t xml:space="preserve">32</w:t>
            </w:r>
          </w:p>
        </w:tc>
        <w:tc>
          <w:p>
            <w:pPr>
              <w:spacing w:after="0"/>
            </w:pPr>
            <w:r>
              <w:rPr>
                <w:rFonts w:ascii="Calibri" w:cs="Calibri" w:eastAsia="Calibri" w:hAnsi="Calibri"/>
                <w:b w:val="false"/>
                <w:bCs w:val="false"/>
                <w:i w:val="false"/>
                <w:iCs w:val="false"/>
                <w:color w:val="1f2937"/>
                <w:sz w:val="18"/>
                <w:szCs w:val="18"/>
              </w:rPr>
              <w:t xml:space="preserve">0.7%</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Illinois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0.7%</w:t>
            </w:r>
          </w:p>
        </w:tc>
      </w:tr>
      <w:tr>
        <w:tc>
          <w:p>
            <w:pPr>
              <w:spacing w:after="0"/>
            </w:pPr>
            <w:r>
              <w:rPr>
                <w:rFonts w:ascii="Calibri" w:cs="Calibri" w:eastAsia="Calibri" w:hAnsi="Calibri"/>
                <w:b w:val="false"/>
                <w:bCs w:val="false"/>
                <w:i w:val="false"/>
                <w:iCs w:val="false"/>
                <w:color w:val="1f2937"/>
                <w:sz w:val="18"/>
                <w:szCs w:val="18"/>
              </w:rPr>
              <w:t xml:space="preserve">Other (52 states/territories)</w:t>
            </w:r>
          </w:p>
        </w:tc>
        <w:tc>
          <w:p>
            <w:pPr>
              <w:spacing w:after="0"/>
            </w:pPr>
            <w:r>
              <w:rPr>
                <w:rFonts w:ascii="Calibri" w:cs="Calibri" w:eastAsia="Calibri" w:hAnsi="Calibri"/>
                <w:b w:val="false"/>
                <w:bCs w:val="false"/>
                <w:i w:val="false"/>
                <w:iCs w:val="false"/>
                <w:color w:val="1f2937"/>
                <w:sz w:val="18"/>
                <w:szCs w:val="18"/>
              </w:rPr>
              <w:t xml:space="preserve">438</w:t>
            </w:r>
          </w:p>
        </w:tc>
        <w:tc>
          <w:p>
            <w:pPr>
              <w:spacing w:after="0"/>
            </w:pPr>
            <w:r>
              <w:rPr>
                <w:rFonts w:ascii="Calibri" w:cs="Calibri" w:eastAsia="Calibri" w:hAnsi="Calibri"/>
                <w:b w:val="false"/>
                <w:bCs w:val="false"/>
                <w:i w:val="false"/>
                <w:iCs w:val="false"/>
                <w:color w:val="1f2937"/>
                <w:sz w:val="18"/>
                <w:szCs w:val="18"/>
              </w:rPr>
              <w:t xml:space="preserve">10.0%</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4,391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100.0%</w:t>
            </w:r>
          </w:p>
        </w:tc>
      </w:tr>
    </w:tbl>
    <w:p>
      <w:pPr>
        <w:pStyle w:val="Heading2"/>
        <w:spacing w:before="300" w:after="120"/>
      </w:pPr>
      <w:r>
        <w:rPr>
          <w:rFonts w:ascii="Calibri" w:cs="Calibri" w:eastAsia="Calibri" w:hAnsi="Calibri"/>
          <w:b/>
          <w:bCs/>
          <w:i w:val="false"/>
          <w:iCs w:val="false"/>
          <w:color w:val="1a56db"/>
          <w:sz w:val="26"/>
          <w:szCs w:val="26"/>
        </w:rPr>
        <w:t xml:space="preserve">Coverage Tier Distribution</w:t>
      </w:r>
    </w:p>
    <w:p>
      <w:pPr>
        <w:spacing w:after="120"/>
      </w:pPr>
      <w:r>
        <w:rPr>
          <w:rFonts w:ascii="Calibri" w:cs="Calibri" w:eastAsia="Calibri" w:hAnsi="Calibri"/>
          <w:b w:val="false"/>
          <w:bCs w:val="false"/>
          <w:i w:val="false"/>
          <w:iCs w:val="false"/>
          <w:color w:val="1f2937"/>
          <w:sz w:val="22"/>
          <w:szCs w:val="22"/>
        </w:rPr>
        <w:t xml:space="preserve">Coverage tiers normalized across all IUA levels. Based on 4,202 members with coverage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Coverage Tier</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Members</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 of Total</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Member Only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2,504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59.6%</w:t>
            </w:r>
          </w:p>
        </w:tc>
      </w:tr>
      <w:tr>
        <w:tc>
          <w:p>
            <w:pPr>
              <w:spacing w:after="0"/>
            </w:pPr>
            <w:r>
              <w:rPr>
                <w:rFonts w:ascii="Calibri" w:cs="Calibri" w:eastAsia="Calibri" w:hAnsi="Calibri"/>
                <w:b w:val="false"/>
                <w:bCs w:val="false"/>
                <w:i w:val="false"/>
                <w:iCs w:val="false"/>
                <w:color w:val="1f2937"/>
                <w:sz w:val="18"/>
                <w:szCs w:val="18"/>
              </w:rPr>
              <w:t xml:space="preserve">Member + Spouse</w:t>
            </w:r>
          </w:p>
        </w:tc>
        <w:tc>
          <w:p>
            <w:pPr>
              <w:spacing w:after="0"/>
            </w:pPr>
            <w:r>
              <w:rPr>
                <w:rFonts w:ascii="Calibri" w:cs="Calibri" w:eastAsia="Calibri" w:hAnsi="Calibri"/>
                <w:b w:val="false"/>
                <w:bCs w:val="false"/>
                <w:i w:val="false"/>
                <w:iCs w:val="false"/>
                <w:color w:val="1f2937"/>
                <w:sz w:val="18"/>
                <w:szCs w:val="18"/>
              </w:rPr>
              <w:t xml:space="preserve">612</w:t>
            </w:r>
          </w:p>
        </w:tc>
        <w:tc>
          <w:p>
            <w:pPr>
              <w:spacing w:after="0"/>
            </w:pPr>
            <w:r>
              <w:rPr>
                <w:rFonts w:ascii="Calibri" w:cs="Calibri" w:eastAsia="Calibri" w:hAnsi="Calibri"/>
                <w:b w:val="false"/>
                <w:bCs w:val="false"/>
                <w:i w:val="false"/>
                <w:iCs w:val="false"/>
                <w:color w:val="1f2937"/>
                <w:sz w:val="18"/>
                <w:szCs w:val="18"/>
              </w:rPr>
              <w:t xml:space="preserve">14.6%</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Member + Children</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282</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6.7%</w:t>
            </w:r>
          </w:p>
        </w:tc>
      </w:tr>
      <w:tr>
        <w:tc>
          <w:p>
            <w:pPr>
              <w:spacing w:after="0"/>
            </w:pPr>
            <w:r>
              <w:rPr>
                <w:rFonts w:ascii="Calibri" w:cs="Calibri" w:eastAsia="Calibri" w:hAnsi="Calibri"/>
                <w:b w:val="false"/>
                <w:bCs w:val="false"/>
                <w:i w:val="false"/>
                <w:iCs w:val="false"/>
                <w:color w:val="1f2937"/>
                <w:sz w:val="18"/>
                <w:szCs w:val="18"/>
              </w:rPr>
              <w:t xml:space="preserve">Family</w:t>
            </w:r>
          </w:p>
        </w:tc>
        <w:tc>
          <w:p>
            <w:pPr>
              <w:spacing w:after="0"/>
            </w:pPr>
            <w:r>
              <w:rPr>
                <w:rFonts w:ascii="Calibri" w:cs="Calibri" w:eastAsia="Calibri" w:hAnsi="Calibri"/>
                <w:b w:val="false"/>
                <w:bCs w:val="false"/>
                <w:i w:val="false"/>
                <w:iCs w:val="false"/>
                <w:color w:val="1f2937"/>
                <w:sz w:val="18"/>
                <w:szCs w:val="18"/>
              </w:rPr>
              <w:t xml:space="preserve">804</w:t>
            </w:r>
          </w:p>
        </w:tc>
        <w:tc>
          <w:p>
            <w:pPr>
              <w:spacing w:after="0"/>
            </w:pPr>
            <w:r>
              <w:rPr>
                <w:rFonts w:ascii="Calibri" w:cs="Calibri" w:eastAsia="Calibri" w:hAnsi="Calibri"/>
                <w:b w:val="false"/>
                <w:bCs w:val="false"/>
                <w:i w:val="false"/>
                <w:iCs w:val="false"/>
                <w:color w:val="1f2937"/>
                <w:sz w:val="18"/>
                <w:szCs w:val="18"/>
              </w:rPr>
              <w:t xml:space="preserve">19.1%</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4,202</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100.0%</w:t>
            </w:r>
          </w:p>
        </w:tc>
      </w:tr>
    </w:tbl>
    <w:p>
      <w:pPr>
        <w:pStyle w:val="Heading2"/>
        <w:spacing w:before="300" w:after="120"/>
      </w:pPr>
      <w:r>
        <w:rPr>
          <w:rFonts w:ascii="Calibri" w:cs="Calibri" w:eastAsia="Calibri" w:hAnsi="Calibri"/>
          <w:b/>
          <w:bCs/>
          <w:i w:val="false"/>
          <w:iCs w:val="false"/>
          <w:color w:val="1a56db"/>
          <w:sz w:val="26"/>
          <w:szCs w:val="26"/>
        </w:rPr>
        <w:t xml:space="preserve">IUA (Initial Unshareable Amount) Distribution</w:t>
      </w:r>
    </w:p>
    <w:p>
      <w:pPr>
        <w:spacing w:after="120"/>
      </w:pPr>
      <w:r>
        <w:rPr>
          <w:rFonts w:ascii="Calibri" w:cs="Calibri" w:eastAsia="Calibri" w:hAnsi="Calibri"/>
          <w:b w:val="false"/>
          <w:bCs w:val="false"/>
          <w:i w:val="false"/>
          <w:iCs w:val="false"/>
          <w:color w:val="1f2937"/>
          <w:sz w:val="22"/>
          <w:szCs w:val="22"/>
        </w:rPr>
        <w:t xml:space="preserve">Based on 3,241 members with IUA data on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IUA Level</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Members</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 of Total</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$500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203</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6.3%</w:t>
            </w:r>
          </w:p>
        </w:tc>
      </w:tr>
      <w:tr>
        <w:tc>
          <w:p>
            <w:pPr>
              <w:spacing w:after="0"/>
            </w:pPr>
            <w:r>
              <w:rPr>
                <w:rFonts w:ascii="Calibri" w:cs="Calibri" w:eastAsia="Calibri" w:hAnsi="Calibri"/>
                <w:b w:val="false"/>
                <w:bCs w:val="false"/>
                <w:i w:val="false"/>
                <w:iCs w:val="false"/>
                <w:color w:val="1f2937"/>
                <w:sz w:val="18"/>
                <w:szCs w:val="18"/>
              </w:rPr>
              <w:t xml:space="preserve">$1,000</w:t>
            </w:r>
          </w:p>
        </w:tc>
        <w:tc>
          <w:p>
            <w:pPr>
              <w:spacing w:after="0"/>
            </w:pPr>
            <w:r>
              <w:rPr>
                <w:rFonts w:ascii="Calibri" w:cs="Calibri" w:eastAsia="Calibri" w:hAnsi="Calibri"/>
                <w:b w:val="false"/>
                <w:bCs w:val="false"/>
                <w:i w:val="false"/>
                <w:iCs w:val="false"/>
                <w:color w:val="1f2937"/>
                <w:sz w:val="18"/>
                <w:szCs w:val="18"/>
              </w:rPr>
              <w:t xml:space="preserve">1,766</w:t>
            </w:r>
          </w:p>
        </w:tc>
        <w:tc>
          <w:p>
            <w:pPr>
              <w:spacing w:after="0"/>
            </w:pPr>
            <w:r>
              <w:rPr>
                <w:rFonts w:ascii="Calibri" w:cs="Calibri" w:eastAsia="Calibri" w:hAnsi="Calibri"/>
                <w:b w:val="false"/>
                <w:bCs w:val="false"/>
                <w:i w:val="false"/>
                <w:iCs w:val="false"/>
                <w:color w:val="1f2937"/>
                <w:sz w:val="18"/>
                <w:szCs w:val="18"/>
              </w:rPr>
              <w:t xml:space="preserve">54.5%</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$1,500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316</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9.8%</w:t>
            </w:r>
          </w:p>
        </w:tc>
      </w:tr>
      <w:tr>
        <w:tc>
          <w:p>
            <w:pPr>
              <w:spacing w:after="0"/>
            </w:pPr>
            <w:r>
              <w:rPr>
                <w:rFonts w:ascii="Calibri" w:cs="Calibri" w:eastAsia="Calibri" w:hAnsi="Calibri"/>
                <w:b w:val="false"/>
                <w:bCs w:val="false"/>
                <w:i w:val="false"/>
                <w:iCs w:val="false"/>
                <w:color w:val="1f2937"/>
                <w:sz w:val="18"/>
                <w:szCs w:val="18"/>
              </w:rPr>
              <w:t xml:space="preserve">$2,000</w:t>
            </w:r>
          </w:p>
        </w:tc>
        <w:tc>
          <w:p>
            <w:pPr>
              <w:spacing w:after="0"/>
            </w:pPr>
            <w:r>
              <w:rPr>
                <w:rFonts w:ascii="Calibri" w:cs="Calibri" w:eastAsia="Calibri" w:hAnsi="Calibri"/>
                <w:b w:val="false"/>
                <w:bCs w:val="false"/>
                <w:i w:val="false"/>
                <w:iCs w:val="false"/>
                <w:color w:val="1f2937"/>
                <w:sz w:val="18"/>
                <w:szCs w:val="18"/>
              </w:rPr>
              <w:t xml:space="preserve">3</w:t>
            </w:r>
          </w:p>
        </w:tc>
        <w:tc>
          <w:p>
            <w:pPr>
              <w:spacing w:after="0"/>
            </w:pPr>
            <w:r>
              <w:rPr>
                <w:rFonts w:ascii="Calibri" w:cs="Calibri" w:eastAsia="Calibri" w:hAnsi="Calibri"/>
                <w:b w:val="false"/>
                <w:bCs w:val="false"/>
                <w:i w:val="false"/>
                <w:iCs w:val="false"/>
                <w:color w:val="1f2937"/>
                <w:sz w:val="18"/>
                <w:szCs w:val="18"/>
              </w:rPr>
              <w:t xml:space="preserve">&lt; 0.1%</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$2,500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650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20.1%</w:t>
            </w:r>
          </w:p>
        </w:tc>
      </w:tr>
      <w:tr>
        <w:tc>
          <w:p>
            <w:pPr>
              <w:spacing w:after="0"/>
            </w:pPr>
            <w:r>
              <w:rPr>
                <w:rFonts w:ascii="Calibri" w:cs="Calibri" w:eastAsia="Calibri" w:hAnsi="Calibri"/>
                <w:b w:val="false"/>
                <w:bCs w:val="false"/>
                <w:i w:val="false"/>
                <w:iCs w:val="false"/>
                <w:color w:val="1f2937"/>
                <w:sz w:val="18"/>
                <w:szCs w:val="18"/>
              </w:rPr>
              <w:t xml:space="preserve">$5,000</w:t>
            </w:r>
          </w:p>
        </w:tc>
        <w:tc>
          <w:p>
            <w:pPr>
              <w:spacing w:after="0"/>
            </w:pPr>
            <w:r>
              <w:rPr>
                <w:rFonts w:ascii="Calibri" w:cs="Calibri" w:eastAsia="Calibri" w:hAnsi="Calibri"/>
                <w:b w:val="false"/>
                <w:bCs w:val="false"/>
                <w:i w:val="false"/>
                <w:iCs w:val="false"/>
                <w:color w:val="1f2937"/>
                <w:sz w:val="18"/>
                <w:szCs w:val="18"/>
              </w:rPr>
              <w:t xml:space="preserve">303</w:t>
            </w:r>
          </w:p>
        </w:tc>
        <w:tc>
          <w:p>
            <w:pPr>
              <w:spacing w:after="0"/>
            </w:pPr>
            <w:r>
              <w:rPr>
                <w:rFonts w:ascii="Calibri" w:cs="Calibri" w:eastAsia="Calibri" w:hAnsi="Calibri"/>
                <w:b w:val="false"/>
                <w:bCs w:val="false"/>
                <w:i w:val="false"/>
                <w:iCs w:val="false"/>
                <w:color w:val="1f2937"/>
                <w:sz w:val="18"/>
                <w:szCs w:val="18"/>
              </w:rPr>
              <w:t xml:space="preserve">9.4%</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3,241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100.0%</w:t>
            </w:r>
          </w:p>
        </w:tc>
      </w:tr>
    </w:tbl>
    <w:p>
      <w:pPr>
        <w:pStyle w:val="Heading2"/>
        <w:spacing w:before="300" w:after="120"/>
      </w:pPr>
      <w:r>
        <w:rPr>
          <w:rFonts w:ascii="Calibri" w:cs="Calibri" w:eastAsia="Calibri" w:hAnsi="Calibri"/>
          <w:b/>
          <w:bCs/>
          <w:i w:val="false"/>
          <w:iCs w:val="false"/>
          <w:color w:val="1a56db"/>
          <w:sz w:val="26"/>
          <w:szCs w:val="26"/>
        </w:rPr>
        <w:t xml:space="preserve">Plan / Product Distribution (Top 15)</w:t>
      </w:r>
    </w:p>
    <w:p>
      <w:pPr>
        <w:spacing w:after="120"/>
      </w:pPr>
      <w:r>
        <w:rPr>
          <w:rFonts w:ascii="Calibri" w:cs="Calibri" w:eastAsia="Calibri" w:hAnsi="Calibri"/>
          <w:b w:val="false"/>
          <w:bCs w:val="false"/>
          <w:i w:val="false"/>
          <w:iCs w:val="false"/>
          <w:color w:val="1f2937"/>
          <w:sz w:val="22"/>
          <w:szCs w:val="22"/>
        </w:rPr>
        <w:t xml:space="preserve">Based on 4,368 members with product data. Program has offered 65 unique product configurations over its operational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Plan / Product</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Members</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 of Total</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Health Sharing</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484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11.1%</w:t>
            </w:r>
          </w:p>
        </w:tc>
      </w:tr>
      <w:tr>
        <w:tc>
          <w:p>
            <w:pPr>
              <w:spacing w:after="0"/>
            </w:pPr>
            <w:r>
              <w:rPr>
                <w:rFonts w:ascii="Calibri" w:cs="Calibri" w:eastAsia="Calibri" w:hAnsi="Calibri"/>
                <w:b w:val="false"/>
                <w:bCs w:val="false"/>
                <w:i w:val="false"/>
                <w:iCs w:val="false"/>
                <w:color w:val="1f2937"/>
                <w:sz w:val="18"/>
                <w:szCs w:val="18"/>
              </w:rPr>
              <w:t xml:space="preserve">SECURE (31119)</w:t>
            </w:r>
          </w:p>
        </w:tc>
        <w:tc>
          <w:p>
            <w:pPr>
              <w:spacing w:after="0"/>
            </w:pPr>
            <w:r>
              <w:rPr>
                <w:rFonts w:ascii="Calibri" w:cs="Calibri" w:eastAsia="Calibri" w:hAnsi="Calibri"/>
                <w:b w:val="false"/>
                <w:bCs w:val="false"/>
                <w:i w:val="false"/>
                <w:iCs w:val="false"/>
                <w:color w:val="1f2937"/>
                <w:sz w:val="18"/>
                <w:szCs w:val="18"/>
              </w:rPr>
              <w:t xml:space="preserve">332</w:t>
            </w:r>
          </w:p>
        </w:tc>
        <w:tc>
          <w:p>
            <w:pPr>
              <w:spacing w:after="0"/>
            </w:pPr>
            <w:r>
              <w:rPr>
                <w:rFonts w:ascii="Calibri" w:cs="Calibri" w:eastAsia="Calibri" w:hAnsi="Calibri"/>
                <w:b w:val="false"/>
                <w:bCs w:val="false"/>
                <w:i w:val="false"/>
                <w:iCs w:val="false"/>
                <w:color w:val="1f2937"/>
                <w:sz w:val="18"/>
                <w:szCs w:val="18"/>
              </w:rPr>
              <w:t xml:space="preserve">7.6%</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MPB Group Plan (Individual)</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290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6.6%</w:t>
            </w:r>
          </w:p>
        </w:tc>
      </w:tr>
      <w:tr>
        <w:tc>
          <w:p>
            <w:pPr>
              <w:spacing w:after="0"/>
            </w:pPr>
            <w:r>
              <w:rPr>
                <w:rFonts w:ascii="Calibri" w:cs="Calibri" w:eastAsia="Calibri" w:hAnsi="Calibri"/>
                <w:b w:val="false"/>
                <w:bCs w:val="false"/>
                <w:i w:val="false"/>
                <w:iCs w:val="false"/>
                <w:color w:val="1f2937"/>
                <w:sz w:val="18"/>
                <w:szCs w:val="18"/>
              </w:rPr>
              <w:t xml:space="preserve">Partially Self Directed (27198)</w:t>
            </w:r>
          </w:p>
        </w:tc>
        <w:tc>
          <w:p>
            <w:pPr>
              <w:spacing w:after="0"/>
            </w:pPr>
            <w:r>
              <w:rPr>
                <w:rFonts w:ascii="Calibri" w:cs="Calibri" w:eastAsia="Calibri" w:hAnsi="Calibri"/>
                <w:b w:val="false"/>
                <w:bCs w:val="false"/>
                <w:i w:val="false"/>
                <w:iCs w:val="false"/>
                <w:color w:val="1f2937"/>
                <w:sz w:val="18"/>
                <w:szCs w:val="18"/>
              </w:rPr>
              <w:t xml:space="preserve">278</w:t>
            </w:r>
          </w:p>
        </w:tc>
        <w:tc>
          <w:p>
            <w:pPr>
              <w:spacing w:after="0"/>
            </w:pPr>
            <w:r>
              <w:rPr>
                <w:rFonts w:ascii="Calibri" w:cs="Calibri" w:eastAsia="Calibri" w:hAnsi="Calibri"/>
                <w:b w:val="false"/>
                <w:bCs w:val="false"/>
                <w:i w:val="false"/>
                <w:iCs w:val="false"/>
                <w:color w:val="1f2937"/>
                <w:sz w:val="18"/>
                <w:szCs w:val="18"/>
              </w:rPr>
              <w:t xml:space="preserve">6.4%</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MPB CareZ - Worksite - Bridge (30445)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274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6.3%</w:t>
            </w:r>
          </w:p>
        </w:tc>
      </w:tr>
      <w:tr>
        <w:tc>
          <w:p>
            <w:pPr>
              <w:spacing w:after="0"/>
            </w:pPr>
            <w:r>
              <w:rPr>
                <w:rFonts w:ascii="Calibri" w:cs="Calibri" w:eastAsia="Calibri" w:hAnsi="Calibri"/>
                <w:b w:val="false"/>
                <w:bCs w:val="false"/>
                <w:i w:val="false"/>
                <w:iCs w:val="false"/>
                <w:color w:val="1f2937"/>
                <w:sz w:val="18"/>
                <w:szCs w:val="18"/>
              </w:rPr>
              <w:t xml:space="preserve">Secure HSA (45800)</w:t>
            </w:r>
          </w:p>
        </w:tc>
        <w:tc>
          <w:p>
            <w:pPr>
              <w:spacing w:after="0"/>
            </w:pPr>
            <w:r>
              <w:rPr>
                <w:rFonts w:ascii="Calibri" w:cs="Calibri" w:eastAsia="Calibri" w:hAnsi="Calibri"/>
                <w:b w:val="false"/>
                <w:bCs w:val="false"/>
                <w:i w:val="false"/>
                <w:iCs w:val="false"/>
                <w:color w:val="1f2937"/>
                <w:sz w:val="18"/>
                <w:szCs w:val="18"/>
              </w:rPr>
              <w:t xml:space="preserve">242</w:t>
            </w:r>
          </w:p>
        </w:tc>
        <w:tc>
          <w:p>
            <w:pPr>
              <w:spacing w:after="0"/>
            </w:pPr>
            <w:r>
              <w:rPr>
                <w:rFonts w:ascii="Calibri" w:cs="Calibri" w:eastAsia="Calibri" w:hAnsi="Calibri"/>
                <w:b w:val="false"/>
                <w:bCs w:val="false"/>
                <w:i w:val="false"/>
                <w:iCs w:val="false"/>
                <w:color w:val="1f2937"/>
                <w:sz w:val="18"/>
                <w:szCs w:val="18"/>
              </w:rPr>
              <w:t xml:space="preserve">5.5%</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Secure HSA 2024 (42467)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225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5.2%</w:t>
            </w:r>
          </w:p>
        </w:tc>
      </w:tr>
      <w:tr>
        <w:tc>
          <w:p>
            <w:pPr>
              <w:spacing w:after="0"/>
            </w:pPr>
            <w:r>
              <w:rPr>
                <w:rFonts w:ascii="Calibri" w:cs="Calibri" w:eastAsia="Calibri" w:hAnsi="Calibri"/>
                <w:b w:val="false"/>
                <w:bCs w:val="false"/>
                <w:i w:val="false"/>
                <w:iCs w:val="false"/>
                <w:color w:val="1f2937"/>
                <w:sz w:val="18"/>
                <w:szCs w:val="18"/>
              </w:rPr>
              <w:t xml:space="preserve">Premium Care (43957)</w:t>
            </w:r>
          </w:p>
        </w:tc>
        <w:tc>
          <w:p>
            <w:pPr>
              <w:spacing w:after="0"/>
            </w:pPr>
            <w:r>
              <w:rPr>
                <w:rFonts w:ascii="Calibri" w:cs="Calibri" w:eastAsia="Calibri" w:hAnsi="Calibri"/>
                <w:b w:val="false"/>
                <w:bCs w:val="false"/>
                <w:i w:val="false"/>
                <w:iCs w:val="false"/>
                <w:color w:val="1f2937"/>
                <w:sz w:val="18"/>
                <w:szCs w:val="18"/>
              </w:rPr>
              <w:t xml:space="preserve">202</w:t>
            </w:r>
          </w:p>
        </w:tc>
        <w:tc>
          <w:p>
            <w:pPr>
              <w:spacing w:after="0"/>
            </w:pPr>
            <w:r>
              <w:rPr>
                <w:rFonts w:ascii="Calibri" w:cs="Calibri" w:eastAsia="Calibri" w:hAnsi="Calibri"/>
                <w:b w:val="false"/>
                <w:bCs w:val="false"/>
                <w:i w:val="false"/>
                <w:iCs w:val="false"/>
                <w:color w:val="1f2937"/>
                <w:sz w:val="18"/>
                <w:szCs w:val="18"/>
              </w:rPr>
              <w:t xml:space="preserve">4.6%</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Health Insurance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4.6%</w:t>
            </w:r>
          </w:p>
        </w:tc>
      </w:tr>
      <w:tr>
        <w:tc>
          <w:p>
            <w:pPr>
              <w:spacing w:after="0"/>
            </w:pPr>
            <w:r>
              <w:rPr>
                <w:rFonts w:ascii="Calibri" w:cs="Calibri" w:eastAsia="Calibri" w:hAnsi="Calibri"/>
                <w:b w:val="false"/>
                <w:bCs w:val="false"/>
                <w:i w:val="false"/>
                <w:iCs w:val="false"/>
                <w:color w:val="1f2937"/>
                <w:sz w:val="18"/>
                <w:szCs w:val="18"/>
              </w:rPr>
              <w:t xml:space="preserve">MPowering Secure Care (35768)</w:t>
            </w:r>
          </w:p>
        </w:tc>
        <w:tc>
          <w:p>
            <w:pPr>
              <w:spacing w:after="0"/>
            </w:pPr>
            <w:r>
              <w:rPr>
                <w:rFonts w:ascii="Calibri" w:cs="Calibri" w:eastAsia="Calibri" w:hAnsi="Calibri"/>
                <w:b w:val="false"/>
                <w:bCs w:val="false"/>
                <w:i w:val="false"/>
                <w:iCs w:val="false"/>
                <w:color w:val="1f2937"/>
                <w:sz w:val="18"/>
                <w:szCs w:val="18"/>
              </w:rPr>
              <w:t xml:space="preserve">198</w:t>
            </w:r>
          </w:p>
        </w:tc>
        <w:tc>
          <w:p>
            <w:pPr>
              <w:spacing w:after="0"/>
            </w:pPr>
            <w:r>
              <w:rPr>
                <w:rFonts w:ascii="Calibri" w:cs="Calibri" w:eastAsia="Calibri" w:hAnsi="Calibri"/>
                <w:b w:val="false"/>
                <w:bCs w:val="false"/>
                <w:i w:val="false"/>
                <w:iCs w:val="false"/>
                <w:color w:val="1f2937"/>
                <w:sz w:val="18"/>
                <w:szCs w:val="18"/>
              </w:rPr>
              <w:t xml:space="preserve">4.5%</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Care Plus 2024 (42464)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191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4.4%</w:t>
            </w:r>
          </w:p>
        </w:tc>
      </w:tr>
      <w:tr>
        <w:tc>
          <w:p>
            <w:pPr>
              <w:spacing w:after="0"/>
            </w:pPr>
            <w:r>
              <w:rPr>
                <w:rFonts w:ascii="Calibri" w:cs="Calibri" w:eastAsia="Calibri" w:hAnsi="Calibri"/>
                <w:b w:val="false"/>
                <w:bCs w:val="false"/>
                <w:i w:val="false"/>
                <w:iCs w:val="false"/>
                <w:color w:val="1f2937"/>
                <w:sz w:val="18"/>
                <w:szCs w:val="18"/>
              </w:rPr>
              <w:t xml:space="preserve">MPowering Care Plus (35693)</w:t>
            </w:r>
          </w:p>
        </w:tc>
        <w:tc>
          <w:p>
            <w:pPr>
              <w:spacing w:after="0"/>
            </w:pPr>
            <w:r>
              <w:rPr>
                <w:rFonts w:ascii="Calibri" w:cs="Calibri" w:eastAsia="Calibri" w:hAnsi="Calibri"/>
                <w:b w:val="false"/>
                <w:bCs w:val="false"/>
                <w:i w:val="false"/>
                <w:iCs w:val="false"/>
                <w:color w:val="1f2937"/>
                <w:sz w:val="18"/>
                <w:szCs w:val="18"/>
              </w:rPr>
              <w:t xml:space="preserve">191</w:t>
            </w:r>
          </w:p>
        </w:tc>
        <w:tc>
          <w:p>
            <w:pPr>
              <w:spacing w:after="0"/>
            </w:pPr>
            <w:r>
              <w:rPr>
                <w:rFonts w:ascii="Calibri" w:cs="Calibri" w:eastAsia="Calibri" w:hAnsi="Calibri"/>
                <w:b w:val="false"/>
                <w:bCs w:val="false"/>
                <w:i w:val="false"/>
                <w:iCs w:val="false"/>
                <w:color w:val="1f2937"/>
                <w:sz w:val="18"/>
                <w:szCs w:val="18"/>
              </w:rPr>
              <w:t xml:space="preserve">4.4%</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Provider Directed - Redirect (27201)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157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3.6%</w:t>
            </w:r>
          </w:p>
        </w:tc>
      </w:tr>
      <w:tr>
        <w:tc>
          <w:p>
            <w:pPr>
              <w:spacing w:after="0"/>
            </w:pPr>
            <w:r>
              <w:rPr>
                <w:rFonts w:ascii="Calibri" w:cs="Calibri" w:eastAsia="Calibri" w:hAnsi="Calibri"/>
                <w:b w:val="false"/>
                <w:bCs w:val="false"/>
                <w:i w:val="false"/>
                <w:iCs w:val="false"/>
                <w:color w:val="1f2937"/>
                <w:sz w:val="18"/>
                <w:szCs w:val="18"/>
              </w:rPr>
              <w:t xml:space="preserve">CARE + (31103)</w:t>
            </w:r>
          </w:p>
        </w:tc>
        <w:tc>
          <w:p>
            <w:pPr>
              <w:spacing w:after="0"/>
            </w:pPr>
            <w:r>
              <w:rPr>
                <w:rFonts w:ascii="Calibri" w:cs="Calibri" w:eastAsia="Calibri" w:hAnsi="Calibri"/>
                <w:b w:val="false"/>
                <w:bCs w:val="false"/>
                <w:i w:val="false"/>
                <w:iCs w:val="false"/>
                <w:color w:val="1f2937"/>
                <w:sz w:val="18"/>
                <w:szCs w:val="18"/>
              </w:rPr>
              <w:t xml:space="preserve">146</w:t>
            </w:r>
          </w:p>
        </w:tc>
        <w:tc>
          <w:p>
            <w:pPr>
              <w:spacing w:after="0"/>
            </w:pPr>
            <w:r>
              <w:rPr>
                <w:rFonts w:ascii="Calibri" w:cs="Calibri" w:eastAsia="Calibri" w:hAnsi="Calibri"/>
                <w:b w:val="false"/>
                <w:bCs w:val="false"/>
                <w:i w:val="false"/>
                <w:iCs w:val="false"/>
                <w:color w:val="1f2937"/>
                <w:sz w:val="18"/>
                <w:szCs w:val="18"/>
              </w:rPr>
              <w:t xml:space="preserve">3.3%</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 Be Determined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102</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2.3%</w:t>
            </w:r>
          </w:p>
        </w:tc>
      </w:tr>
      <w:tr>
        <w:tc>
          <w:p>
            <w:pPr>
              <w:spacing w:after="0"/>
            </w:pPr>
            <w:r>
              <w:rPr>
                <w:rFonts w:ascii="Calibri" w:cs="Calibri" w:eastAsia="Calibri" w:hAnsi="Calibri"/>
                <w:b w:val="false"/>
                <w:bCs w:val="false"/>
                <w:i w:val="false"/>
                <w:iCs w:val="false"/>
                <w:color w:val="1f2937"/>
                <w:sz w:val="18"/>
                <w:szCs w:val="18"/>
              </w:rPr>
              <w:t xml:space="preserve">Other (50 plans)</w:t>
            </w:r>
          </w:p>
        </w:tc>
        <w:tc>
          <w:p>
            <w:pPr>
              <w:spacing w:after="0"/>
            </w:pPr>
            <w:r>
              <w:rPr>
                <w:rFonts w:ascii="Calibri" w:cs="Calibri" w:eastAsia="Calibri" w:hAnsi="Calibri"/>
                <w:b w:val="false"/>
                <w:bCs w:val="false"/>
                <w:i w:val="false"/>
                <w:iCs w:val="false"/>
                <w:color w:val="1f2937"/>
                <w:sz w:val="18"/>
                <w:szCs w:val="18"/>
              </w:rPr>
              <w:t xml:space="preserve">856</w:t>
            </w:r>
          </w:p>
        </w:tc>
        <w:tc>
          <w:p>
            <w:pPr>
              <w:spacing w:after="0"/>
            </w:pPr>
            <w:r>
              <w:rPr>
                <w:rFonts w:ascii="Calibri" w:cs="Calibri" w:eastAsia="Calibri" w:hAnsi="Calibri"/>
                <w:b w:val="false"/>
                <w:bCs w:val="false"/>
                <w:i w:val="false"/>
                <w:iCs w:val="false"/>
                <w:color w:val="1f2937"/>
                <w:sz w:val="18"/>
                <w:szCs w:val="18"/>
              </w:rPr>
              <w:t xml:space="preserve">19.6%</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4,368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100.0%</w:t>
            </w:r>
          </w:p>
        </w:tc>
      </w:tr>
    </w:tbl>
    <w:p>
      <w:pPr>
        <w:pStyle w:val="Heading2"/>
        <w:spacing w:before="300" w:after="120"/>
      </w:pPr>
      <w:r>
        <w:rPr>
          <w:rFonts w:ascii="Calibri" w:cs="Calibri" w:eastAsia="Calibri" w:hAnsi="Calibri"/>
          <w:b/>
          <w:bCs/>
          <w:i w:val="false"/>
          <w:iCs w:val="false"/>
          <w:color w:val="1a56db"/>
          <w:sz w:val="26"/>
          <w:szCs w:val="26"/>
        </w:rPr>
        <w:t xml:space="preserve">Monthly Contributions by Age Band</w:t>
      </w:r>
    </w:p>
    <w:p>
      <w:pPr>
        <w:spacing w:after="120"/>
      </w:pPr>
      <w:r>
        <w:rPr>
          <w:rFonts w:ascii="Calibri" w:cs="Calibri" w:eastAsia="Calibri" w:hAnsi="Calibri"/>
          <w:b w:val="false"/>
          <w:bCs w:val="false"/>
          <w:i w:val="false"/>
          <w:iCs w:val="false"/>
          <w:color w:val="1f2937"/>
          <w:sz w:val="22"/>
          <w:szCs w:val="22"/>
        </w:rPr>
        <w:t xml:space="preserve">Actual average monthly contributions by age band, extracted from 3,325 members with premium data on file. All amounts are de-identified aggregates.</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color="1a56db" w:val="solid"/>
          </w:tcPr>
          <w:p>
            <w:pPr>
              <w:spacing w:after="0"/>
            </w:pPr>
            <w:r>
              <w:rPr>
                <w:rFonts w:ascii="Calibri" w:cs="Calibri" w:eastAsia="Calibri" w:hAnsi="Calibri"/>
                <w:b/>
                <w:bCs/>
                <w:i w:val="false"/>
                <w:iCs w:val="false"/>
                <w:color w:val="ffffff"/>
                <w:sz w:val="20"/>
                <w:szCs w:val="20"/>
              </w:rPr>
              <w:t xml:space="preserve">Age Band</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Members with Data</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Avg Monthly</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Median Monthly</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Min</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Max</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0–17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12</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$301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$256</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$159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$609</w:t>
            </w:r>
          </w:p>
        </w:tc>
      </w:tr>
      <w:tr>
        <w:tc>
          <w:p>
            <w:pPr>
              <w:spacing w:after="0"/>
            </w:pPr>
            <w:r>
              <w:rPr>
                <w:rFonts w:ascii="Calibri" w:cs="Calibri" w:eastAsia="Calibri" w:hAnsi="Calibri"/>
                <w:b w:val="false"/>
                <w:bCs w:val="false"/>
                <w:i w:val="false"/>
                <w:iCs w:val="false"/>
                <w:color w:val="1f2937"/>
                <w:sz w:val="18"/>
                <w:szCs w:val="18"/>
              </w:rPr>
              <w:t xml:space="preserve">18–25</w:t>
            </w:r>
          </w:p>
        </w:tc>
        <w:tc>
          <w:p>
            <w:pPr>
              <w:spacing w:after="0"/>
            </w:pPr>
            <w:r>
              <w:rPr>
                <w:rFonts w:ascii="Calibri" w:cs="Calibri" w:eastAsia="Calibri" w:hAnsi="Calibri"/>
                <w:b w:val="false"/>
                <w:bCs w:val="false"/>
                <w:i w:val="false"/>
                <w:iCs w:val="false"/>
                <w:color w:val="1f2937"/>
                <w:sz w:val="18"/>
                <w:szCs w:val="18"/>
              </w:rPr>
              <w:t xml:space="preserve">25</w:t>
            </w:r>
          </w:p>
        </w:tc>
        <w:tc>
          <w:p>
            <w:pPr>
              <w:spacing w:after="0"/>
            </w:pPr>
            <w:r>
              <w:rPr>
                <w:rFonts w:ascii="Calibri" w:cs="Calibri" w:eastAsia="Calibri" w:hAnsi="Calibri"/>
                <w:b w:val="false"/>
                <w:bCs w:val="false"/>
                <w:i w:val="false"/>
                <w:iCs w:val="false"/>
                <w:color w:val="1f2937"/>
                <w:sz w:val="18"/>
                <w:szCs w:val="18"/>
              </w:rPr>
              <w:t xml:space="preserve">$232</w:t>
            </w:r>
          </w:p>
        </w:tc>
        <w:tc>
          <w:p>
            <w:pPr>
              <w:spacing w:after="0"/>
            </w:pPr>
            <w:r>
              <w:rPr>
                <w:rFonts w:ascii="Calibri" w:cs="Calibri" w:eastAsia="Calibri" w:hAnsi="Calibri"/>
                <w:b w:val="false"/>
                <w:bCs w:val="false"/>
                <w:i w:val="false"/>
                <w:iCs w:val="false"/>
                <w:color w:val="1f2937"/>
                <w:sz w:val="18"/>
                <w:szCs w:val="18"/>
              </w:rPr>
              <w:t xml:space="preserve">$215</w:t>
            </w:r>
          </w:p>
        </w:tc>
        <w:tc>
          <w:p>
            <w:pPr>
              <w:spacing w:after="0"/>
            </w:pPr>
            <w:r>
              <w:rPr>
                <w:rFonts w:ascii="Calibri" w:cs="Calibri" w:eastAsia="Calibri" w:hAnsi="Calibri"/>
                <w:b w:val="false"/>
                <w:bCs w:val="false"/>
                <w:i w:val="false"/>
                <w:iCs w:val="false"/>
                <w:color w:val="1f2937"/>
                <w:sz w:val="18"/>
                <w:szCs w:val="18"/>
              </w:rPr>
              <w:t xml:space="preserve">$160</w:t>
            </w:r>
          </w:p>
        </w:tc>
        <w:tc>
          <w:p>
            <w:pPr>
              <w:spacing w:after="0"/>
            </w:pPr>
            <w:r>
              <w:rPr>
                <w:rFonts w:ascii="Calibri" w:cs="Calibri" w:eastAsia="Calibri" w:hAnsi="Calibri"/>
                <w:b w:val="false"/>
                <w:bCs w:val="false"/>
                <w:i w:val="false"/>
                <w:iCs w:val="false"/>
                <w:color w:val="1f2937"/>
                <w:sz w:val="18"/>
                <w:szCs w:val="18"/>
              </w:rPr>
              <w:t xml:space="preserve">$459</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26–35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318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$310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$265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$780</w:t>
            </w:r>
          </w:p>
        </w:tc>
      </w:tr>
      <w:tr>
        <w:tc>
          <w:p>
            <w:pPr>
              <w:spacing w:after="0"/>
            </w:pPr>
            <w:r>
              <w:rPr>
                <w:rFonts w:ascii="Calibri" w:cs="Calibri" w:eastAsia="Calibri" w:hAnsi="Calibri"/>
                <w:b w:val="false"/>
                <w:bCs w:val="false"/>
                <w:i w:val="false"/>
                <w:iCs w:val="false"/>
                <w:color w:val="1f2937"/>
                <w:sz w:val="18"/>
                <w:szCs w:val="18"/>
              </w:rPr>
              <w:t xml:space="preserve">36–45</w:t>
            </w:r>
          </w:p>
        </w:tc>
        <w:tc>
          <w:p>
            <w:pPr>
              <w:spacing w:after="0"/>
            </w:pPr>
            <w:r>
              <w:rPr>
                <w:rFonts w:ascii="Calibri" w:cs="Calibri" w:eastAsia="Calibri" w:hAnsi="Calibri"/>
                <w:b w:val="false"/>
                <w:bCs w:val="false"/>
                <w:i w:val="false"/>
                <w:iCs w:val="false"/>
                <w:color w:val="1f2937"/>
                <w:sz w:val="18"/>
                <w:szCs w:val="18"/>
              </w:rPr>
              <w:t xml:space="preserve">539</w:t>
            </w:r>
          </w:p>
        </w:tc>
        <w:tc>
          <w:p>
            <w:pPr>
              <w:spacing w:after="0"/>
            </w:pPr>
            <w:r>
              <w:rPr>
                <w:rFonts w:ascii="Calibri" w:cs="Calibri" w:eastAsia="Calibri" w:hAnsi="Calibri"/>
                <w:b w:val="false"/>
                <w:bCs w:val="false"/>
                <w:i w:val="false"/>
                <w:iCs w:val="false"/>
                <w:color w:val="1f2937"/>
                <w:sz w:val="18"/>
                <w:szCs w:val="18"/>
              </w:rPr>
              <w:t xml:space="preserve">$429</w:t>
            </w:r>
          </w:p>
        </w:tc>
        <w:tc>
          <w:p>
            <w:pPr>
              <w:spacing w:after="0"/>
            </w:pPr>
            <w:r>
              <w:rPr>
                <w:rFonts w:ascii="Calibri" w:cs="Calibri" w:eastAsia="Calibri" w:hAnsi="Calibri"/>
                <w:b w:val="false"/>
                <w:bCs w:val="false"/>
                <w:i w:val="false"/>
                <w:iCs w:val="false"/>
                <w:color w:val="1f2937"/>
                <w:sz w:val="18"/>
                <w:szCs w:val="18"/>
              </w:rPr>
              <w:t xml:space="preserve">$336</w:t>
            </w:r>
          </w:p>
        </w:tc>
        <w:tc>
          <w:p>
            <w:pPr>
              <w:spacing w:after="0"/>
            </w:pPr>
            <w:r>
              <w:rPr>
                <w:rFonts w:ascii="Calibri" w:cs="Calibri" w:eastAsia="Calibri" w:hAnsi="Calibri"/>
                <w:b w:val="false"/>
                <w:bCs w:val="false"/>
                <w:i w:val="false"/>
                <w:iCs w:val="false"/>
                <w:color w:val="1f2937"/>
                <w:sz w:val="18"/>
                <w:szCs w:val="18"/>
              </w:rPr>
              <w:t xml:space="preserve">$29</w:t>
            </w:r>
          </w:p>
        </w:tc>
        <w:tc>
          <w:p>
            <w:pPr>
              <w:spacing w:after="0"/>
            </w:pPr>
            <w:r>
              <w:rPr>
                <w:rFonts w:ascii="Calibri" w:cs="Calibri" w:eastAsia="Calibri" w:hAnsi="Calibri"/>
                <w:b w:val="false"/>
                <w:bCs w:val="false"/>
                <w:i w:val="false"/>
                <w:iCs w:val="false"/>
                <w:color w:val="1f2937"/>
                <w:sz w:val="18"/>
                <w:szCs w:val="18"/>
              </w:rPr>
              <w:t xml:space="preserve">$1,773</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46–55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764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$490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$445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$1,018</w:t>
            </w:r>
          </w:p>
        </w:tc>
      </w:tr>
      <w:tr>
        <w:tc>
          <w:p>
            <w:pPr>
              <w:spacing w:after="0"/>
            </w:pPr>
            <w:r>
              <w:rPr>
                <w:rFonts w:ascii="Calibri" w:cs="Calibri" w:eastAsia="Calibri" w:hAnsi="Calibri"/>
                <w:b w:val="false"/>
                <w:bCs w:val="false"/>
                <w:i w:val="false"/>
                <w:iCs w:val="false"/>
                <w:color w:val="1f2937"/>
                <w:sz w:val="18"/>
                <w:szCs w:val="18"/>
              </w:rPr>
              <w:t xml:space="preserve">56–64</w:t>
            </w:r>
          </w:p>
        </w:tc>
        <w:tc>
          <w:p>
            <w:pPr>
              <w:spacing w:after="0"/>
            </w:pPr>
            <w:r>
              <w:rPr>
                <w:rFonts w:ascii="Calibri" w:cs="Calibri" w:eastAsia="Calibri" w:hAnsi="Calibri"/>
                <w:b w:val="false"/>
                <w:bCs w:val="false"/>
                <w:i w:val="false"/>
                <w:iCs w:val="false"/>
                <w:color w:val="1f2937"/>
                <w:sz w:val="18"/>
                <w:szCs w:val="18"/>
              </w:rPr>
              <w:t xml:space="preserve">1,103</w:t>
            </w:r>
          </w:p>
        </w:tc>
        <w:tc>
          <w:p>
            <w:pPr>
              <w:spacing w:after="0"/>
            </w:pPr>
            <w:r>
              <w:rPr>
                <w:rFonts w:ascii="Calibri" w:cs="Calibri" w:eastAsia="Calibri" w:hAnsi="Calibri"/>
                <w:b w:val="false"/>
                <w:bCs w:val="false"/>
                <w:i w:val="false"/>
                <w:iCs w:val="false"/>
                <w:color w:val="1f2937"/>
                <w:sz w:val="18"/>
                <w:szCs w:val="18"/>
              </w:rPr>
              <w:t xml:space="preserve">$469</w:t>
            </w:r>
          </w:p>
        </w:tc>
        <w:tc>
          <w:p>
            <w:pPr>
              <w:spacing w:after="0"/>
            </w:pPr>
            <w:r>
              <w:rPr>
                <w:rFonts w:ascii="Calibri" w:cs="Calibri" w:eastAsia="Calibri" w:hAnsi="Calibri"/>
                <w:b w:val="false"/>
                <w:bCs w:val="false"/>
                <w:i w:val="false"/>
                <w:iCs w:val="false"/>
                <w:color w:val="1f2937"/>
                <w:sz w:val="18"/>
                <w:szCs w:val="18"/>
              </w:rPr>
              <w:t xml:space="preserve">$385</w:t>
            </w:r>
          </w:p>
        </w:tc>
        <w:tc>
          <w:p>
            <w:pPr>
              <w:spacing w:after="0"/>
            </w:pPr>
            <w:r>
              <w:rPr>
                <w:rFonts w:ascii="Calibri" w:cs="Calibri" w:eastAsia="Calibri" w:hAnsi="Calibri"/>
                <w:b w:val="false"/>
                <w:bCs w:val="false"/>
                <w:i w:val="false"/>
                <w:iCs w:val="false"/>
                <w:color w:val="1f2937"/>
                <w:sz w:val="18"/>
                <w:szCs w:val="18"/>
              </w:rPr>
              <w:t xml:space="preserve">$50</w:t>
            </w:r>
          </w:p>
        </w:tc>
        <w:tc>
          <w:p>
            <w:pPr>
              <w:spacing w:after="0"/>
            </w:pPr>
            <w:r>
              <w:rPr>
                <w:rFonts w:ascii="Calibri" w:cs="Calibri" w:eastAsia="Calibri" w:hAnsi="Calibri"/>
                <w:b w:val="false"/>
                <w:bCs w:val="false"/>
                <w:i w:val="false"/>
                <w:iCs w:val="false"/>
                <w:color w:val="1f2937"/>
                <w:sz w:val="18"/>
                <w:szCs w:val="18"/>
              </w:rPr>
              <w:t xml:space="preserve">$3,212</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65+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540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$379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$325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$1,349</w:t>
            </w:r>
          </w:p>
        </w:tc>
      </w:tr>
      <w:tr>
        <w:tc>
          <w:p>
            <w:pPr>
              <w:spacing w:after="0"/>
            </w:pPr>
            <w:r>
              <w:rPr>
                <w:rFonts w:ascii="Calibri" w:cs="Calibri" w:eastAsia="Calibri" w:hAnsi="Calibri"/>
                <w:b w:val="false"/>
                <w:bCs w:val="false"/>
                <w:i w:val="false"/>
                <w:iCs w:val="false"/>
                <w:color w:val="1f2937"/>
                <w:sz w:val="18"/>
                <w:szCs w:val="18"/>
              </w:rPr>
              <w:t xml:space="preserve">All Ages</w:t>
            </w:r>
          </w:p>
        </w:tc>
        <w:tc>
          <w:p>
            <w:pPr>
              <w:spacing w:after="0"/>
            </w:pPr>
            <w:r>
              <w:rPr>
                <w:rFonts w:ascii="Calibri" w:cs="Calibri" w:eastAsia="Calibri" w:hAnsi="Calibri"/>
                <w:b w:val="false"/>
                <w:bCs w:val="false"/>
                <w:i w:val="false"/>
                <w:iCs w:val="false"/>
                <w:color w:val="1f2937"/>
                <w:sz w:val="18"/>
                <w:szCs w:val="18"/>
              </w:rPr>
              <w:t xml:space="preserve">3,325</w:t>
            </w:r>
          </w:p>
        </w:tc>
        <w:tc>
          <w:p>
            <w:pPr>
              <w:spacing w:after="0"/>
            </w:pPr>
            <w:r>
              <w:rPr>
                <w:rFonts w:ascii="Calibri" w:cs="Calibri" w:eastAsia="Calibri" w:hAnsi="Calibri"/>
                <w:b w:val="false"/>
                <w:bCs w:val="false"/>
                <w:i w:val="false"/>
                <w:iCs w:val="false"/>
                <w:color w:val="1f2937"/>
                <w:sz w:val="18"/>
                <w:szCs w:val="18"/>
              </w:rPr>
              <w:t xml:space="preserve">$436</w:t>
            </w:r>
          </w:p>
        </w:tc>
        <w:tc>
          <w:p>
            <w:pPr>
              <w:spacing w:after="0"/>
            </w:pPr>
            <w:r>
              <w:rPr>
                <w:rFonts w:ascii="Calibri" w:cs="Calibri" w:eastAsia="Calibri" w:hAnsi="Calibri"/>
                <w:b w:val="false"/>
                <w:bCs w:val="false"/>
                <w:i w:val="false"/>
                <w:iCs w:val="false"/>
                <w:color w:val="1f2937"/>
                <w:sz w:val="18"/>
                <w:szCs w:val="18"/>
              </w:rPr>
              <w:t xml:space="preserve">$350</w:t>
            </w:r>
          </w:p>
        </w:tc>
        <w:tc>
          <w:p>
            <w:pPr>
              <w:spacing w:after="0"/>
            </w:pPr>
            <w:r>
              <w:rPr>
                <w:rFonts w:ascii="Calibri" w:cs="Calibri" w:eastAsia="Calibri" w:hAnsi="Calibri"/>
                <w:b w:val="false"/>
                <w:bCs w:val="false"/>
                <w:i w:val="false"/>
                <w:iCs w:val="false"/>
                <w:color w:val="1f2937"/>
                <w:sz w:val="18"/>
                <w:szCs w:val="18"/>
              </w:rPr>
              <w:t xml:space="preserve">$20</w:t>
            </w:r>
          </w:p>
        </w:tc>
        <w:tc>
          <w:p>
            <w:pPr>
              <w:spacing w:after="0"/>
            </w:pPr>
            <w:r>
              <w:rPr>
                <w:rFonts w:ascii="Calibri" w:cs="Calibri" w:eastAsia="Calibri" w:hAnsi="Calibri"/>
                <w:b w:val="false"/>
                <w:bCs w:val="false"/>
                <w:i w:val="false"/>
                <w:iCs w:val="false"/>
                <w:color w:val="1f2937"/>
                <w:sz w:val="18"/>
                <w:szCs w:val="18"/>
              </w:rPr>
              <w:t xml:space="preserve">$3,212</w:t>
            </w:r>
          </w:p>
        </w:tc>
      </w:tr>
    </w:tbl>
    <w:p>
      <w:pPr>
        <w:spacing w:before="80"/>
      </w:pPr>
    </w:p>
    <w:p>
      <w:pPr>
        <w:spacing w:after="120"/>
      </w:pPr>
      <w:r>
        <w:rPr>
          <w:rFonts w:ascii="Calibri" w:cs="Calibri" w:eastAsia="Calibri" w:hAnsi="Calibri"/>
          <w:b w:val="false"/>
          <w:bCs w:val="false"/>
          <w:i/>
          <w:iCs/>
          <w:color w:val="6b7280"/>
          <w:sz w:val="20"/>
          <w:szCs w:val="20"/>
        </w:rPr>
        <w:t xml:space="preserve">Note: Wide ranges reflect the diversity of 65 product configurations across the program’s history, including different IUA levels, coverage tiers, and plan designs. Administrative fees ($20–$35/month depending on plan) and one-time enrollment fees ($150–$200) are additional.</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Section 4: Contribution Analysis by Product (From Program Records)</w:t>
      </w:r>
    </w:p>
    <w:p>
      <w:pPr>
        <w:spacing w:after="120"/>
      </w:pPr>
      <w:r>
        <w:rPr>
          <w:rFonts w:ascii="Calibri" w:cs="Calibri" w:eastAsia="Calibri" w:hAnsi="Calibri"/>
          <w:b w:val="false"/>
          <w:bCs w:val="false"/>
          <w:i w:val="false"/>
          <w:iCs w:val="false"/>
          <w:color w:val="1f2937"/>
          <w:sz w:val="22"/>
          <w:szCs w:val="22"/>
        </w:rPr>
        <w:t xml:space="preserve">Actual average monthly contribution data by product, extracted from 3,325 members with premium data on file. Products shown are the top 15 by enrollment volume. All amounts are de-identified aggregates.</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color="1a56db" w:val="solid"/>
          </w:tcPr>
          <w:p>
            <w:pPr>
              <w:spacing w:after="0"/>
            </w:pPr>
            <w:r>
              <w:rPr>
                <w:rFonts w:ascii="Calibri" w:cs="Calibri" w:eastAsia="Calibri" w:hAnsi="Calibri"/>
                <w:b/>
                <w:bCs/>
                <w:i w:val="false"/>
                <w:iCs w:val="false"/>
                <w:color w:val="ffffff"/>
                <w:sz w:val="20"/>
                <w:szCs w:val="20"/>
              </w:rPr>
              <w:t xml:space="preserve">Plan / Product</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Members</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Avg Monthly</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Median Monthly</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Min</w:t>
            </w:r>
          </w:p>
        </w:tc>
        <w:tc>
          <w:tcPr>
            <w:tcW w:type="dxa" w:w="1500"/>
            <w:shd w:color="1a56db" w:val="solid"/>
          </w:tcPr>
          <w:p>
            <w:pPr>
              <w:spacing w:after="0"/>
            </w:pPr>
            <w:r>
              <w:rPr>
                <w:rFonts w:ascii="Calibri" w:cs="Calibri" w:eastAsia="Calibri" w:hAnsi="Calibri"/>
                <w:b/>
                <w:bCs/>
                <w:i w:val="false"/>
                <w:iCs w:val="false"/>
                <w:color w:val="ffffff"/>
                <w:sz w:val="20"/>
                <w:szCs w:val="20"/>
              </w:rPr>
              <w:t xml:space="preserve">Max</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SECURE (31119)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327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$408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$275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$225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$1,018</w:t>
            </w:r>
          </w:p>
        </w:tc>
      </w:tr>
      <w:tr>
        <w:tc>
          <w:p>
            <w:pPr>
              <w:spacing w:after="0"/>
            </w:pPr>
            <w:r>
              <w:rPr>
                <w:rFonts w:ascii="Calibri" w:cs="Calibri" w:eastAsia="Calibri" w:hAnsi="Calibri"/>
                <w:b w:val="false"/>
                <w:bCs w:val="false"/>
                <w:i w:val="false"/>
                <w:iCs w:val="false"/>
                <w:color w:val="1f2937"/>
                <w:sz w:val="18"/>
                <w:szCs w:val="18"/>
              </w:rPr>
              <w:t xml:space="preserve">MPB CareZ - Worksite - Bridge</w:t>
            </w:r>
          </w:p>
        </w:tc>
        <w:tc>
          <w:p>
            <w:pPr>
              <w:spacing w:after="0"/>
            </w:pPr>
            <w:r>
              <w:rPr>
                <w:rFonts w:ascii="Calibri" w:cs="Calibri" w:eastAsia="Calibri" w:hAnsi="Calibri"/>
                <w:b w:val="false"/>
                <w:bCs w:val="false"/>
                <w:i w:val="false"/>
                <w:iCs w:val="false"/>
                <w:color w:val="1f2937"/>
                <w:sz w:val="18"/>
                <w:szCs w:val="18"/>
              </w:rPr>
              <w:t xml:space="preserve">274</w:t>
            </w:r>
          </w:p>
        </w:tc>
        <w:tc>
          <w:p>
            <w:pPr>
              <w:spacing w:after="0"/>
            </w:pPr>
            <w:r>
              <w:rPr>
                <w:rFonts w:ascii="Calibri" w:cs="Calibri" w:eastAsia="Calibri" w:hAnsi="Calibri"/>
                <w:b w:val="false"/>
                <w:bCs w:val="false"/>
                <w:i w:val="false"/>
                <w:iCs w:val="false"/>
                <w:color w:val="1f2937"/>
                <w:sz w:val="18"/>
                <w:szCs w:val="18"/>
              </w:rPr>
              <w:t xml:space="preserve">$444</w:t>
            </w:r>
          </w:p>
        </w:tc>
        <w:tc>
          <w:p>
            <w:pPr>
              <w:spacing w:after="0"/>
            </w:pPr>
            <w:r>
              <w:rPr>
                <w:rFonts w:ascii="Calibri" w:cs="Calibri" w:eastAsia="Calibri" w:hAnsi="Calibri"/>
                <w:b w:val="false"/>
                <w:bCs w:val="false"/>
                <w:i w:val="false"/>
                <w:iCs w:val="false"/>
                <w:color w:val="1f2937"/>
                <w:sz w:val="18"/>
                <w:szCs w:val="18"/>
              </w:rPr>
              <w:t xml:space="preserve">$344</w:t>
            </w:r>
          </w:p>
        </w:tc>
        <w:tc>
          <w:p>
            <w:pPr>
              <w:spacing w:after="0"/>
            </w:pPr>
            <w:r>
              <w:rPr>
                <w:rFonts w:ascii="Calibri" w:cs="Calibri" w:eastAsia="Calibri" w:hAnsi="Calibri"/>
                <w:b w:val="false"/>
                <w:bCs w:val="false"/>
                <w:i w:val="false"/>
                <w:iCs w:val="false"/>
                <w:color w:val="1f2937"/>
                <w:sz w:val="18"/>
                <w:szCs w:val="18"/>
              </w:rPr>
              <w:t xml:space="preserve">$184</w:t>
            </w:r>
          </w:p>
        </w:tc>
        <w:tc>
          <w:p>
            <w:pPr>
              <w:spacing w:after="0"/>
            </w:pPr>
            <w:r>
              <w:rPr>
                <w:rFonts w:ascii="Calibri" w:cs="Calibri" w:eastAsia="Calibri" w:hAnsi="Calibri"/>
                <w:b w:val="false"/>
                <w:bCs w:val="false"/>
                <w:i w:val="false"/>
                <w:iCs w:val="false"/>
                <w:color w:val="1f2937"/>
                <w:sz w:val="18"/>
                <w:szCs w:val="18"/>
              </w:rPr>
              <w:t xml:space="preserve">$932</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Secure HSA (45800)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241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$550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$530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$225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$1,018</w:t>
            </w:r>
          </w:p>
        </w:tc>
      </w:tr>
      <w:tr>
        <w:tc>
          <w:p>
            <w:pPr>
              <w:spacing w:after="0"/>
            </w:pPr>
            <w:r>
              <w:rPr>
                <w:rFonts w:ascii="Calibri" w:cs="Calibri" w:eastAsia="Calibri" w:hAnsi="Calibri"/>
                <w:b w:val="false"/>
                <w:bCs w:val="false"/>
                <w:i w:val="false"/>
                <w:iCs w:val="false"/>
                <w:color w:val="1f2937"/>
                <w:sz w:val="18"/>
                <w:szCs w:val="18"/>
              </w:rPr>
              <w:t xml:space="preserve">Secure HSA 2024 (42467)</w:t>
            </w:r>
          </w:p>
        </w:tc>
        <w:tc>
          <w:p>
            <w:pPr>
              <w:spacing w:after="0"/>
            </w:pPr>
            <w:r>
              <w:rPr>
                <w:rFonts w:ascii="Calibri" w:cs="Calibri" w:eastAsia="Calibri" w:hAnsi="Calibri"/>
                <w:b w:val="false"/>
                <w:bCs w:val="false"/>
                <w:i w:val="false"/>
                <w:iCs w:val="false"/>
                <w:color w:val="1f2937"/>
                <w:sz w:val="18"/>
                <w:szCs w:val="18"/>
              </w:rPr>
              <w:t xml:space="preserve">225</w:t>
            </w:r>
          </w:p>
        </w:tc>
        <w:tc>
          <w:p>
            <w:pPr>
              <w:spacing w:after="0"/>
            </w:pPr>
            <w:r>
              <w:rPr>
                <w:rFonts w:ascii="Calibri" w:cs="Calibri" w:eastAsia="Calibri" w:hAnsi="Calibri"/>
                <w:b w:val="false"/>
                <w:bCs w:val="false"/>
                <w:i w:val="false"/>
                <w:iCs w:val="false"/>
                <w:color w:val="1f2937"/>
                <w:sz w:val="18"/>
                <w:szCs w:val="18"/>
              </w:rPr>
              <w:t xml:space="preserve">$575</w:t>
            </w:r>
          </w:p>
        </w:tc>
        <w:tc>
          <w:p>
            <w:pPr>
              <w:spacing w:after="0"/>
            </w:pPr>
            <w:r>
              <w:rPr>
                <w:rFonts w:ascii="Calibri" w:cs="Calibri" w:eastAsia="Calibri" w:hAnsi="Calibri"/>
                <w:b w:val="false"/>
                <w:bCs w:val="false"/>
                <w:i w:val="false"/>
                <w:iCs w:val="false"/>
                <w:color w:val="1f2937"/>
                <w:sz w:val="18"/>
                <w:szCs w:val="18"/>
              </w:rPr>
              <w:t xml:space="preserve">$578</w:t>
            </w:r>
          </w:p>
        </w:tc>
        <w:tc>
          <w:p>
            <w:pPr>
              <w:spacing w:after="0"/>
            </w:pPr>
            <w:r>
              <w:rPr>
                <w:rFonts w:ascii="Calibri" w:cs="Calibri" w:eastAsia="Calibri" w:hAnsi="Calibri"/>
                <w:b w:val="false"/>
                <w:bCs w:val="false"/>
                <w:i w:val="false"/>
                <w:iCs w:val="false"/>
                <w:color w:val="1f2937"/>
                <w:sz w:val="18"/>
                <w:szCs w:val="18"/>
              </w:rPr>
              <w:t xml:space="preserve">$256</w:t>
            </w:r>
          </w:p>
        </w:tc>
        <w:tc>
          <w:p>
            <w:pPr>
              <w:spacing w:after="0"/>
            </w:pPr>
            <w:r>
              <w:rPr>
                <w:rFonts w:ascii="Calibri" w:cs="Calibri" w:eastAsia="Calibri" w:hAnsi="Calibri"/>
                <w:b w:val="false"/>
                <w:bCs w:val="false"/>
                <w:i w:val="false"/>
                <w:iCs w:val="false"/>
                <w:color w:val="1f2937"/>
                <w:sz w:val="18"/>
                <w:szCs w:val="18"/>
              </w:rPr>
              <w:t xml:space="preserve">$1,018</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Premium Care (43957)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201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$378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$285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$877</w:t>
            </w:r>
          </w:p>
        </w:tc>
      </w:tr>
      <w:tr>
        <w:tc>
          <w:p>
            <w:pPr>
              <w:spacing w:after="0"/>
            </w:pPr>
            <w:r>
              <w:rPr>
                <w:rFonts w:ascii="Calibri" w:cs="Calibri" w:eastAsia="Calibri" w:hAnsi="Calibri"/>
                <w:b w:val="false"/>
                <w:bCs w:val="false"/>
                <w:i w:val="false"/>
                <w:iCs w:val="false"/>
                <w:color w:val="1f2937"/>
                <w:sz w:val="18"/>
                <w:szCs w:val="18"/>
              </w:rPr>
              <w:t xml:space="preserve">MPowering Secure Care (35768)</w:t>
            </w:r>
          </w:p>
        </w:tc>
        <w:tc>
          <w:p>
            <w:pPr>
              <w:spacing w:after="0"/>
            </w:pPr>
            <w:r>
              <w:rPr>
                <w:rFonts w:ascii="Calibri" w:cs="Calibri" w:eastAsia="Calibri" w:hAnsi="Calibri"/>
                <w:b w:val="false"/>
                <w:bCs w:val="false"/>
                <w:i w:val="false"/>
                <w:iCs w:val="false"/>
                <w:color w:val="1f2937"/>
                <w:sz w:val="18"/>
                <w:szCs w:val="18"/>
              </w:rPr>
              <w:t xml:space="preserve">198</w:t>
            </w:r>
          </w:p>
        </w:tc>
        <w:tc>
          <w:p>
            <w:pPr>
              <w:spacing w:after="0"/>
            </w:pPr>
            <w:r>
              <w:rPr>
                <w:rFonts w:ascii="Calibri" w:cs="Calibri" w:eastAsia="Calibri" w:hAnsi="Calibri"/>
                <w:b w:val="false"/>
                <w:bCs w:val="false"/>
                <w:i w:val="false"/>
                <w:iCs w:val="false"/>
                <w:color w:val="1f2937"/>
                <w:sz w:val="18"/>
                <w:szCs w:val="18"/>
              </w:rPr>
              <w:t xml:space="preserve">$479</w:t>
            </w:r>
          </w:p>
        </w:tc>
        <w:tc>
          <w:p>
            <w:pPr>
              <w:spacing w:after="0"/>
            </w:pPr>
            <w:r>
              <w:rPr>
                <w:rFonts w:ascii="Calibri" w:cs="Calibri" w:eastAsia="Calibri" w:hAnsi="Calibri"/>
                <w:b w:val="false"/>
                <w:bCs w:val="false"/>
                <w:i w:val="false"/>
                <w:iCs w:val="false"/>
                <w:color w:val="1f2937"/>
                <w:sz w:val="18"/>
                <w:szCs w:val="18"/>
              </w:rPr>
              <w:t xml:space="preserve">$419</w:t>
            </w:r>
          </w:p>
        </w:tc>
        <w:tc>
          <w:p>
            <w:pPr>
              <w:spacing w:after="0"/>
            </w:pPr>
            <w:r>
              <w:rPr>
                <w:rFonts w:ascii="Calibri" w:cs="Calibri" w:eastAsia="Calibri" w:hAnsi="Calibri"/>
                <w:b w:val="false"/>
                <w:bCs w:val="false"/>
                <w:i w:val="false"/>
                <w:iCs w:val="false"/>
                <w:color w:val="1f2937"/>
                <w:sz w:val="18"/>
                <w:szCs w:val="18"/>
              </w:rPr>
              <w:t xml:space="preserve">$225</w:t>
            </w:r>
          </w:p>
        </w:tc>
        <w:tc>
          <w:p>
            <w:pPr>
              <w:spacing w:after="0"/>
            </w:pPr>
            <w:r>
              <w:rPr>
                <w:rFonts w:ascii="Calibri" w:cs="Calibri" w:eastAsia="Calibri" w:hAnsi="Calibri"/>
                <w:b w:val="false"/>
                <w:bCs w:val="false"/>
                <w:i w:val="false"/>
                <w:iCs w:val="false"/>
                <w:color w:val="1f2937"/>
                <w:sz w:val="18"/>
                <w:szCs w:val="18"/>
              </w:rPr>
              <w:t xml:space="preserve">$965</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Care Plus 2024 (42464)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191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$355</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$160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$895</w:t>
            </w:r>
          </w:p>
        </w:tc>
      </w:tr>
      <w:tr>
        <w:tc>
          <w:p>
            <w:pPr>
              <w:spacing w:after="0"/>
            </w:pPr>
            <w:r>
              <w:rPr>
                <w:rFonts w:ascii="Calibri" w:cs="Calibri" w:eastAsia="Calibri" w:hAnsi="Calibri"/>
                <w:b w:val="false"/>
                <w:bCs w:val="false"/>
                <w:i w:val="false"/>
                <w:iCs w:val="false"/>
                <w:color w:val="1f2937"/>
                <w:sz w:val="18"/>
                <w:szCs w:val="18"/>
              </w:rPr>
              <w:t xml:space="preserve">MPowering Care Plus (35693)</w:t>
            </w:r>
          </w:p>
        </w:tc>
        <w:tc>
          <w:p>
            <w:pPr>
              <w:spacing w:after="0"/>
            </w:pPr>
            <w:r>
              <w:rPr>
                <w:rFonts w:ascii="Calibri" w:cs="Calibri" w:eastAsia="Calibri" w:hAnsi="Calibri"/>
                <w:b w:val="false"/>
                <w:bCs w:val="false"/>
                <w:i w:val="false"/>
                <w:iCs w:val="false"/>
                <w:color w:val="1f2937"/>
                <w:sz w:val="18"/>
                <w:szCs w:val="18"/>
              </w:rPr>
              <w:t xml:space="preserve">191</w:t>
            </w:r>
          </w:p>
        </w:tc>
        <w:tc>
          <w:p>
            <w:pPr>
              <w:spacing w:after="0"/>
            </w:pPr>
            <w:r>
              <w:rPr>
                <w:rFonts w:ascii="Calibri" w:cs="Calibri" w:eastAsia="Calibri" w:hAnsi="Calibri"/>
                <w:b w:val="false"/>
                <w:bCs w:val="false"/>
                <w:i w:val="false"/>
                <w:iCs w:val="false"/>
                <w:color w:val="1f2937"/>
                <w:sz w:val="18"/>
                <w:szCs w:val="18"/>
              </w:rPr>
              <w:t xml:space="preserve">$336</w:t>
            </w:r>
          </w:p>
        </w:tc>
        <w:tc>
          <w:p>
            <w:pPr>
              <w:spacing w:after="0"/>
            </w:pPr>
            <w:r>
              <w:rPr>
                <w:rFonts w:ascii="Calibri" w:cs="Calibri" w:eastAsia="Calibri" w:hAnsi="Calibri"/>
                <w:b w:val="false"/>
                <w:bCs w:val="false"/>
                <w:i w:val="false"/>
                <w:iCs w:val="false"/>
                <w:color w:val="1f2937"/>
                <w:sz w:val="18"/>
                <w:szCs w:val="18"/>
              </w:rPr>
              <w:t xml:space="preserve">$265</w:t>
            </w:r>
          </w:p>
        </w:tc>
        <w:tc>
          <w:p>
            <w:pPr>
              <w:spacing w:after="0"/>
            </w:pPr>
            <w:r>
              <w:rPr>
                <w:rFonts w:ascii="Calibri" w:cs="Calibri" w:eastAsia="Calibri" w:hAnsi="Calibri"/>
                <w:b w:val="false"/>
                <w:bCs w:val="false"/>
                <w:i w:val="false"/>
                <w:iCs w:val="false"/>
                <w:color w:val="1f2937"/>
                <w:sz w:val="18"/>
                <w:szCs w:val="18"/>
              </w:rPr>
              <w:t xml:space="preserve">$165</w:t>
            </w:r>
          </w:p>
        </w:tc>
        <w:tc>
          <w:p>
            <w:pPr>
              <w:spacing w:after="0"/>
            </w:pPr>
            <w:r>
              <w:rPr>
                <w:rFonts w:ascii="Calibri" w:cs="Calibri" w:eastAsia="Calibri" w:hAnsi="Calibri"/>
                <w:b w:val="false"/>
                <w:bCs w:val="false"/>
                <w:i w:val="false"/>
                <w:iCs w:val="false"/>
                <w:color w:val="1f2937"/>
                <w:sz w:val="18"/>
                <w:szCs w:val="18"/>
              </w:rPr>
              <w:t xml:space="preserve">$895</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Partially Self Directed (27198)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151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$472</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$440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$190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$1,032</w:t>
            </w:r>
          </w:p>
        </w:tc>
      </w:tr>
      <w:tr>
        <w:tc>
          <w:p>
            <w:pPr>
              <w:spacing w:after="0"/>
            </w:pPr>
            <w:r>
              <w:rPr>
                <w:rFonts w:ascii="Calibri" w:cs="Calibri" w:eastAsia="Calibri" w:hAnsi="Calibri"/>
                <w:b w:val="false"/>
                <w:bCs w:val="false"/>
                <w:i w:val="false"/>
                <w:iCs w:val="false"/>
                <w:color w:val="1f2937"/>
                <w:sz w:val="18"/>
                <w:szCs w:val="18"/>
              </w:rPr>
              <w:t xml:space="preserve">CARE + (31103)</w:t>
            </w:r>
          </w:p>
        </w:tc>
        <w:tc>
          <w:p>
            <w:pPr>
              <w:spacing w:after="0"/>
            </w:pPr>
            <w:r>
              <w:rPr>
                <w:rFonts w:ascii="Calibri" w:cs="Calibri" w:eastAsia="Calibri" w:hAnsi="Calibri"/>
                <w:b w:val="false"/>
                <w:bCs w:val="false"/>
                <w:i w:val="false"/>
                <w:iCs w:val="false"/>
                <w:color w:val="1f2937"/>
                <w:sz w:val="18"/>
                <w:szCs w:val="18"/>
              </w:rPr>
              <w:t xml:space="preserve">144</w:t>
            </w:r>
          </w:p>
        </w:tc>
        <w:tc>
          <w:p>
            <w:pPr>
              <w:spacing w:after="0"/>
            </w:pPr>
            <w:r>
              <w:rPr>
                <w:rFonts w:ascii="Calibri" w:cs="Calibri" w:eastAsia="Calibri" w:hAnsi="Calibri"/>
                <w:b w:val="false"/>
                <w:bCs w:val="false"/>
                <w:i w:val="false"/>
                <w:iCs w:val="false"/>
                <w:color w:val="1f2937"/>
                <w:sz w:val="18"/>
                <w:szCs w:val="18"/>
              </w:rPr>
              <w:t xml:space="preserve">$269</w:t>
            </w:r>
          </w:p>
        </w:tc>
        <w:tc>
          <w:p>
            <w:pPr>
              <w:spacing w:after="0"/>
            </w:pPr>
            <w:r>
              <w:rPr>
                <w:rFonts w:ascii="Calibri" w:cs="Calibri" w:eastAsia="Calibri" w:hAnsi="Calibri"/>
                <w:b w:val="false"/>
                <w:bCs w:val="false"/>
                <w:i w:val="false"/>
                <w:iCs w:val="false"/>
                <w:color w:val="1f2937"/>
                <w:sz w:val="18"/>
                <w:szCs w:val="18"/>
              </w:rPr>
              <w:t xml:space="preserve">$215</w:t>
            </w:r>
          </w:p>
        </w:tc>
        <w:tc>
          <w:p>
            <w:pPr>
              <w:spacing w:after="0"/>
            </w:pPr>
            <w:r>
              <w:rPr>
                <w:rFonts w:ascii="Calibri" w:cs="Calibri" w:eastAsia="Calibri" w:hAnsi="Calibri"/>
                <w:b w:val="false"/>
                <w:bCs w:val="false"/>
                <w:i w:val="false"/>
                <w:iCs w:val="false"/>
                <w:color w:val="1f2937"/>
                <w:sz w:val="18"/>
                <w:szCs w:val="18"/>
              </w:rPr>
              <w:t xml:space="preserve">$165</w:t>
            </w:r>
          </w:p>
        </w:tc>
        <w:tc>
          <w:p>
            <w:pPr>
              <w:spacing w:after="0"/>
            </w:pPr>
            <w:r>
              <w:rPr>
                <w:rFonts w:ascii="Calibri" w:cs="Calibri" w:eastAsia="Calibri" w:hAnsi="Calibri"/>
                <w:b w:val="false"/>
                <w:bCs w:val="false"/>
                <w:i w:val="false"/>
                <w:iCs w:val="false"/>
                <w:color w:val="1f2937"/>
                <w:sz w:val="18"/>
                <w:szCs w:val="18"/>
              </w:rPr>
              <w:t xml:space="preserve">$550</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Health Insurance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133</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$634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$474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$3,207</w:t>
            </w:r>
          </w:p>
        </w:tc>
      </w:tr>
      <w:tr>
        <w:tc>
          <w:p>
            <w:pPr>
              <w:spacing w:after="0"/>
            </w:pPr>
            <w:r>
              <w:rPr>
                <w:rFonts w:ascii="Calibri" w:cs="Calibri" w:eastAsia="Calibri" w:hAnsi="Calibri"/>
                <w:b w:val="false"/>
                <w:bCs w:val="false"/>
                <w:i w:val="false"/>
                <w:iCs w:val="false"/>
                <w:color w:val="1f2937"/>
                <w:sz w:val="18"/>
                <w:szCs w:val="18"/>
              </w:rPr>
              <w:t xml:space="preserve">MPB Group Plan (Individual)</w:t>
            </w:r>
          </w:p>
        </w:tc>
        <w:tc>
          <w:p>
            <w:pPr>
              <w:spacing w:after="0"/>
            </w:pPr>
            <w:r>
              <w:rPr>
                <w:rFonts w:ascii="Calibri" w:cs="Calibri" w:eastAsia="Calibri" w:hAnsi="Calibri"/>
                <w:b w:val="false"/>
                <w:bCs w:val="false"/>
                <w:i w:val="false"/>
                <w:iCs w:val="false"/>
                <w:color w:val="1f2937"/>
                <w:sz w:val="18"/>
                <w:szCs w:val="18"/>
              </w:rPr>
              <w:t xml:space="preserve">135</w:t>
            </w:r>
          </w:p>
        </w:tc>
        <w:tc>
          <w:p>
            <w:pPr>
              <w:spacing w:after="0"/>
            </w:pPr>
            <w:r>
              <w:rPr>
                <w:rFonts w:ascii="Calibri" w:cs="Calibri" w:eastAsia="Calibri" w:hAnsi="Calibri"/>
                <w:b w:val="false"/>
                <w:bCs w:val="false"/>
                <w:i w:val="false"/>
                <w:iCs w:val="false"/>
                <w:color w:val="1f2937"/>
                <w:sz w:val="18"/>
                <w:szCs w:val="18"/>
              </w:rPr>
              <w:t xml:space="preserve">$399</w:t>
            </w:r>
          </w:p>
        </w:tc>
        <w:tc>
          <w:p>
            <w:pPr>
              <w:spacing w:after="0"/>
            </w:pPr>
            <w:r>
              <w:rPr>
                <w:rFonts w:ascii="Calibri" w:cs="Calibri" w:eastAsia="Calibri" w:hAnsi="Calibri"/>
                <w:b w:val="false"/>
                <w:bCs w:val="false"/>
                <w:i w:val="false"/>
                <w:iCs w:val="false"/>
                <w:color w:val="1f2937"/>
                <w:sz w:val="18"/>
                <w:szCs w:val="18"/>
              </w:rPr>
              <w:t xml:space="preserve">$330</w:t>
            </w:r>
          </w:p>
        </w:tc>
        <w:tc>
          <w:p>
            <w:pPr>
              <w:spacing w:after="0"/>
            </w:pPr>
            <w:r>
              <w:rPr>
                <w:rFonts w:ascii="Calibri" w:cs="Calibri" w:eastAsia="Calibri" w:hAnsi="Calibri"/>
                <w:b w:val="false"/>
                <w:bCs w:val="false"/>
                <w:i w:val="false"/>
                <w:iCs w:val="false"/>
                <w:color w:val="1f2937"/>
                <w:sz w:val="18"/>
                <w:szCs w:val="18"/>
              </w:rPr>
              <w:t xml:space="preserve">$218</w:t>
            </w:r>
          </w:p>
        </w:tc>
        <w:tc>
          <w:p>
            <w:pPr>
              <w:spacing w:after="0"/>
            </w:pPr>
            <w:r>
              <w:rPr>
                <w:rFonts w:ascii="Calibri" w:cs="Calibri" w:eastAsia="Calibri" w:hAnsi="Calibri"/>
                <w:b w:val="false"/>
                <w:bCs w:val="false"/>
                <w:i w:val="false"/>
                <w:iCs w:val="false"/>
                <w:color w:val="1f2937"/>
                <w:sz w:val="18"/>
                <w:szCs w:val="18"/>
              </w:rPr>
              <w:t xml:space="preserve">$890</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Provider Directed (27201)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114</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$511</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$507</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$130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$1,410</w:t>
            </w:r>
          </w:p>
        </w:tc>
      </w:tr>
      <w:tr>
        <w:tc>
          <w:p>
            <w:pPr>
              <w:spacing w:after="0"/>
            </w:pPr>
            <w:r>
              <w:rPr>
                <w:rFonts w:ascii="Calibri" w:cs="Calibri" w:eastAsia="Calibri" w:hAnsi="Calibri"/>
                <w:b w:val="false"/>
                <w:bCs w:val="false"/>
                <w:i w:val="false"/>
                <w:iCs w:val="false"/>
                <w:color w:val="1f2937"/>
                <w:sz w:val="18"/>
                <w:szCs w:val="18"/>
              </w:rPr>
              <w:t xml:space="preserve">Premium HSA (44036)</w:t>
            </w:r>
          </w:p>
        </w:tc>
        <w:tc>
          <w:p>
            <w:pPr>
              <w:spacing w:after="0"/>
            </w:pPr>
            <w:r>
              <w:rPr>
                <w:rFonts w:ascii="Calibri" w:cs="Calibri" w:eastAsia="Calibri" w:hAnsi="Calibri"/>
                <w:b w:val="false"/>
                <w:bCs w:val="false"/>
                <w:i w:val="false"/>
                <w:iCs w:val="false"/>
                <w:color w:val="1f2937"/>
                <w:sz w:val="18"/>
                <w:szCs w:val="18"/>
              </w:rPr>
              <w:t xml:space="preserve">97</w:t>
            </w:r>
          </w:p>
        </w:tc>
        <w:tc>
          <w:p>
            <w:pPr>
              <w:spacing w:after="0"/>
            </w:pPr>
            <w:r>
              <w:rPr>
                <w:rFonts w:ascii="Calibri" w:cs="Calibri" w:eastAsia="Calibri" w:hAnsi="Calibri"/>
                <w:b w:val="false"/>
                <w:bCs w:val="false"/>
                <w:i w:val="false"/>
                <w:iCs w:val="false"/>
                <w:color w:val="1f2937"/>
                <w:sz w:val="18"/>
                <w:szCs w:val="18"/>
              </w:rPr>
              <w:t xml:space="preserve">$536</w:t>
            </w:r>
          </w:p>
        </w:tc>
        <w:tc>
          <w:p>
            <w:pPr>
              <w:spacing w:after="0"/>
            </w:pPr>
            <w:r>
              <w:rPr>
                <w:rFonts w:ascii="Calibri" w:cs="Calibri" w:eastAsia="Calibri" w:hAnsi="Calibri"/>
                <w:b w:val="false"/>
                <w:bCs w:val="false"/>
                <w:i w:val="false"/>
                <w:iCs w:val="false"/>
                <w:color w:val="1f2937"/>
                <w:sz w:val="18"/>
                <w:szCs w:val="18"/>
              </w:rPr>
              <w:t xml:space="preserve">$438</w:t>
            </w:r>
          </w:p>
        </w:tc>
        <w:tc>
          <w:p>
            <w:pPr>
              <w:spacing w:after="0"/>
            </w:pPr>
            <w:r>
              <w:rPr>
                <w:rFonts w:ascii="Calibri" w:cs="Calibri" w:eastAsia="Calibri" w:hAnsi="Calibri"/>
                <w:b w:val="false"/>
                <w:bCs w:val="false"/>
                <w:i w:val="false"/>
                <w:iCs w:val="false"/>
                <w:color w:val="1f2937"/>
                <w:sz w:val="18"/>
                <w:szCs w:val="18"/>
              </w:rPr>
              <w:t xml:space="preserve">$235</w:t>
            </w:r>
          </w:p>
        </w:tc>
        <w:tc>
          <w:p>
            <w:pPr>
              <w:spacing w:after="0"/>
            </w:pPr>
            <w:r>
              <w:rPr>
                <w:rFonts w:ascii="Calibri" w:cs="Calibri" w:eastAsia="Calibri" w:hAnsi="Calibri"/>
                <w:b w:val="false"/>
                <w:bCs w:val="false"/>
                <w:i w:val="false"/>
                <w:iCs w:val="false"/>
                <w:color w:val="1f2937"/>
                <w:sz w:val="18"/>
                <w:szCs w:val="18"/>
              </w:rPr>
              <w:t xml:space="preserve">$988</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Health Sharing</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96</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$338</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$249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$149</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$1,349</w:t>
            </w:r>
          </w:p>
        </w:tc>
      </w:tr>
      <w:tr>
        <w:tc>
          <w:p>
            <w:pPr>
              <w:spacing w:after="0"/>
            </w:pPr>
            <w:r>
              <w:rPr>
                <w:rFonts w:ascii="Calibri" w:cs="Calibri" w:eastAsia="Calibri" w:hAnsi="Calibri"/>
                <w:b w:val="false"/>
                <w:bCs w:val="false"/>
                <w:i w:val="false"/>
                <w:iCs w:val="false"/>
                <w:color w:val="1f2937"/>
                <w:sz w:val="18"/>
                <w:szCs w:val="18"/>
              </w:rPr>
              <w:t xml:space="preserve">All Products</w:t>
            </w:r>
          </w:p>
        </w:tc>
        <w:tc>
          <w:p>
            <w:pPr>
              <w:spacing w:after="0"/>
            </w:pPr>
            <w:r>
              <w:rPr>
                <w:rFonts w:ascii="Calibri" w:cs="Calibri" w:eastAsia="Calibri" w:hAnsi="Calibri"/>
                <w:b w:val="false"/>
                <w:bCs w:val="false"/>
                <w:i w:val="false"/>
                <w:iCs w:val="false"/>
                <w:color w:val="1f2937"/>
                <w:sz w:val="18"/>
                <w:szCs w:val="18"/>
              </w:rPr>
              <w:t xml:space="preserve">3,325</w:t>
            </w:r>
          </w:p>
        </w:tc>
        <w:tc>
          <w:p>
            <w:pPr>
              <w:spacing w:after="0"/>
            </w:pPr>
            <w:r>
              <w:rPr>
                <w:rFonts w:ascii="Calibri" w:cs="Calibri" w:eastAsia="Calibri" w:hAnsi="Calibri"/>
                <w:b w:val="false"/>
                <w:bCs w:val="false"/>
                <w:i w:val="false"/>
                <w:iCs w:val="false"/>
                <w:color w:val="1f2937"/>
                <w:sz w:val="18"/>
                <w:szCs w:val="18"/>
              </w:rPr>
              <w:t xml:space="preserve">$436</w:t>
            </w:r>
          </w:p>
        </w:tc>
        <w:tc>
          <w:p>
            <w:pPr>
              <w:spacing w:after="0"/>
            </w:pPr>
            <w:r>
              <w:rPr>
                <w:rFonts w:ascii="Calibri" w:cs="Calibri" w:eastAsia="Calibri" w:hAnsi="Calibri"/>
                <w:b w:val="false"/>
                <w:bCs w:val="false"/>
                <w:i w:val="false"/>
                <w:iCs w:val="false"/>
                <w:color w:val="1f2937"/>
                <w:sz w:val="18"/>
                <w:szCs w:val="18"/>
              </w:rPr>
              <w:t xml:space="preserve">$350</w:t>
            </w:r>
          </w:p>
        </w:tc>
        <w:tc>
          <w:p>
            <w:pPr>
              <w:spacing w:after="0"/>
            </w:pPr>
            <w:r>
              <w:rPr>
                <w:rFonts w:ascii="Calibri" w:cs="Calibri" w:eastAsia="Calibri" w:hAnsi="Calibri"/>
                <w:b w:val="false"/>
                <w:bCs w:val="false"/>
                <w:i w:val="false"/>
                <w:iCs w:val="false"/>
                <w:color w:val="1f2937"/>
                <w:sz w:val="18"/>
                <w:szCs w:val="18"/>
              </w:rPr>
              <w:t xml:space="preserve">$20</w:t>
            </w:r>
          </w:p>
        </w:tc>
        <w:tc>
          <w:p>
            <w:pPr>
              <w:spacing w:after="0"/>
            </w:pPr>
            <w:r>
              <w:rPr>
                <w:rFonts w:ascii="Calibri" w:cs="Calibri" w:eastAsia="Calibri" w:hAnsi="Calibri"/>
                <w:b w:val="false"/>
                <w:bCs w:val="false"/>
                <w:i w:val="false"/>
                <w:iCs w:val="false"/>
                <w:color w:val="1f2937"/>
                <w:sz w:val="18"/>
                <w:szCs w:val="18"/>
              </w:rPr>
              <w:t xml:space="preserve">$3,212</w:t>
            </w:r>
          </w:p>
        </w:tc>
      </w:tr>
    </w:tbl>
    <w:p>
      <w:pPr>
        <w:spacing w:before="80"/>
      </w:pPr>
    </w:p>
    <w:p>
      <w:pPr>
        <w:spacing w:after="120"/>
      </w:pPr>
      <w:r>
        <w:rPr>
          <w:rFonts w:ascii="Calibri" w:cs="Calibri" w:eastAsia="Calibri" w:hAnsi="Calibri"/>
          <w:b/>
          <w:bCs/>
          <w:i w:val="false"/>
          <w:iCs w:val="false"/>
          <w:color w:val="1f2937"/>
          <w:sz w:val="20"/>
          <w:szCs w:val="20"/>
        </w:rPr>
        <w:t xml:space="preserve">Key Observations:</w:t>
      </w:r>
    </w:p>
    <w:p>
      <w:pPr>
        <w:pStyle w:val="ListParagraph"/>
        <w:numPr>
          <w:ilvl w:val="0"/>
          <w:numId w:val="1"/>
        </w:numPr>
        <w:spacing w:after="60"/>
      </w:pPr>
      <w:r>
        <w:rPr>
          <w:rFonts w:ascii="Calibri" w:cs="Calibri" w:eastAsia="Calibri" w:hAnsi="Calibri"/>
          <w:b w:val="false"/>
          <w:bCs w:val="false"/>
          <w:i w:val="false"/>
          <w:iCs w:val="false"/>
          <w:color w:val="1f2937"/>
          <w:sz w:val="20"/>
          <w:szCs w:val="20"/>
        </w:rPr>
        <w:t xml:space="preserve">Contribution range spans $20–$3,212/month reflecting 65 distinct product configurations, multiple IUA tiers ($500–$5,000), and all four coverage tiers (Member Only through Family).</w:t>
      </w:r>
    </w:p>
    <w:p>
      <w:pPr>
        <w:pStyle w:val="ListParagraph"/>
        <w:numPr>
          <w:ilvl w:val="0"/>
          <w:numId w:val="1"/>
        </w:numPr>
        <w:spacing w:after="60"/>
      </w:pPr>
      <w:r>
        <w:rPr>
          <w:rFonts w:ascii="Calibri" w:cs="Calibri" w:eastAsia="Calibri" w:hAnsi="Calibri"/>
          <w:b w:val="false"/>
          <w:bCs w:val="false"/>
          <w:i w:val="false"/>
          <w:iCs w:val="false"/>
          <w:color w:val="1f2937"/>
          <w:sz w:val="20"/>
          <w:szCs w:val="20"/>
        </w:rPr>
        <w:t xml:space="preserve">HSA-based products (Secure HSA, Secure HSA 2024, Premium HSA) carry the highest average contributions ($536–$575/month), consistent with lower IUA and broader coverage design.</w:t>
      </w:r>
    </w:p>
    <w:p>
      <w:pPr>
        <w:pStyle w:val="ListParagraph"/>
        <w:numPr>
          <w:ilvl w:val="0"/>
          <w:numId w:val="1"/>
        </w:numPr>
        <w:spacing w:after="60"/>
      </w:pPr>
      <w:r>
        <w:rPr>
          <w:rFonts w:ascii="Calibri" w:cs="Calibri" w:eastAsia="Calibri" w:hAnsi="Calibri"/>
          <w:b w:val="false"/>
          <w:bCs w:val="false"/>
          <w:i w:val="false"/>
          <w:iCs w:val="false"/>
          <w:color w:val="1f2937"/>
          <w:sz w:val="20"/>
          <w:szCs w:val="20"/>
        </w:rPr>
        <w:t xml:space="preserve">CARE + at $269/month average represents the most affordable active product, attracting 144 members with contributions concentrated in the $165–$550 range.</w:t>
      </w:r>
    </w:p>
    <w:p>
      <w:pPr>
        <w:pStyle w:val="ListParagraph"/>
        <w:numPr>
          <w:ilvl w:val="0"/>
          <w:numId w:val="1"/>
        </w:numPr>
        <w:spacing w:after="60"/>
      </w:pPr>
      <w:r>
        <w:rPr>
          <w:rFonts w:ascii="Calibri" w:cs="Calibri" w:eastAsia="Calibri" w:hAnsi="Calibri"/>
          <w:b w:val="false"/>
          <w:bCs w:val="false"/>
          <w:i w:val="false"/>
          <w:iCs w:val="false"/>
          <w:color w:val="1f2937"/>
          <w:sz w:val="20"/>
          <w:szCs w:val="20"/>
        </w:rPr>
        <w:t xml:space="preserve">The $1,000 IUA level is the most common (54.5% of members with IUA data), indicating the program’s default benefit design balances member affordability with program risk exposure.</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Section 5: HIPAA Compliance Attestation</w:t>
      </w:r>
    </w:p>
    <w:p>
      <w:pPr>
        <w:spacing w:after="120"/>
      </w:pPr>
      <w:r>
        <w:rPr>
          <w:rFonts w:ascii="Calibri" w:cs="Calibri" w:eastAsia="Calibri" w:hAnsi="Calibri"/>
          <w:b w:val="false"/>
          <w:bCs w:val="false"/>
          <w:i w:val="false"/>
          <w:iCs w:val="false"/>
          <w:color w:val="1f2937"/>
          <w:sz w:val="22"/>
          <w:szCs w:val="22"/>
        </w:rPr>
        <w:t xml:space="preserve">The following attestations apply to all data produced by the Pay It Forward Technologies EMS platform’s actuarial and demographic reporting functions:</w:t>
      </w:r>
    </w:p>
    <w:p>
      <w:pPr>
        <w:spacing w:before="80"/>
      </w:pP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This data extract contains zero Protected Health Information (PHI)</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All data uses aggregated COUNT(*), SUM(), AVG(), and PERCENTILE_CONT() functions — no individual rows are ever returned</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The system enforces de-identification at the database layer; the application cannot bypass it</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Small-group suppression (&lt; 5) prevents re-identification in small populations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Geographic data is limited to state-level aggregation only</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Age data is presented only as bucketed ranges, never as individual dates of birth</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All 18 HIPAA identifiers are excluded from reporting output (see Section 2)</w:t>
      </w:r>
    </w:p>
    <w:p>
      <w:pPr>
        <w:spacing w:before="200"/>
      </w:pPr>
    </w:p>
    <w:p>
      <w:pPr>
        <w:spacing w:after="120"/>
      </w:pPr>
      <w:r>
        <w:rPr>
          <w:rFonts w:ascii="Calibri" w:cs="Calibri" w:eastAsia="Calibri" w:hAnsi="Calibri"/>
          <w:b w:val="false"/>
          <w:bCs w:val="false"/>
          <w:i/>
          <w:iCs/>
          <w:color w:val="1f2937"/>
          <w:sz w:val="22"/>
          <w:szCs w:val="22"/>
        </w:rPr>
        <w:t xml:space="preserve">The dataset is designed to be de-identified and contain no individually identifiable health information. This architecture is consistent with HHS guidance under 45 CFR 164.514. The organization is not representing a formal Safe Harbor certification, but that all 18 identifiers are excluded from reporting output and only aggregate statistics are provided.</w:t>
      </w:r>
    </w:p>
    <w:p>
      <w:pPr>
        <w:spacing w:before="120"/>
      </w:pPr>
    </w:p>
    <w:p>
      <w:pPr>
        <w:spacing w:after="120"/>
      </w:pPr>
      <w:r>
        <w:rPr>
          <w:rFonts w:ascii="Calibri" w:cs="Calibri" w:eastAsia="Calibri" w:hAnsi="Calibri"/>
          <w:b w:val="false"/>
          <w:bCs w:val="false"/>
          <w:i/>
          <w:iCs/>
          <w:color w:val="1f2937"/>
          <w:sz w:val="22"/>
          <w:szCs w:val="22"/>
        </w:rPr>
        <w:t xml:space="preserve">The determination of whether a Business Associate Agreement (BAA) is required for the receiving party will be made by the receiving actuarial firm, its compliance counsel, and the program’s legal advisors. The platform’s position is that de-identified aggregate data does not constitute PHI and therefore a BAA may not be required, but the organization defers to legal counsel on this determination.</w:t>
      </w:r>
    </w:p>
    <w:p>
      <w:pPr>
        <w:spacing w:before="120"/>
      </w:pPr>
    </w:p>
    <w:p>
      <w:pPr>
        <w:spacing w:after="120"/>
      </w:pPr>
      <w:r>
        <w:rPr>
          <w:rFonts w:ascii="Calibri" w:cs="Calibri" w:eastAsia="Calibri" w:hAnsi="Calibri"/>
          <w:b w:val="false"/>
          <w:bCs w:val="false"/>
          <w:i/>
          <w:iCs/>
          <w:color w:val="1f2937"/>
          <w:sz w:val="22"/>
          <w:szCs w:val="22"/>
        </w:rPr>
        <w:t xml:space="preserve">The dataset is intended for actuarial analysis of pooled financial experience only. The actuary will not receive, access, or require individually identifiable health information. All actuarial modeling can be performed using aggregated exposure, utilization, and payment statistics.</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Section 6: Technical Architecture</w:t>
      </w:r>
    </w:p>
    <w:p>
      <w:pPr>
        <w:spacing w:after="120"/>
      </w:pPr>
      <w:r>
        <w:rPr>
          <w:rFonts w:ascii="Calibri" w:cs="Calibri" w:eastAsia="Calibri" w:hAnsi="Calibri"/>
          <w:b w:val="false"/>
          <w:bCs w:val="false"/>
          <w:i w:val="false"/>
          <w:iCs w:val="false"/>
          <w:color w:val="1f2937"/>
          <w:sz w:val="22"/>
          <w:szCs w:val="22"/>
        </w:rPr>
        <w:t xml:space="preserve">The de-identification framework is implemented as a set of PostgreSQL stored procedures that enforce data isolation and aggregation at the database layer. This section describes the key architectural components.</w:t>
      </w:r>
    </w:p>
    <w:p>
      <w:pPr>
        <w:pStyle w:val="Heading2"/>
        <w:spacing w:before="300" w:after="120"/>
      </w:pPr>
      <w:r>
        <w:rPr>
          <w:rFonts w:ascii="Calibri" w:cs="Calibri" w:eastAsia="Calibri" w:hAnsi="Calibri"/>
          <w:b/>
          <w:bCs/>
          <w:i w:val="false"/>
          <w:iCs w:val="false"/>
          <w:color w:val="1a56db"/>
          <w:sz w:val="26"/>
          <w:szCs w:val="26"/>
        </w:rPr>
        <w:t xml:space="preserve">SECURITY DEFINER Functions</w:t>
      </w:r>
    </w:p>
    <w:p>
      <w:pPr>
        <w:spacing w:after="120"/>
      </w:pPr>
      <w:r>
        <w:rPr>
          <w:rFonts w:ascii="Calibri" w:cs="Calibri" w:eastAsia="Calibri" w:hAnsi="Calibri"/>
          <w:b w:val="false"/>
          <w:bCs w:val="false"/>
          <w:i w:val="false"/>
          <w:iCs w:val="false"/>
          <w:color w:val="1f2937"/>
          <w:sz w:val="22"/>
          <w:szCs w:val="22"/>
        </w:rPr>
        <w:t xml:space="preserve">All reporting and analytics functions are declared as SECURITY DEFINER, meaning they execute with the privileges of the function owner (the database administrator) rather than the calling user. This allows the functions to access underlying tables while controlling exactly what data is returned. The functions enforce aggregation-only output — no individual rows are ever included in results.</w:t>
      </w:r>
    </w:p>
    <w:p>
      <w:pPr>
        <w:pStyle w:val="Heading2"/>
        <w:spacing w:before="300" w:after="120"/>
      </w:pPr>
      <w:r>
        <w:rPr>
          <w:rFonts w:ascii="Calibri" w:cs="Calibri" w:eastAsia="Calibri" w:hAnsi="Calibri"/>
          <w:b/>
          <w:bCs/>
          <w:i w:val="false"/>
          <w:iCs w:val="false"/>
          <w:color w:val="1a56db"/>
          <w:sz w:val="26"/>
          <w:szCs w:val="26"/>
        </w:rPr>
        <w:t xml:space="preserve">Search Path Isolation</w:t>
      </w:r>
    </w:p>
    <w:p>
      <w:pPr>
        <w:spacing w:after="120"/>
      </w:pPr>
      <w:r>
        <w:rPr>
          <w:rFonts w:ascii="Calibri" w:cs="Calibri" w:eastAsia="Calibri" w:hAnsi="Calibri"/>
          <w:b w:val="false"/>
          <w:bCs w:val="false"/>
          <w:i w:val="false"/>
          <w:iCs w:val="false"/>
          <w:color w:val="1f2937"/>
          <w:sz w:val="22"/>
          <w:szCs w:val="22"/>
        </w:rPr>
        <w:t xml:space="preserve">Every function includes SET search_path = public to prevent SQL injection attacks via schema manipulation. This ensures that all table references resolve to the intended public schema and cannot be redirected to malicious schema objects.</w:t>
      </w:r>
    </w:p>
    <w:p>
      <w:pPr>
        <w:pStyle w:val="Heading2"/>
        <w:spacing w:before="300" w:after="120"/>
      </w:pPr>
      <w:r>
        <w:rPr>
          <w:rFonts w:ascii="Calibri" w:cs="Calibri" w:eastAsia="Calibri" w:hAnsi="Calibri"/>
          <w:b/>
          <w:bCs/>
          <w:i w:val="false"/>
          <w:iCs w:val="false"/>
          <w:color w:val="1a56db"/>
          <w:sz w:val="26"/>
          <w:szCs w:val="26"/>
        </w:rPr>
        <w:t xml:space="preserve">Caller Authentication</w:t>
      </w:r>
    </w:p>
    <w:p>
      <w:pPr>
        <w:spacing w:after="120"/>
      </w:pPr>
      <w:r>
        <w:rPr>
          <w:rFonts w:ascii="Calibri" w:cs="Calibri" w:eastAsia="Calibri" w:hAnsi="Calibri"/>
          <w:b w:val="false"/>
          <w:bCs w:val="false"/>
          <w:i w:val="false"/>
          <w:iCs w:val="false"/>
          <w:color w:val="1f2937"/>
          <w:sz w:val="22"/>
          <w:szCs w:val="22"/>
        </w:rPr>
        <w:t xml:space="preserve">Each function validates the caller’s authentication state and organization membership before executing. Unauthenticated calls and calls from users outside the target organization are rejected at the database layer, before any data access occurs.</w:t>
      </w:r>
    </w:p>
    <w:p>
      <w:pPr>
        <w:pStyle w:val="Heading2"/>
        <w:spacing w:before="300" w:after="120"/>
      </w:pPr>
      <w:r>
        <w:rPr>
          <w:rFonts w:ascii="Calibri" w:cs="Calibri" w:eastAsia="Calibri" w:hAnsi="Calibri"/>
          <w:b/>
          <w:bCs/>
          <w:i w:val="false"/>
          <w:iCs w:val="false"/>
          <w:color w:val="1a56db"/>
          <w:sz w:val="26"/>
          <w:szCs w:val="26"/>
        </w:rPr>
        <w:t xml:space="preserve">Cross-Tenant Isolation</w:t>
      </w:r>
    </w:p>
    <w:p>
      <w:pPr>
        <w:spacing w:after="120"/>
      </w:pPr>
      <w:r>
        <w:rPr>
          <w:rFonts w:ascii="Calibri" w:cs="Calibri" w:eastAsia="Calibri" w:hAnsi="Calibri"/>
          <w:b w:val="false"/>
          <w:bCs w:val="false"/>
          <w:i w:val="false"/>
          <w:iCs w:val="false"/>
          <w:color w:val="1f2937"/>
          <w:sz w:val="22"/>
          <w:szCs w:val="22"/>
        </w:rPr>
        <w:t xml:space="preserve">The platform is multi-tenant. Each organization’s data is isolated by organization_id at both the row level (Row-Level Security policies) and the function level (explicit WHERE clauses in all queries). One organization cannot access another’s demographic, financial, or utilization data through any reporting interface.</w:t>
      </w:r>
    </w:p>
    <w:p>
      <w:pPr>
        <w:pStyle w:val="Heading2"/>
        <w:spacing w:before="300" w:after="120"/>
      </w:pPr>
      <w:r>
        <w:rPr>
          <w:rFonts w:ascii="Calibri" w:cs="Calibri" w:eastAsia="Calibri" w:hAnsi="Calibri"/>
          <w:b/>
          <w:bCs/>
          <w:i w:val="false"/>
          <w:iCs w:val="false"/>
          <w:color w:val="1a56db"/>
          <w:sz w:val="26"/>
          <w:szCs w:val="26"/>
        </w:rPr>
        <w:t xml:space="preserve">Role-Based Access Control</w:t>
      </w:r>
    </w:p>
    <w:p>
      <w:pPr>
        <w:spacing w:after="120"/>
      </w:pPr>
      <w:r>
        <w:rPr>
          <w:rFonts w:ascii="Calibri" w:cs="Calibri" w:eastAsia="Calibri" w:hAnsi="Calibri"/>
          <w:b w:val="false"/>
          <w:bCs w:val="false"/>
          <w:i w:val="false"/>
          <w:iCs w:val="false"/>
          <w:color w:val="1f2937"/>
          <w:sz w:val="22"/>
          <w:szCs w:val="22"/>
        </w:rPr>
        <w:t xml:space="preserve">Actuarial and demographic reporting functions are restricted to owner and admin roles only. Standard members, agents, and read-only users cannot invoke these functions. Role validation occurs within the SECURITY DEFINER function before any data is queried.</w:t>
      </w:r>
    </w:p>
    <w:p>
      <w:pPr>
        <w:pStyle w:val="Heading2"/>
        <w:spacing w:before="300" w:after="120"/>
      </w:pPr>
      <w:r>
        <w:rPr>
          <w:rFonts w:ascii="Calibri" w:cs="Calibri" w:eastAsia="Calibri" w:hAnsi="Calibri"/>
          <w:b/>
          <w:bCs/>
          <w:i w:val="false"/>
          <w:iCs w:val="false"/>
          <w:color w:val="1a56db"/>
          <w:sz w:val="26"/>
          <w:szCs w:val="26"/>
        </w:rPr>
        <w:t xml:space="preserve">Real-Time Generation</w:t>
      </w:r>
    </w:p>
    <w:p>
      <w:pPr>
        <w:spacing w:after="120"/>
      </w:pPr>
      <w:r>
        <w:rPr>
          <w:rFonts w:ascii="Calibri" w:cs="Calibri" w:eastAsia="Calibri" w:hAnsi="Calibri"/>
          <w:b w:val="false"/>
          <w:bCs w:val="false"/>
          <w:i w:val="false"/>
          <w:iCs w:val="false"/>
          <w:color w:val="1f2937"/>
          <w:sz w:val="22"/>
          <w:szCs w:val="22"/>
        </w:rPr>
        <w:t xml:space="preserve">All reports are generated on-demand from the production database. There are no pre-computed data warehouses, cached reports, or exported flat files that could contain stale or unsecured data. Each invocation produces a fresh, de-identified aggregate from the current state of the database.</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spacing w:after="120"/>
        <w:jc w:val="center"/>
      </w:pPr>
      <w:r>
        <w:rPr>
          <w:rFonts w:ascii="Calibri" w:cs="Calibri" w:eastAsia="Calibri" w:hAnsi="Calibri"/>
          <w:b w:val="false"/>
          <w:bCs w:val="false"/>
          <w:i/>
          <w:iCs/>
          <w:color w:val="6b7280"/>
          <w:sz w:val="22"/>
          <w:szCs w:val="22"/>
        </w:rPr>
        <w:t xml:space="preserve">End of De-Identified Group Demographics: Technical &amp; Compliance Report v1.0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Calibri" w:cs="Calibri" w:eastAsia="Calibri" w:hAnsi="Calibri"/>
        <w:b w:val="false"/>
        <w:bCs w:val="false"/>
        <w:i w:val="false"/>
        <w:iCs w:val="false"/>
        <w:color w:val="6b72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Calibri" w:cs="Calibri" w:eastAsia="Calibri" w:hAnsi="Calibri"/>
        <w:b w:val="false"/>
        <w:bCs w:val="false"/>
        <w:i w:val="false"/>
        <w:iCs w:val="false"/>
        <w:color w:val="6b7280"/>
        <w:sz w:val="16"/>
        <w:szCs w:val="16"/>
      </w:rPr>
      <w:t xml:space="preserve">Pay It Forward Health</w:t>
    </w:r>
    <w:r>
      <w:rPr>
        <w:rFonts w:ascii="Calibri" w:cs="Calibri" w:eastAsia="Calibri" w:hAnsi="Calibri"/>
        <w:b w:val="false"/>
        <w:bCs w:val="false"/>
        <w:i w:val="false"/>
        <w:iCs w:val="false"/>
        <w:color w:val="6b7280"/>
        <w:sz w:val="16"/>
        <w:szCs w:val="16"/>
      </w:rPr>
      <w:t xml:space="preserve">  |  De-Identification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Group Demographics: Technical &amp; Compliance Report — Pay It Forward Health</dc:title>
  <dc:creator>Pay It Forward Technologies EMS</dc:creator>
  <dc:description>De-identified aggregate demographics and financial experience for compliance and actuarial review</dc:description>
  <cp:lastModifiedBy>Un-named</cp:lastModifiedBy>
  <cp:revision>1</cp:revision>
  <dcterms:created xsi:type="dcterms:W3CDTF">2026-02-20T03:04:28.257Z</dcterms:created>
  <dcterms:modified xsi:type="dcterms:W3CDTF">2026-02-20T03:04:28.258Z</dcterms:modified>
</cp:coreProperties>
</file>

<file path=docProps/custom.xml><?xml version="1.0" encoding="utf-8"?>
<Properties xmlns="http://schemas.openxmlformats.org/officeDocument/2006/custom-properties" xmlns:vt="http://schemas.openxmlformats.org/officeDocument/2006/docPropsVTypes"/>
</file>