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4D88B9D" w14:textId="77777777">
      <w:pPr>
        <w:spacing w:after="0" w:line="480" w:lineRule="auto"/>
        <w:jc w:val="center"/>
      </w:pPr>
    </w:p>
    <w:p w14:paraId="353FC187" w14:textId="77777777">
      <w:pPr>
        <w:spacing w:after="0" w:line="480" w:lineRule="auto"/>
        <w:jc w:val="center"/>
      </w:pPr>
    </w:p>
    <w:p w14:paraId="3ABFCA6D" w14:textId="77777777">
      <w:pPr>
        <w:spacing w:after="0" w:line="480" w:lineRule="auto"/>
        <w:jc w:val="center"/>
      </w:pPr>
    </w:p>
    <w:p w14:paraId="34D0E651" w14:textId="77777777">
      <w:pPr>
        <w:spacing w:after="0" w:line="480" w:lineRule="auto"/>
        <w:jc w:val="center"/>
      </w:pPr>
    </w:p>
    <w:p w14:paraId="730772D5" w14:textId="77777777">
      <w:pPr>
        <w:spacing w:after="0" w:line="480" w:lineRule="auto"/>
        <w:jc w:val="center"/>
      </w:pPr>
    </w:p>
    <w:p w14:paraId="72E2F37B" w14:textId="69F0176E">
      <w:pPr>
        <w:spacing w:after="0" w:line="480" w:lineRule="auto"/>
        <w:jc w:val="center"/>
        <w:rPr>
          <w:b/>
          <w:bCs/>
        </w:rPr>
      </w:pPr>
      <w:r>
        <w:rPr>
          <w:b/>
          <w:bCs/>
        </w:rPr>
        <w:t xml:space="preserve">The Impact of </w:t>
      </w:r>
      <w:r>
        <w:rPr>
          <w:b/>
          <w:bCs/>
        </w:rPr>
        <w:t xml:space="preserve">AGOA’s LDC Special Rule for Apparel </w:t>
      </w:r>
      <w:r>
        <w:rPr>
          <w:b/>
          <w:bCs/>
        </w:rPr>
        <w:t xml:space="preserve">on Garments Exports: A Synthetic Control Approach</w:t>
      </w:r>
    </w:p>
    <w:p w14:paraId="4324CF85" w14:textId="5BFB7FA5">
      <w:pPr>
        <w:spacing w:after="0" w:line="480" w:lineRule="auto"/>
        <w:jc w:val="center"/>
      </w:pPr>
    </w:p>
    <w:p w14:paraId="006AC8B5" w14:textId="77777777">
      <w:pPr>
        <w:spacing w:after="0" w:line="480" w:lineRule="auto"/>
        <w:jc w:val="center"/>
        <w:rPr>
          <w:b/>
          <w:bCs/>
        </w:rPr>
      </w:pPr>
    </w:p>
    <w:p w14:paraId="459D3E3E" w14:textId="77777777">
      <w:pPr>
        <w:spacing w:after="0" w:line="480" w:lineRule="auto"/>
        <w:jc w:val="center"/>
        <w:rPr>
          <w:b/>
          <w:bCs/>
        </w:rPr>
      </w:pPr>
    </w:p>
    <w:p w14:paraId="3B98A07E" w14:textId="77777777">
      <w:pPr>
        <w:spacing w:after="0" w:line="480" w:lineRule="auto"/>
        <w:jc w:val="center"/>
        <w:rPr>
          <w:b/>
          <w:bCs/>
        </w:rPr>
      </w:pPr>
    </w:p>
    <w:p w14:paraId="03AAEFFD" w14:textId="77777777">
      <w:pPr>
        <w:spacing w:after="0" w:line="480" w:lineRule="auto"/>
        <w:jc w:val="center"/>
        <w:rPr>
          <w:b/>
          <w:bCs/>
        </w:rPr>
      </w:pPr>
    </w:p>
    <w:p w14:paraId="63AC20B0" w14:textId="77777777">
      <w:pPr>
        <w:spacing w:after="0" w:line="480" w:lineRule="auto"/>
        <w:jc w:val="center"/>
        <w:rPr>
          <w:b/>
          <w:bCs/>
        </w:rPr>
      </w:pPr>
    </w:p>
    <w:p w14:paraId="0390D758" w14:textId="77777777">
      <w:pPr>
        <w:spacing w:after="0" w:line="480" w:lineRule="auto"/>
        <w:jc w:val="center"/>
        <w:rPr>
          <w:b/>
          <w:bCs/>
        </w:rPr>
      </w:pPr>
    </w:p>
    <w:p w14:paraId="70016934" w14:textId="77777777">
      <w:pPr>
        <w:spacing w:after="0" w:line="480" w:lineRule="auto"/>
        <w:jc w:val="center"/>
        <w:rPr>
          <w:b/>
          <w:bCs/>
        </w:rPr>
      </w:pPr>
    </w:p>
    <w:p w14:paraId="5907A9FC" w14:textId="77777777">
      <w:pPr>
        <w:spacing w:after="0" w:line="480" w:lineRule="auto"/>
        <w:jc w:val="center"/>
        <w:rPr>
          <w:b/>
          <w:bCs/>
        </w:rPr>
      </w:pPr>
    </w:p>
    <w:p w14:paraId="25EE8918" w14:textId="77777777">
      <w:pPr>
        <w:spacing w:after="0" w:line="480" w:lineRule="auto"/>
        <w:jc w:val="center"/>
        <w:rPr>
          <w:b/>
          <w:bCs/>
        </w:rPr>
      </w:pPr>
    </w:p>
    <w:p w14:paraId="784B9F16" w14:textId="77777777">
      <w:pPr>
        <w:spacing w:after="0" w:line="480" w:lineRule="auto"/>
        <w:jc w:val="center"/>
        <w:rPr>
          <w:b/>
          <w:bCs/>
        </w:rPr>
      </w:pPr>
    </w:p>
    <w:p w14:paraId="45A8B04A" w14:textId="77777777">
      <w:pPr>
        <w:spacing w:after="0" w:line="480" w:lineRule="auto"/>
        <w:jc w:val="center"/>
        <w:rPr>
          <w:b/>
          <w:bCs/>
        </w:rPr>
      </w:pPr>
    </w:p>
    <w:p w14:paraId="0A251EAB" w14:textId="77777777">
      <w:pPr>
        <w:spacing w:after="0" w:line="480" w:lineRule="auto"/>
        <w:jc w:val="center"/>
        <w:rPr>
          <w:b/>
          <w:bCs/>
        </w:rPr>
      </w:pPr>
    </w:p>
    <w:p w14:paraId="6B1F180F" w14:textId="77777777">
      <w:pPr>
        <w:spacing w:after="0" w:line="480" w:lineRule="auto"/>
        <w:jc w:val="center"/>
        <w:rPr>
          <w:b/>
          <w:bCs/>
        </w:rPr>
      </w:pPr>
    </w:p>
    <w:p w14:paraId="28B32FDE" w14:textId="77777777">
      <w:pPr>
        <w:spacing w:after="0" w:line="480" w:lineRule="auto"/>
        <w:jc w:val="center"/>
        <w:rPr>
          <w:b/>
          <w:bCs/>
        </w:rPr>
      </w:pPr>
    </w:p>
    <w:p w14:paraId="490B7C61" w14:textId="77777777">
      <w:pPr>
        <w:spacing w:after="0" w:line="480" w:lineRule="auto"/>
        <w:jc w:val="center"/>
        <w:rPr>
          <w:b/>
          <w:bCs/>
        </w:rPr>
      </w:pPr>
    </w:p>
    <w:p w14:paraId="2D07487D" w14:textId="2C97725F">
      <w:pPr>
        <w:spacing w:after="0" w:line="480" w:lineRule="auto"/>
        <w:jc w:val="center"/>
        <w:rPr>
          <w:b/>
          <w:bCs/>
        </w:rPr>
      </w:pPr>
      <w:r>
        <w:rPr>
          <w:b/>
          <w:bCs/>
        </w:rPr>
        <w:t xml:space="preserve">1.</w:t>
      </w:r>
      <w:r>
        <w:rPr>
          <w:b/>
          <w:bCs/>
        </w:rPr>
        <w:t xml:space="preserve"> </w:t>
      </w:r>
      <w:r>
        <w:rPr>
          <w:b/>
          <w:bCs/>
        </w:rPr>
        <w:t xml:space="preserve">Motivation</w:t>
      </w:r>
    </w:p>
    <w:p w14:paraId="18B0A276" w14:textId="6EAEA0B7">
      <w:pPr>
        <w:spacing w:after="0" w:line="480" w:lineRule="auto"/>
        <w:ind w:firstLine="720"/>
      </w:pPr>
      <w:r>
        <w:t xml:space="preserve">The African Growth and Opportunity Act (AGOA) introduced preferential trade access for</w:t>
      </w:r>
      <w:r>
        <w:t xml:space="preserve"> products from</w:t>
      </w:r>
      <w:r>
        <w:t xml:space="preserve"> Sub-Saharan African</w:t>
      </w:r>
      <w:r>
        <w:t xml:space="preserve"> (SSA)</w:t>
      </w:r>
      <w:r>
        <w:t xml:space="preserve"> countries to the U.S. market</w:t>
      </w:r>
      <w:r>
        <w:t xml:space="preserve">. </w:t>
      </w:r>
      <w:r>
        <w:t xml:space="preserve">Among its provisions, </w:t>
      </w:r>
      <w:r>
        <w:t xml:space="preserve">the ‘</w:t>
      </w:r>
      <w:r>
        <w:t xml:space="preserve">LDC </w:t>
      </w:r>
      <w:r>
        <w:t xml:space="preserve">Special Rule for </w:t>
      </w:r>
      <w:r>
        <w:t xml:space="preserve">Apparel</w:t>
      </w:r>
      <w:r>
        <w:t xml:space="preserve">’ </w:t>
      </w:r>
      <w:r>
        <w:t xml:space="preserve">(</w:t>
      </w:r>
      <w:r>
        <w:t xml:space="preserve">LDC </w:t>
      </w:r>
      <w:r>
        <w:t xml:space="preserve">SRA) </w:t>
      </w:r>
      <w:r>
        <w:t xml:space="preserve">gives 21 SSA countries </w:t>
      </w:r>
      <w:r>
        <w:t xml:space="preserve">additional</w:t>
      </w:r>
      <w:r>
        <w:t xml:space="preserve"> duty-free preferential access for apparel</w:t>
      </w:r>
      <w:r>
        <w:t xml:space="preserve"> </w:t>
      </w:r>
      <w:r>
        <w:t xml:space="preserve">made from fabric originating anywhere in the world</w:t>
      </w:r>
      <w:r>
        <w:t xml:space="preserve">, </w:t>
      </w:r>
      <w:r>
        <w:t xml:space="preserve">bypassing stricter sourcing restrictions</w:t>
      </w:r>
      <w:r>
        <w:t xml:space="preserve"> (</w:t>
      </w:r>
      <w:r>
        <w:rPr>
          <w:rFonts w:cs="Times New Roman"/>
        </w:rPr>
        <w:t xml:space="preserve">International Trade Administration</w:t>
      </w:r>
      <w:r>
        <w:rPr>
          <w:rFonts w:cs="Times New Roman"/>
        </w:rPr>
        <w:t xml:space="preserve"> (ITA)</w:t>
      </w:r>
      <w:r>
        <w:rPr>
          <w:rFonts w:cs="Times New Roman"/>
        </w:rPr>
        <w:t xml:space="preserve">, </w:t>
      </w:r>
      <w:r>
        <w:rPr>
          <w:rFonts w:cs="Times New Roman"/>
        </w:rPr>
        <w:t xml:space="preserve">202</w:t>
      </w:r>
      <w:r>
        <w:rPr>
          <w:rFonts w:cs="Times New Roman"/>
        </w:rPr>
        <w:t xml:space="preserve">0</w:t>
      </w:r>
      <w:r>
        <w:t xml:space="preserve">). This relatively more</w:t>
      </w:r>
      <w:r>
        <w:t xml:space="preserve"> liberal</w:t>
      </w:r>
      <w:r>
        <w:t xml:space="preserve"> </w:t>
      </w:r>
      <w:r>
        <w:t xml:space="preserve">rule of </w:t>
      </w:r>
      <w:r>
        <w:t xml:space="preserve">origin</w:t>
      </w:r>
      <w:r>
        <w:t xml:space="preserve"> was intended to support garment exports f</w:t>
      </w:r>
      <w:r>
        <w:t xml:space="preserve">rom developing countries</w:t>
      </w:r>
      <w:r>
        <w:t xml:space="preserve"> whose</w:t>
      </w:r>
      <w:r>
        <w:t xml:space="preserve"> domestic textile industries</w:t>
      </w:r>
      <w:r>
        <w:t xml:space="preserve"> are underdeveloped. For SSA countries that do not benefit from this</w:t>
      </w:r>
      <w:r>
        <w:t xml:space="preserve"> provision, </w:t>
      </w:r>
      <w:r>
        <w:t xml:space="preserve">under ‘rules of origin’ requirements, the sum of the cost or value of the materials </w:t>
      </w:r>
      <w:r>
        <w:t xml:space="preserve">they </w:t>
      </w:r>
      <w:r>
        <w:t xml:space="preserve">produce in one or more AGOA beneficiary countries plus the direct cost of processing operations </w:t>
      </w:r>
      <w:r>
        <w:t xml:space="preserve">should not be</w:t>
      </w:r>
      <w:r>
        <w:t xml:space="preserve"> less than 35 percent of the appraised value when the product is </w:t>
      </w:r>
      <w:r>
        <w:t xml:space="preserve">ex</w:t>
      </w:r>
      <w:r>
        <w:t xml:space="preserve">ported to the US. </w:t>
      </w:r>
      <w:r>
        <w:t xml:space="preserve">However, the long-term eff</w:t>
      </w:r>
      <w:r>
        <w:t xml:space="preserve">icacy</w:t>
      </w:r>
      <w:r>
        <w:t xml:space="preserve"> of this provision</w:t>
      </w:r>
      <w:r>
        <w:t xml:space="preserve">, in terms of its</w:t>
      </w:r>
      <w:r>
        <w:t xml:space="preserve"> effect on </w:t>
      </w:r>
      <w:r>
        <w:t xml:space="preserve">garment </w:t>
      </w:r>
      <w:r>
        <w:t xml:space="preserve">exports,</w:t>
      </w:r>
      <w:r>
        <w:t xml:space="preserve"> </w:t>
      </w:r>
      <w:r>
        <w:t xml:space="preserve">remains</w:t>
      </w:r>
      <w:r>
        <w:t xml:space="preserve"> unclear because it remains </w:t>
      </w:r>
      <w:r>
        <w:t xml:space="preserve">underexplored.</w:t>
      </w:r>
      <w:r>
        <w:t xml:space="preserve"> Using a synthetic control approach, </w:t>
      </w:r>
      <w:r>
        <w:t xml:space="preserve">a quasi-experimental approach</w:t>
      </w:r>
      <w:r>
        <w:t xml:space="preserve">, the present study seeks to </w:t>
      </w:r>
      <w:r>
        <w:t xml:space="preserve">fill this gap</w:t>
      </w:r>
      <w:r>
        <w:t xml:space="preserve"> by </w:t>
      </w:r>
      <w:r>
        <w:t xml:space="preserve">identifying the trade impacts of</w:t>
      </w:r>
      <w:r>
        <w:t xml:space="preserve"> </w:t>
      </w:r>
      <w:r>
        <w:t xml:space="preserve">the </w:t>
      </w:r>
      <w:r>
        <w:t xml:space="preserve">LDC </w:t>
      </w:r>
      <w:r>
        <w:t xml:space="preserve">SRA</w:t>
      </w:r>
      <w:r>
        <w:t xml:space="preserve"> </w:t>
      </w:r>
      <w:r>
        <w:t xml:space="preserve">on </w:t>
      </w:r>
      <w:r>
        <w:t xml:space="preserve">garment exports </w:t>
      </w:r>
      <w:r>
        <w:t xml:space="preserve">across individual</w:t>
      </w:r>
      <w:r>
        <w:t xml:space="preserve"> SSA countries.</w:t>
      </w:r>
    </w:p>
    <w:p w14:paraId="043EA700" w14:textId="7544A093">
      <w:pPr>
        <w:spacing w:after="0" w:line="480" w:lineRule="auto"/>
        <w:jc w:val="center"/>
        <w:rPr>
          <w:b/>
          <w:bCs/>
        </w:rPr>
      </w:pPr>
      <w:r>
        <w:rPr>
          <w:b/>
          <w:bCs/>
        </w:rPr>
        <w:t xml:space="preserve">2. Background</w:t>
      </w:r>
    </w:p>
    <w:p w14:paraId="201140DD" w14:textId="0FCEA771">
      <w:pPr>
        <w:spacing w:line="480" w:lineRule="auto"/>
        <w:ind w:firstLine="720"/>
      </w:pPr>
      <w:r>
        <w:t xml:space="preserve">AGOA was enacted in 2000 to expand market access for eligible </w:t>
      </w:r>
      <w:r>
        <w:t xml:space="preserve">SSA </w:t>
      </w:r>
      <w:r>
        <w:t xml:space="preserve">countries and promote economic diversification. </w:t>
      </w:r>
      <w:r>
        <w:t xml:space="preserve">The driving vision was to “b</w:t>
      </w:r>
      <w:r>
        <w:t xml:space="preserve">olster economic growth, promoted economic and political reform, and improved U.S. economic relations in the region</w:t>
      </w:r>
      <w:r>
        <w:t xml:space="preserve">” ()</w:t>
      </w:r>
      <w:r>
        <w:rPr>
          <w:rStyle w:val="FootnoteReference"/>
        </w:rPr>
        <w:footnoteReference w:id="1"/>
      </w:r>
      <w:r>
        <w:t xml:space="preserve">. </w:t>
      </w:r>
      <w:r>
        <w:t xml:space="preserve">Since 2000, the Act has </w:t>
      </w:r>
      <w:r>
        <w:t xml:space="preserve">been renewed and extended </w:t>
      </w:r>
      <w:r>
        <w:t xml:space="preserve">numerous times, the most recent being in </w:t>
      </w:r>
      <w:r>
        <w:t xml:space="preserve">2015, </w:t>
      </w:r>
      <w:r>
        <w:t xml:space="preserve">when it </w:t>
      </w:r>
      <w:r>
        <w:t xml:space="preserve">was </w:t>
      </w:r>
      <w:r>
        <w:t xml:space="preserve">extended </w:t>
      </w:r>
      <w:r>
        <w:t xml:space="preserve">for the fifth time for a period of 10 years up to 2025. </w:t>
      </w:r>
      <w:r>
        <w:t xml:space="preserve">AGOA has two key provisions. The first provision grants </w:t>
      </w:r>
      <w:r>
        <w:t xml:space="preserve">eligible </w:t>
      </w:r>
      <w:r>
        <w:t xml:space="preserve">SSA </w:t>
      </w:r>
      <w:r>
        <w:t xml:space="preserve">countries duty-free and quota-free access </w:t>
      </w:r>
      <w:r>
        <w:t xml:space="preserve">of selected product groups, </w:t>
      </w:r>
      <w:r>
        <w:t xml:space="preserve">broadening</w:t>
      </w:r>
      <w:r>
        <w:t xml:space="preserve"> the list of products under GS</w:t>
      </w:r>
      <w:r>
        <w:t xml:space="preserve">P</w:t>
      </w:r>
      <w:r>
        <w:t xml:space="preserve"> from the initial 4,600 products to more than </w:t>
      </w:r>
      <w:r>
        <w:t xml:space="preserve">6,400 product groups</w:t>
      </w:r>
      <w:r>
        <w:t xml:space="preserve">. The second provision, which is at the core of the present study, </w:t>
      </w:r>
      <w:r>
        <w:t xml:space="preserve">gives eligible SSA countries </w:t>
      </w:r>
      <w:r>
        <w:t xml:space="preserve">duty-free and quota-free access for eligible apparel and textiles articles made in qualifying S</w:t>
      </w:r>
      <w:r>
        <w:t xml:space="preserve">SA</w:t>
      </w:r>
      <w:r>
        <w:t xml:space="preserve"> countries subject to a cap. With few exceptions, </w:t>
      </w:r>
      <w:r>
        <w:t xml:space="preserve"> the provision expanded </w:t>
      </w:r>
      <w:r>
        <w:t xml:space="preserve"> access to a wide range of textile and apparel products</w:t>
      </w:r>
      <w:r>
        <w:t xml:space="preserve"> from SSA countries. Currently, garment exports from 21 SSA countries, </w:t>
      </w:r>
      <w:r>
        <w:t xml:space="preserve">made from fabric originating anywhere in the world</w:t>
      </w:r>
      <w:r>
        <w:t xml:space="preserve">, benefit from </w:t>
      </w:r>
      <w:r>
        <w:t xml:space="preserve">duty-free preferential access</w:t>
      </w:r>
      <w:r>
        <w:t xml:space="preserve"> to the U.S. market. </w:t>
      </w:r>
      <w:r>
        <w:t xml:space="preserve">Table 1 provides a full list of </w:t>
      </w:r>
      <w:r>
        <w:t xml:space="preserve">eligibility of the AGOA </w:t>
      </w:r>
      <w:r>
        <w:t xml:space="preserve">LDC </w:t>
      </w:r>
      <w:r>
        <w:t xml:space="preserve">Special Rule for Apparel </w:t>
      </w:r>
      <w:r>
        <w:t xml:space="preserve">(3rd </w:t>
      </w:r>
      <w:r>
        <w:t xml:space="preserve">Country Fabric</w:t>
      </w:r>
      <w:r>
        <w:t xml:space="preserve">)</w:t>
      </w:r>
      <w:r>
        <w:t xml:space="preserve">.</w:t>
      </w:r>
    </w:p>
    <w:tbl>
      <w:tblPr>
        <w:tblW w:w="5000" w:type="pct"/>
        <w:tblLook w:val="04A0" w:firstRow="1" w:lastRow="0" w:firstColumn="1" w:lastColumn="0" w:noHBand="0" w:noVBand="1"/>
      </w:tblPr>
      <w:tblGrid>
        <w:gridCol w:w="1933"/>
        <w:gridCol w:w="1920"/>
        <w:gridCol w:w="1859"/>
        <w:gridCol w:w="1924"/>
        <w:gridCol w:w="1704"/>
      </w:tblGrid>
      <w:tr>
        <w:trPr>
          <w:trHeight w:val="1575"/>
        </w:trPr>
        <w:tc>
          <w:tcPr>
            <w:tcW w:w="1034" w:type="pct"/>
            <w:tcBorders>
              <w:top w:val="single" w:color="auto" w:sz="8" w:space="0"/>
              <w:left w:val="single" w:color="auto" w:sz="8" w:space="0"/>
              <w:bottom w:val="single" w:color="auto" w:sz="4" w:space="0"/>
              <w:right w:val="single" w:color="auto" w:sz="4" w:space="0"/>
            </w:tcBorders>
            <w:shd w:val="clear" w:color="auto" w:fill="auto"/>
            <w:vAlign w:val="bottom"/>
            <w:hideMark/>
          </w:tcPr>
          <w:p w14:paraId="5076E7A9" w14:textId="77777777">
            <w:pPr>
              <w:spacing w:after="0" w:line="240" w:lineRule="auto"/>
              <w:jc w:val="center"/>
              <w:rPr>
                <w:rFonts w:eastAsia="Times New Roman" w:cs="Times New Roman"/>
                <w:b/>
                <w:bCs/>
                <w:color w:val="000000"/>
                <w:kern w:val="0"/>
                <w14:ligatures w14:val="none"/>
              </w:rPr>
            </w:pPr>
            <w:r>
              <w:rPr>
                <w:rFonts w:eastAsia="Times New Roman" w:cs="Times New Roman"/>
                <w:b/>
                <w:bCs/>
                <w:color w:val="000000"/>
                <w:kern w:val="0"/>
                <w14:ligatures w14:val="none"/>
              </w:rPr>
              <w:t xml:space="preserve">COUNTRY</w:t>
            </w:r>
          </w:p>
        </w:tc>
        <w:tc>
          <w:tcPr>
            <w:tcW w:w="1028" w:type="pct"/>
            <w:tcBorders>
              <w:top w:val="single" w:color="auto" w:sz="8" w:space="0"/>
              <w:left w:val="nil"/>
              <w:bottom w:val="single" w:color="auto" w:sz="4" w:space="0"/>
              <w:right w:val="single" w:color="auto" w:sz="4" w:space="0"/>
            </w:tcBorders>
            <w:shd w:val="clear" w:color="auto" w:fill="auto"/>
            <w:vAlign w:val="bottom"/>
            <w:hideMark/>
          </w:tcPr>
          <w:p w14:paraId="7CA231B5" w14:textId="77777777">
            <w:pPr>
              <w:spacing w:after="0" w:line="240" w:lineRule="auto"/>
              <w:jc w:val="center"/>
              <w:rPr>
                <w:rFonts w:eastAsia="Times New Roman" w:cs="Times New Roman"/>
                <w:b/>
                <w:bCs/>
                <w:color w:val="000000"/>
                <w:kern w:val="0"/>
                <w14:ligatures w14:val="none"/>
              </w:rPr>
            </w:pPr>
            <w:r>
              <w:rPr>
                <w:rFonts w:eastAsia="Times New Roman" w:cs="Times New Roman"/>
                <w:b/>
                <w:bCs/>
                <w:color w:val="000000"/>
                <w:kern w:val="0"/>
                <w14:ligatures w14:val="none"/>
              </w:rPr>
              <w:t xml:space="preserve">DATE DECLARED AGOA ELIGIBLE FOR APPAREL</w:t>
            </w:r>
          </w:p>
        </w:tc>
        <w:tc>
          <w:tcPr>
            <w:tcW w:w="995" w:type="pct"/>
            <w:tcBorders>
              <w:top w:val="single" w:color="auto" w:sz="8" w:space="0"/>
              <w:left w:val="nil"/>
              <w:bottom w:val="single" w:color="auto" w:sz="4" w:space="0"/>
              <w:right w:val="single" w:color="auto" w:sz="4" w:space="0"/>
            </w:tcBorders>
            <w:shd w:val="clear" w:color="auto" w:fill="auto"/>
            <w:vAlign w:val="bottom"/>
            <w:hideMark/>
          </w:tcPr>
          <w:p w14:paraId="7559DB7F" w14:textId="77777777">
            <w:pPr>
              <w:spacing w:after="0" w:line="240" w:lineRule="auto"/>
              <w:jc w:val="center"/>
              <w:rPr>
                <w:rFonts w:eastAsia="Times New Roman" w:cs="Times New Roman"/>
                <w:b/>
                <w:bCs/>
                <w:color w:val="000000"/>
                <w:kern w:val="0"/>
                <w14:ligatures w14:val="none"/>
              </w:rPr>
            </w:pPr>
            <w:hyperlink r:id="rId10" w:history="1">
              <w:r>
                <w:rPr>
                  <w:rFonts w:eastAsia="Times New Roman" w:cs="Times New Roman"/>
                  <w:b/>
                  <w:bCs/>
                  <w:color w:val="000000"/>
                  <w:kern w:val="0"/>
                  <w14:ligatures w14:val="none"/>
                </w:rPr>
                <w:t xml:space="preserve">LDC SPECIAL RULE FOR APPAREL </w:t>
              </w:r>
              <w:r>
                <w:rPr>
                  <w:rFonts w:eastAsia="Times New Roman" w:cs="Times New Roman"/>
                  <w:b/>
                  <w:bCs/>
                  <w:color w:val="000000"/>
                  <w:kern w:val="0"/>
                  <w14:ligatures w14:val="none"/>
                </w:rPr>
                <w:br/>
                <w:t xml:space="preserve">(3rd COUNTRY FABRIC)</w:t>
              </w:r>
            </w:hyperlink>
          </w:p>
        </w:tc>
        <w:tc>
          <w:tcPr>
            <w:tcW w:w="1030" w:type="pct"/>
            <w:tcBorders>
              <w:top w:val="single" w:color="auto" w:sz="8" w:space="0"/>
              <w:left w:val="nil"/>
              <w:bottom w:val="single" w:color="auto" w:sz="4" w:space="0"/>
              <w:right w:val="single" w:color="auto" w:sz="8" w:space="0"/>
            </w:tcBorders>
            <w:shd w:val="clear" w:color="auto" w:fill="auto"/>
            <w:noWrap/>
            <w:vAlign w:val="bottom"/>
            <w:hideMark/>
          </w:tcPr>
          <w:p w14:paraId="4D35C435" w14:textId="1DB04711">
            <w:pPr>
              <w:spacing w:after="0" w:line="240" w:lineRule="auto"/>
              <w:jc w:val="center"/>
              <w:rPr>
                <w:rFonts w:eastAsia="Times New Roman" w:cs="Times New Roman"/>
                <w:b/>
                <w:bCs/>
                <w:color w:val="000000"/>
                <w:kern w:val="0"/>
                <w14:ligatures w14:val="none"/>
              </w:rPr>
            </w:pPr>
            <w:r>
              <w:rPr>
                <w:rFonts w:eastAsia="Times New Roman" w:cs="Times New Roman"/>
                <w:b/>
                <w:bCs/>
                <w:color w:val="000000"/>
                <w:kern w:val="0"/>
                <w14:ligatures w14:val="none"/>
              </w:rPr>
              <w:t xml:space="preserve">TREATMENT</w:t>
            </w:r>
          </w:p>
          <w:p w14:paraId="2DB65577" w14:textId="0B768FC2">
            <w:pPr>
              <w:spacing w:after="0" w:line="240" w:lineRule="auto"/>
              <w:jc w:val="center"/>
              <w:rPr>
                <w:rFonts w:eastAsia="Times New Roman" w:cs="Times New Roman"/>
                <w:b/>
                <w:bCs/>
                <w:color w:val="000000"/>
                <w:kern w:val="0"/>
                <w14:ligatures w14:val="none"/>
              </w:rPr>
            </w:pPr>
            <w:r>
              <w:rPr>
                <w:rFonts w:eastAsia="Times New Roman" w:cs="Times New Roman"/>
                <w:b/>
                <w:bCs/>
                <w:color w:val="000000"/>
                <w:kern w:val="0"/>
                <w14:ligatures w14:val="none"/>
              </w:rPr>
              <w:t xml:space="preserve">GROUP</w:t>
            </w:r>
          </w:p>
          <w:p w14:paraId="134682F6" w14:textId="716CDE72">
            <w:pPr>
              <w:spacing w:after="0" w:line="240" w:lineRule="auto"/>
              <w:jc w:val="center"/>
              <w:rPr>
                <w:rFonts w:eastAsia="Times New Roman" w:cs="Times New Roman"/>
                <w:b/>
                <w:bCs/>
                <w:color w:val="000000"/>
                <w:kern w:val="0"/>
                <w14:ligatures w14:val="none"/>
              </w:rPr>
            </w:pPr>
          </w:p>
        </w:tc>
        <w:tc>
          <w:tcPr>
            <w:tcW w:w="912" w:type="pct"/>
            <w:tcBorders>
              <w:top w:val="single" w:color="auto" w:sz="8" w:space="0"/>
              <w:left w:val="nil"/>
              <w:bottom w:val="single" w:color="auto" w:sz="4" w:space="0"/>
              <w:right w:val="single" w:color="auto" w:sz="8" w:space="0"/>
            </w:tcBorders>
          </w:tcPr>
          <w:p w14:paraId="61D2EC79" w14:textId="77777777">
            <w:pPr>
              <w:spacing w:after="0" w:line="240" w:lineRule="auto"/>
              <w:jc w:val="center"/>
              <w:rPr>
                <w:rFonts w:eastAsia="Times New Roman" w:cs="Times New Roman"/>
                <w:b/>
                <w:bCs/>
                <w:color w:val="000000"/>
                <w:kern w:val="0"/>
                <w14:ligatures w14:val="none"/>
              </w:rPr>
            </w:pPr>
          </w:p>
          <w:p w14:paraId="2ECCE200" w14:textId="77777777">
            <w:pPr>
              <w:spacing w:after="0" w:line="240" w:lineRule="auto"/>
              <w:jc w:val="center"/>
              <w:rPr>
                <w:rFonts w:eastAsia="Times New Roman" w:cs="Times New Roman"/>
                <w:b/>
                <w:bCs/>
                <w:color w:val="000000"/>
                <w:kern w:val="0"/>
                <w14:ligatures w14:val="none"/>
              </w:rPr>
            </w:pPr>
          </w:p>
          <w:p w14:paraId="4DB1ABDC" w14:textId="06ABD863">
            <w:pPr>
              <w:spacing w:after="0" w:line="240" w:lineRule="auto"/>
              <w:jc w:val="center"/>
              <w:rPr>
                <w:rFonts w:eastAsia="Times New Roman" w:cs="Times New Roman"/>
                <w:b/>
                <w:bCs/>
                <w:color w:val="000000"/>
                <w:kern w:val="0"/>
                <w14:ligatures w14:val="none"/>
              </w:rPr>
            </w:pPr>
            <w:r>
              <w:rPr>
                <w:rFonts w:eastAsia="Times New Roman" w:cs="Times New Roman"/>
                <w:b/>
                <w:bCs/>
                <w:color w:val="000000"/>
                <w:kern w:val="0"/>
                <w14:ligatures w14:val="none"/>
              </w:rPr>
              <w:t xml:space="preserve">SYNTHETIC CONTROL</w:t>
            </w:r>
          </w:p>
          <w:p w14:paraId="6AAE3E82" w14:textId="4DB69F46">
            <w:pPr>
              <w:spacing w:after="0" w:line="240" w:lineRule="auto"/>
              <w:jc w:val="center"/>
              <w:rPr>
                <w:rFonts w:eastAsia="Times New Roman" w:cs="Times New Roman"/>
                <w:b/>
                <w:bCs/>
                <w:color w:val="000000"/>
                <w:kern w:val="0"/>
                <w14:ligatures w14:val="none"/>
              </w:rPr>
            </w:pPr>
            <w:r>
              <w:rPr>
                <w:rFonts w:eastAsia="Times New Roman" w:cs="Times New Roman"/>
                <w:b/>
                <w:bCs/>
                <w:color w:val="000000"/>
                <w:kern w:val="0"/>
                <w14:ligatures w14:val="none"/>
              </w:rPr>
              <w:t xml:space="preserve">GROUP</w:t>
            </w:r>
          </w:p>
        </w:tc>
      </w:tr>
      <w:tr>
        <w:trPr>
          <w:trHeight w:val="315"/>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0817F8CC"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(Republic of) Benin</w:t>
            </w:r>
          </w:p>
        </w:tc>
        <w:tc>
          <w:tcPr>
            <w:tcW w:w="1028" w:type="pct"/>
            <w:tcBorders>
              <w:top w:val="nil"/>
              <w:left w:val="nil"/>
              <w:bottom w:val="single" w:color="auto" w:sz="4" w:space="0"/>
              <w:right w:val="single" w:color="auto" w:sz="4" w:space="0"/>
            </w:tcBorders>
            <w:shd w:val="clear" w:color="auto" w:fill="auto"/>
            <w:vAlign w:val="center"/>
            <w:hideMark/>
          </w:tcPr>
          <w:p w14:paraId="1AB05B0A" w14:textId="77777777">
            <w:pPr>
              <w:spacing w:after="0" w:line="240" w:lineRule="auto"/>
              <w:jc w:val="right"/>
              <w:rPr>
                <w:rFonts w:eastAsia="Times New Roman" w:cs="Times New Roman"/>
                <w:color w:val="000000"/>
                <w:kern w:val="0"/>
                <w14:ligatures w14:val="none"/>
              </w:rPr>
            </w:pPr>
            <w:r>
              <w:rPr>
                <w:rFonts w:eastAsia="Times New Roman" w:cs="Times New Roman"/>
                <w:color w:val="000000"/>
                <w:kern w:val="0"/>
                <w14:ligatures w14:val="none"/>
              </w:rPr>
              <w:t xml:space="preserve">January 28, 2004</w:t>
            </w:r>
          </w:p>
        </w:tc>
        <w:tc>
          <w:tcPr>
            <w:tcW w:w="995" w:type="pct"/>
            <w:tcBorders>
              <w:top w:val="nil"/>
              <w:left w:val="nil"/>
              <w:bottom w:val="single" w:color="auto" w:sz="4" w:space="0"/>
              <w:right w:val="single" w:color="auto" w:sz="4" w:space="0"/>
            </w:tcBorders>
            <w:shd w:val="clear" w:color="auto" w:fill="auto"/>
            <w:vAlign w:val="center"/>
            <w:hideMark/>
          </w:tcPr>
          <w:p w14:paraId="7AA1598F"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Yes</w:t>
            </w:r>
          </w:p>
        </w:tc>
        <w:tc>
          <w:tcPr>
            <w:tcW w:w="1030" w:type="pct"/>
            <w:tcBorders>
              <w:top w:val="nil"/>
              <w:left w:val="nil"/>
              <w:bottom w:val="single" w:color="auto" w:sz="4" w:space="0"/>
              <w:right w:val="single" w:color="auto" w:sz="8" w:space="0"/>
            </w:tcBorders>
            <w:shd w:val="clear" w:color="auto" w:fill="auto"/>
            <w:noWrap/>
            <w:vAlign w:val="bottom"/>
            <w:hideMark/>
          </w:tcPr>
          <w:p w14:paraId="1AF5B55E" w14:textId="6235152E">
            <w:pPr>
              <w:pStyle w:val="ListParagraph"/>
              <w:numPr>
                <w:ilvl w:val="0"/>
                <w:numId w:val="8"/>
              </w:numPr>
              <w:spacing w:after="0" w:line="240" w:lineRule="auto"/>
              <w:jc w:val="center"/>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6C683CAE" w14:textId="77777777">
            <w:pPr>
              <w:pStyle w:val="ListParagraph"/>
              <w:spacing w:after="0" w:line="240" w:lineRule="auto"/>
              <w:rPr>
                <w:rFonts w:eastAsia="Times New Roman" w:cs="Times New Roman"/>
                <w:color w:val="000000"/>
                <w:kern w:val="0"/>
                <w14:ligatures w14:val="none"/>
              </w:rPr>
            </w:pPr>
          </w:p>
        </w:tc>
      </w:tr>
      <w:tr>
        <w:trPr>
          <w:trHeight w:val="315"/>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0C5E557D"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(Republic of) Botswana</w:t>
            </w:r>
          </w:p>
        </w:tc>
        <w:tc>
          <w:tcPr>
            <w:tcW w:w="1028" w:type="pct"/>
            <w:tcBorders>
              <w:top w:val="nil"/>
              <w:left w:val="nil"/>
              <w:bottom w:val="single" w:color="auto" w:sz="4" w:space="0"/>
              <w:right w:val="single" w:color="auto" w:sz="4" w:space="0"/>
            </w:tcBorders>
            <w:shd w:val="clear" w:color="auto" w:fill="auto"/>
            <w:vAlign w:val="center"/>
            <w:hideMark/>
          </w:tcPr>
          <w:p w14:paraId="1A0247F2" w14:textId="77777777">
            <w:pPr>
              <w:spacing w:after="0" w:line="240" w:lineRule="auto"/>
              <w:jc w:val="right"/>
              <w:rPr>
                <w:rFonts w:eastAsia="Times New Roman" w:cs="Times New Roman"/>
                <w:color w:val="000000"/>
                <w:kern w:val="0"/>
                <w14:ligatures w14:val="none"/>
              </w:rPr>
            </w:pPr>
            <w:r>
              <w:rPr>
                <w:rFonts w:eastAsia="Times New Roman" w:cs="Times New Roman"/>
                <w:color w:val="000000"/>
                <w:kern w:val="0"/>
                <w14:ligatures w14:val="none"/>
              </w:rPr>
              <w:t xml:space="preserve">August 27, 2001</w:t>
            </w:r>
          </w:p>
        </w:tc>
        <w:tc>
          <w:tcPr>
            <w:tcW w:w="995" w:type="pct"/>
            <w:tcBorders>
              <w:top w:val="nil"/>
              <w:left w:val="nil"/>
              <w:bottom w:val="single" w:color="auto" w:sz="4" w:space="0"/>
              <w:right w:val="single" w:color="auto" w:sz="4" w:space="0"/>
            </w:tcBorders>
            <w:shd w:val="clear" w:color="auto" w:fill="auto"/>
            <w:vAlign w:val="center"/>
            <w:hideMark/>
          </w:tcPr>
          <w:p w14:paraId="648ED6D8"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Yes</w:t>
            </w:r>
          </w:p>
        </w:tc>
        <w:tc>
          <w:tcPr>
            <w:tcW w:w="1030" w:type="pct"/>
            <w:tcBorders>
              <w:top w:val="nil"/>
              <w:left w:val="nil"/>
              <w:bottom w:val="single" w:color="auto" w:sz="4" w:space="0"/>
              <w:right w:val="single" w:color="auto" w:sz="8" w:space="0"/>
            </w:tcBorders>
            <w:shd w:val="clear" w:color="auto" w:fill="auto"/>
            <w:noWrap/>
            <w:vAlign w:val="bottom"/>
            <w:hideMark/>
          </w:tcPr>
          <w:p w14:paraId="56D504B1" w14:textId="73835D1C">
            <w:pPr>
              <w:pStyle w:val="ListParagraph"/>
              <w:numPr>
                <w:ilvl w:val="0"/>
                <w:numId w:val="8"/>
              </w:numPr>
              <w:spacing w:after="0" w:line="240" w:lineRule="auto"/>
              <w:jc w:val="center"/>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18BCF46E" w14:textId="77777777">
            <w:pPr>
              <w:pStyle w:val="ListParagraph"/>
              <w:spacing w:after="0" w:line="240" w:lineRule="auto"/>
              <w:rPr>
                <w:rFonts w:eastAsia="Times New Roman" w:cs="Times New Roman"/>
                <w:color w:val="000000"/>
                <w:kern w:val="0"/>
                <w14:ligatures w14:val="none"/>
              </w:rPr>
            </w:pPr>
          </w:p>
        </w:tc>
      </w:tr>
      <w:tr>
        <w:trPr>
          <w:trHeight w:val="315"/>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41A2AEE9"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(Republic of) Cape Verde</w:t>
            </w:r>
          </w:p>
        </w:tc>
        <w:tc>
          <w:tcPr>
            <w:tcW w:w="1028" w:type="pct"/>
            <w:tcBorders>
              <w:top w:val="nil"/>
              <w:left w:val="nil"/>
              <w:bottom w:val="single" w:color="auto" w:sz="4" w:space="0"/>
              <w:right w:val="single" w:color="auto" w:sz="4" w:space="0"/>
            </w:tcBorders>
            <w:shd w:val="clear" w:color="auto" w:fill="auto"/>
            <w:vAlign w:val="center"/>
            <w:hideMark/>
          </w:tcPr>
          <w:p w14:paraId="191CEA14" w14:textId="77777777">
            <w:pPr>
              <w:spacing w:after="0" w:line="240" w:lineRule="auto"/>
              <w:jc w:val="right"/>
              <w:rPr>
                <w:rFonts w:eastAsia="Times New Roman" w:cs="Times New Roman"/>
                <w:color w:val="000000"/>
                <w:kern w:val="0"/>
                <w14:ligatures w14:val="none"/>
              </w:rPr>
            </w:pPr>
            <w:r>
              <w:rPr>
                <w:rFonts w:eastAsia="Times New Roman" w:cs="Times New Roman"/>
                <w:color w:val="000000"/>
                <w:kern w:val="0"/>
                <w14:ligatures w14:val="none"/>
              </w:rPr>
              <w:t xml:space="preserve">August 28, 2002</w:t>
            </w:r>
          </w:p>
        </w:tc>
        <w:tc>
          <w:tcPr>
            <w:tcW w:w="995" w:type="pct"/>
            <w:tcBorders>
              <w:top w:val="nil"/>
              <w:left w:val="nil"/>
              <w:bottom w:val="single" w:color="auto" w:sz="4" w:space="0"/>
              <w:right w:val="single" w:color="auto" w:sz="4" w:space="0"/>
            </w:tcBorders>
            <w:shd w:val="clear" w:color="auto" w:fill="auto"/>
            <w:vAlign w:val="center"/>
            <w:hideMark/>
          </w:tcPr>
          <w:p w14:paraId="054CB50C"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Yes</w:t>
            </w:r>
          </w:p>
        </w:tc>
        <w:tc>
          <w:tcPr>
            <w:tcW w:w="1030" w:type="pct"/>
            <w:tcBorders>
              <w:top w:val="nil"/>
              <w:left w:val="nil"/>
              <w:bottom w:val="single" w:color="auto" w:sz="4" w:space="0"/>
              <w:right w:val="single" w:color="auto" w:sz="8" w:space="0"/>
            </w:tcBorders>
            <w:shd w:val="clear" w:color="auto" w:fill="auto"/>
            <w:noWrap/>
            <w:vAlign w:val="bottom"/>
            <w:hideMark/>
          </w:tcPr>
          <w:p w14:paraId="6ACA2E2D" w14:textId="005C72F3">
            <w:pPr>
              <w:pStyle w:val="ListParagraph"/>
              <w:numPr>
                <w:ilvl w:val="0"/>
                <w:numId w:val="8"/>
              </w:numPr>
              <w:spacing w:after="0" w:line="240" w:lineRule="auto"/>
              <w:jc w:val="center"/>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45339EB3" w14:textId="77777777">
            <w:pPr>
              <w:pStyle w:val="ListParagraph"/>
              <w:spacing w:after="0" w:line="240" w:lineRule="auto"/>
              <w:rPr>
                <w:rFonts w:eastAsia="Times New Roman" w:cs="Times New Roman"/>
                <w:color w:val="000000"/>
                <w:kern w:val="0"/>
                <w14:ligatures w14:val="none"/>
              </w:rPr>
            </w:pPr>
          </w:p>
        </w:tc>
      </w:tr>
      <w:tr>
        <w:trPr>
          <w:trHeight w:val="315"/>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4BAC7432"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(Republic of) Chad</w:t>
            </w:r>
          </w:p>
        </w:tc>
        <w:tc>
          <w:tcPr>
            <w:tcW w:w="1028" w:type="pct"/>
            <w:tcBorders>
              <w:top w:val="nil"/>
              <w:left w:val="nil"/>
              <w:bottom w:val="single" w:color="auto" w:sz="4" w:space="0"/>
              <w:right w:val="single" w:color="auto" w:sz="4" w:space="0"/>
            </w:tcBorders>
            <w:shd w:val="clear" w:color="auto" w:fill="auto"/>
            <w:vAlign w:val="center"/>
            <w:hideMark/>
          </w:tcPr>
          <w:p w14:paraId="31F28D2A" w14:textId="77777777">
            <w:pPr>
              <w:spacing w:after="0" w:line="240" w:lineRule="auto"/>
              <w:jc w:val="right"/>
              <w:rPr>
                <w:rFonts w:eastAsia="Times New Roman" w:cs="Times New Roman"/>
                <w:color w:val="000000"/>
                <w:kern w:val="0"/>
                <w14:ligatures w14:val="none"/>
              </w:rPr>
            </w:pPr>
            <w:r>
              <w:rPr>
                <w:rFonts w:eastAsia="Times New Roman" w:cs="Times New Roman"/>
                <w:color w:val="000000"/>
                <w:kern w:val="0"/>
                <w14:ligatures w14:val="none"/>
              </w:rPr>
              <w:t xml:space="preserve">April 26, 2006</w:t>
            </w:r>
          </w:p>
        </w:tc>
        <w:tc>
          <w:tcPr>
            <w:tcW w:w="995" w:type="pct"/>
            <w:tcBorders>
              <w:top w:val="nil"/>
              <w:left w:val="nil"/>
              <w:bottom w:val="single" w:color="auto" w:sz="4" w:space="0"/>
              <w:right w:val="single" w:color="auto" w:sz="4" w:space="0"/>
            </w:tcBorders>
            <w:shd w:val="clear" w:color="auto" w:fill="auto"/>
            <w:vAlign w:val="center"/>
            <w:hideMark/>
          </w:tcPr>
          <w:p w14:paraId="411E466B"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Yes</w:t>
            </w:r>
          </w:p>
        </w:tc>
        <w:tc>
          <w:tcPr>
            <w:tcW w:w="1030" w:type="pct"/>
            <w:tcBorders>
              <w:top w:val="nil"/>
              <w:left w:val="nil"/>
              <w:bottom w:val="single" w:color="auto" w:sz="4" w:space="0"/>
              <w:right w:val="single" w:color="auto" w:sz="8" w:space="0"/>
            </w:tcBorders>
            <w:shd w:val="clear" w:color="auto" w:fill="auto"/>
            <w:noWrap/>
            <w:vAlign w:val="bottom"/>
            <w:hideMark/>
          </w:tcPr>
          <w:p w14:paraId="41805F9F" w14:textId="75B286A0">
            <w:pPr>
              <w:pStyle w:val="ListParagraph"/>
              <w:numPr>
                <w:ilvl w:val="0"/>
                <w:numId w:val="8"/>
              </w:numPr>
              <w:spacing w:after="0" w:line="240" w:lineRule="auto"/>
              <w:jc w:val="center"/>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3071D321" w14:textId="77777777">
            <w:pPr>
              <w:pStyle w:val="ListParagraph"/>
              <w:spacing w:after="0" w:line="240" w:lineRule="auto"/>
              <w:rPr>
                <w:rFonts w:eastAsia="Times New Roman" w:cs="Times New Roman"/>
                <w:color w:val="000000"/>
                <w:kern w:val="0"/>
                <w14:ligatures w14:val="none"/>
              </w:rPr>
            </w:pPr>
          </w:p>
        </w:tc>
      </w:tr>
      <w:tr>
        <w:trPr>
          <w:trHeight w:val="315"/>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7DB09A03"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(Union of) Comoros</w:t>
            </w:r>
          </w:p>
        </w:tc>
        <w:tc>
          <w:tcPr>
            <w:tcW w:w="1028" w:type="pct"/>
            <w:tcBorders>
              <w:top w:val="nil"/>
              <w:left w:val="nil"/>
              <w:bottom w:val="single" w:color="auto" w:sz="4" w:space="0"/>
              <w:right w:val="single" w:color="auto" w:sz="4" w:space="0"/>
            </w:tcBorders>
            <w:shd w:val="clear" w:color="auto" w:fill="auto"/>
            <w:vAlign w:val="center"/>
            <w:hideMark/>
          </w:tcPr>
          <w:p w14:paraId="7B115781" w14:textId="39F2077F">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Not Eligible</w:t>
            </w:r>
          </w:p>
        </w:tc>
        <w:tc>
          <w:tcPr>
            <w:tcW w:w="995" w:type="pct"/>
            <w:tcBorders>
              <w:top w:val="nil"/>
              <w:left w:val="nil"/>
              <w:bottom w:val="single" w:color="auto" w:sz="4" w:space="0"/>
              <w:right w:val="single" w:color="auto" w:sz="4" w:space="0"/>
            </w:tcBorders>
            <w:shd w:val="clear" w:color="auto" w:fill="auto"/>
            <w:vAlign w:val="center"/>
            <w:hideMark/>
          </w:tcPr>
          <w:p w14:paraId="6356D7C9"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No</w:t>
            </w:r>
          </w:p>
        </w:tc>
        <w:tc>
          <w:tcPr>
            <w:tcW w:w="1030" w:type="pct"/>
            <w:tcBorders>
              <w:top w:val="nil"/>
              <w:left w:val="nil"/>
              <w:bottom w:val="single" w:color="auto" w:sz="4" w:space="0"/>
              <w:right w:val="single" w:color="auto" w:sz="8" w:space="0"/>
            </w:tcBorders>
            <w:shd w:val="clear" w:color="auto" w:fill="auto"/>
            <w:noWrap/>
            <w:vAlign w:val="bottom"/>
            <w:hideMark/>
          </w:tcPr>
          <w:p w14:paraId="15A137D4" w14:textId="1D443CC2">
            <w:pPr>
              <w:pStyle w:val="ListParagraph"/>
              <w:spacing w:after="0" w:line="240" w:lineRule="auto"/>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1418FE9F" w14:textId="77777777">
            <w:pPr>
              <w:pStyle w:val="ListParagraph"/>
              <w:numPr>
                <w:ilvl w:val="0"/>
                <w:numId w:val="8"/>
              </w:numPr>
              <w:spacing w:after="0" w:line="240" w:lineRule="auto"/>
              <w:jc w:val="center"/>
              <w:rPr>
                <w:rFonts w:eastAsia="Times New Roman" w:cs="Times New Roman"/>
                <w:color w:val="000000"/>
                <w:kern w:val="0"/>
                <w14:ligatures w14:val="none"/>
              </w:rPr>
            </w:pPr>
          </w:p>
        </w:tc>
      </w:tr>
      <w:tr>
        <w:trPr>
          <w:trHeight w:val="315"/>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1E211C21"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(Republic of) Congo</w:t>
            </w:r>
          </w:p>
        </w:tc>
        <w:tc>
          <w:tcPr>
            <w:tcW w:w="1028" w:type="pct"/>
            <w:tcBorders>
              <w:top w:val="nil"/>
              <w:left w:val="nil"/>
              <w:bottom w:val="single" w:color="auto" w:sz="4" w:space="0"/>
              <w:right w:val="single" w:color="auto" w:sz="4" w:space="0"/>
            </w:tcBorders>
            <w:shd w:val="clear" w:color="auto" w:fill="auto"/>
            <w:vAlign w:val="center"/>
            <w:hideMark/>
          </w:tcPr>
          <w:p w14:paraId="7740E039" w14:textId="576A4F6D">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N</w:t>
            </w:r>
            <w:r>
              <w:rPr>
                <w:rFonts w:eastAsia="Times New Roman" w:cs="Times New Roman"/>
                <w:color w:val="000000"/>
                <w:kern w:val="0"/>
                <w14:ligatures w14:val="none"/>
              </w:rPr>
              <w:t xml:space="preserve">ot Eligible</w:t>
            </w:r>
          </w:p>
        </w:tc>
        <w:tc>
          <w:tcPr>
            <w:tcW w:w="995" w:type="pct"/>
            <w:tcBorders>
              <w:top w:val="nil"/>
              <w:left w:val="nil"/>
              <w:bottom w:val="single" w:color="auto" w:sz="4" w:space="0"/>
              <w:right w:val="single" w:color="auto" w:sz="4" w:space="0"/>
            </w:tcBorders>
            <w:shd w:val="clear" w:color="auto" w:fill="auto"/>
            <w:vAlign w:val="center"/>
            <w:hideMark/>
          </w:tcPr>
          <w:p w14:paraId="0EE6DA6E"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No</w:t>
            </w:r>
          </w:p>
        </w:tc>
        <w:tc>
          <w:tcPr>
            <w:tcW w:w="1030" w:type="pct"/>
            <w:tcBorders>
              <w:top w:val="nil"/>
              <w:left w:val="nil"/>
              <w:bottom w:val="single" w:color="auto" w:sz="4" w:space="0"/>
              <w:right w:val="single" w:color="auto" w:sz="8" w:space="0"/>
            </w:tcBorders>
            <w:shd w:val="clear" w:color="auto" w:fill="auto"/>
            <w:noWrap/>
            <w:vAlign w:val="bottom"/>
            <w:hideMark/>
          </w:tcPr>
          <w:p w14:paraId="49565AD8" w14:textId="5DDBB278">
            <w:pPr>
              <w:pStyle w:val="ListParagraph"/>
              <w:spacing w:after="0" w:line="240" w:lineRule="auto"/>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22171CFD" w14:textId="77777777">
            <w:pPr>
              <w:pStyle w:val="ListParagraph"/>
              <w:numPr>
                <w:ilvl w:val="0"/>
                <w:numId w:val="8"/>
              </w:numPr>
              <w:spacing w:after="0" w:line="240" w:lineRule="auto"/>
              <w:jc w:val="center"/>
              <w:rPr>
                <w:rFonts w:eastAsia="Times New Roman" w:cs="Times New Roman"/>
                <w:color w:val="000000"/>
                <w:kern w:val="0"/>
                <w14:ligatures w14:val="none"/>
              </w:rPr>
            </w:pPr>
          </w:p>
        </w:tc>
      </w:tr>
      <w:tr>
        <w:trPr>
          <w:trHeight w:val="630"/>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2AF2576F"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(Democratic Republic of) Congo</w:t>
            </w:r>
          </w:p>
        </w:tc>
        <w:tc>
          <w:tcPr>
            <w:tcW w:w="1028" w:type="pct"/>
            <w:tcBorders>
              <w:top w:val="nil"/>
              <w:left w:val="nil"/>
              <w:bottom w:val="single" w:color="auto" w:sz="4" w:space="0"/>
              <w:right w:val="single" w:color="auto" w:sz="4" w:space="0"/>
            </w:tcBorders>
            <w:shd w:val="clear" w:color="auto" w:fill="auto"/>
            <w:vAlign w:val="center"/>
            <w:hideMark/>
          </w:tcPr>
          <w:p w14:paraId="2E1110F2" w14:textId="6F6C360D">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Not Eligible</w:t>
            </w:r>
          </w:p>
        </w:tc>
        <w:tc>
          <w:tcPr>
            <w:tcW w:w="995" w:type="pct"/>
            <w:tcBorders>
              <w:top w:val="nil"/>
              <w:left w:val="nil"/>
              <w:bottom w:val="single" w:color="auto" w:sz="4" w:space="0"/>
              <w:right w:val="single" w:color="auto" w:sz="4" w:space="0"/>
            </w:tcBorders>
            <w:shd w:val="clear" w:color="auto" w:fill="auto"/>
            <w:vAlign w:val="center"/>
            <w:hideMark/>
          </w:tcPr>
          <w:p w14:paraId="5FC3E2A9"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No</w:t>
            </w:r>
          </w:p>
        </w:tc>
        <w:tc>
          <w:tcPr>
            <w:tcW w:w="1030" w:type="pct"/>
            <w:tcBorders>
              <w:top w:val="nil"/>
              <w:left w:val="nil"/>
              <w:bottom w:val="single" w:color="auto" w:sz="4" w:space="0"/>
              <w:right w:val="single" w:color="auto" w:sz="8" w:space="0"/>
            </w:tcBorders>
            <w:shd w:val="clear" w:color="auto" w:fill="auto"/>
            <w:noWrap/>
            <w:vAlign w:val="bottom"/>
            <w:hideMark/>
          </w:tcPr>
          <w:p w14:paraId="78DB69EC" w14:textId="505A972F">
            <w:pPr>
              <w:pStyle w:val="ListParagraph"/>
              <w:spacing w:after="0" w:line="240" w:lineRule="auto"/>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388F21C6" w14:textId="77777777">
            <w:pPr>
              <w:pStyle w:val="ListParagraph"/>
              <w:numPr>
                <w:ilvl w:val="0"/>
                <w:numId w:val="8"/>
              </w:numPr>
              <w:spacing w:after="0" w:line="240" w:lineRule="auto"/>
              <w:jc w:val="center"/>
              <w:rPr>
                <w:rFonts w:eastAsia="Times New Roman" w:cs="Times New Roman"/>
                <w:color w:val="000000"/>
                <w:kern w:val="0"/>
                <w14:ligatures w14:val="none"/>
              </w:rPr>
            </w:pPr>
          </w:p>
        </w:tc>
      </w:tr>
      <w:tr>
        <w:trPr>
          <w:trHeight w:val="315"/>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60B44A6F"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(Republic of) Cote d'Ivoire</w:t>
            </w:r>
          </w:p>
        </w:tc>
        <w:tc>
          <w:tcPr>
            <w:tcW w:w="1028" w:type="pct"/>
            <w:tcBorders>
              <w:top w:val="nil"/>
              <w:left w:val="nil"/>
              <w:bottom w:val="single" w:color="auto" w:sz="4" w:space="0"/>
              <w:right w:val="single" w:color="auto" w:sz="4" w:space="0"/>
            </w:tcBorders>
            <w:shd w:val="clear" w:color="auto" w:fill="auto"/>
            <w:vAlign w:val="center"/>
            <w:hideMark/>
          </w:tcPr>
          <w:p w14:paraId="7F986D85"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March 19, 2013</w:t>
            </w:r>
          </w:p>
        </w:tc>
        <w:tc>
          <w:tcPr>
            <w:tcW w:w="995" w:type="pct"/>
            <w:tcBorders>
              <w:top w:val="nil"/>
              <w:left w:val="nil"/>
              <w:bottom w:val="single" w:color="auto" w:sz="4" w:space="0"/>
              <w:right w:val="single" w:color="auto" w:sz="4" w:space="0"/>
            </w:tcBorders>
            <w:shd w:val="clear" w:color="auto" w:fill="auto"/>
            <w:vAlign w:val="center"/>
            <w:hideMark/>
          </w:tcPr>
          <w:p w14:paraId="15AE886C"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Yes</w:t>
            </w:r>
          </w:p>
        </w:tc>
        <w:tc>
          <w:tcPr>
            <w:tcW w:w="1030" w:type="pct"/>
            <w:tcBorders>
              <w:top w:val="nil"/>
              <w:left w:val="nil"/>
              <w:bottom w:val="single" w:color="auto" w:sz="4" w:space="0"/>
              <w:right w:val="single" w:color="auto" w:sz="8" w:space="0"/>
            </w:tcBorders>
            <w:shd w:val="clear" w:color="auto" w:fill="auto"/>
            <w:noWrap/>
            <w:vAlign w:val="bottom"/>
            <w:hideMark/>
          </w:tcPr>
          <w:p w14:paraId="63B44982" w14:textId="43A2DE56">
            <w:pPr>
              <w:pStyle w:val="ListParagraph"/>
              <w:numPr>
                <w:ilvl w:val="0"/>
                <w:numId w:val="8"/>
              </w:numPr>
              <w:spacing w:after="0" w:line="240" w:lineRule="auto"/>
              <w:jc w:val="center"/>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7BEA934E" w14:textId="77777777">
            <w:pPr>
              <w:pStyle w:val="ListParagraph"/>
              <w:spacing w:after="0" w:line="240" w:lineRule="auto"/>
              <w:rPr>
                <w:rFonts w:eastAsia="Times New Roman" w:cs="Times New Roman"/>
                <w:color w:val="000000"/>
                <w:kern w:val="0"/>
                <w14:ligatures w14:val="none"/>
              </w:rPr>
            </w:pPr>
          </w:p>
        </w:tc>
      </w:tr>
      <w:tr>
        <w:trPr>
          <w:trHeight w:val="315"/>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20EEF586"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(Republic of) Djibouti</w:t>
            </w:r>
          </w:p>
        </w:tc>
        <w:tc>
          <w:tcPr>
            <w:tcW w:w="1028" w:type="pct"/>
            <w:tcBorders>
              <w:top w:val="nil"/>
              <w:left w:val="nil"/>
              <w:bottom w:val="single" w:color="auto" w:sz="4" w:space="0"/>
              <w:right w:val="single" w:color="auto" w:sz="4" w:space="0"/>
            </w:tcBorders>
            <w:shd w:val="clear" w:color="auto" w:fill="auto"/>
            <w:vAlign w:val="center"/>
            <w:hideMark/>
          </w:tcPr>
          <w:p w14:paraId="0A4DDDEA" w14:textId="07700CB1">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Not Eligible</w:t>
            </w:r>
          </w:p>
        </w:tc>
        <w:tc>
          <w:tcPr>
            <w:tcW w:w="995" w:type="pct"/>
            <w:tcBorders>
              <w:top w:val="nil"/>
              <w:left w:val="nil"/>
              <w:bottom w:val="single" w:color="auto" w:sz="4" w:space="0"/>
              <w:right w:val="single" w:color="auto" w:sz="4" w:space="0"/>
            </w:tcBorders>
            <w:shd w:val="clear" w:color="auto" w:fill="auto"/>
            <w:vAlign w:val="center"/>
            <w:hideMark/>
          </w:tcPr>
          <w:p w14:paraId="68471161"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No</w:t>
            </w:r>
          </w:p>
        </w:tc>
        <w:tc>
          <w:tcPr>
            <w:tcW w:w="1030" w:type="pct"/>
            <w:tcBorders>
              <w:top w:val="nil"/>
              <w:left w:val="nil"/>
              <w:bottom w:val="single" w:color="auto" w:sz="4" w:space="0"/>
              <w:right w:val="single" w:color="auto" w:sz="8" w:space="0"/>
            </w:tcBorders>
            <w:shd w:val="clear" w:color="auto" w:fill="auto"/>
            <w:noWrap/>
            <w:vAlign w:val="bottom"/>
            <w:hideMark/>
          </w:tcPr>
          <w:p w14:paraId="097298FF" w14:textId="3E66CE00">
            <w:pPr>
              <w:pStyle w:val="ListParagraph"/>
              <w:spacing w:after="0" w:line="240" w:lineRule="auto"/>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423EAE47" w14:textId="77777777">
            <w:pPr>
              <w:pStyle w:val="ListParagraph"/>
              <w:numPr>
                <w:ilvl w:val="0"/>
                <w:numId w:val="8"/>
              </w:numPr>
              <w:spacing w:after="0" w:line="240" w:lineRule="auto"/>
              <w:jc w:val="center"/>
              <w:rPr>
                <w:rFonts w:eastAsia="Times New Roman" w:cs="Times New Roman"/>
                <w:color w:val="000000"/>
                <w:kern w:val="0"/>
                <w14:ligatures w14:val="none"/>
              </w:rPr>
            </w:pPr>
          </w:p>
        </w:tc>
      </w:tr>
      <w:tr>
        <w:trPr>
          <w:trHeight w:val="630"/>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7ACDA990"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Eswatini (formerly known as Swaziland)</w:t>
            </w:r>
          </w:p>
        </w:tc>
        <w:tc>
          <w:tcPr>
            <w:tcW w:w="1028" w:type="pct"/>
            <w:tcBorders>
              <w:top w:val="nil"/>
              <w:left w:val="nil"/>
              <w:bottom w:val="single" w:color="auto" w:sz="4" w:space="0"/>
              <w:right w:val="single" w:color="auto" w:sz="4" w:space="0"/>
            </w:tcBorders>
            <w:shd w:val="clear" w:color="auto" w:fill="auto"/>
            <w:vAlign w:val="center"/>
            <w:hideMark/>
          </w:tcPr>
          <w:p w14:paraId="3EEEF41F" w14:textId="77777777">
            <w:pPr>
              <w:spacing w:after="0" w:line="240" w:lineRule="auto"/>
              <w:jc w:val="right"/>
              <w:rPr>
                <w:rFonts w:eastAsia="Times New Roman" w:cs="Times New Roman"/>
                <w:color w:val="000000"/>
                <w:kern w:val="0"/>
                <w14:ligatures w14:val="none"/>
              </w:rPr>
            </w:pPr>
            <w:r>
              <w:rPr>
                <w:rFonts w:eastAsia="Times New Roman" w:cs="Times New Roman"/>
                <w:color w:val="000000"/>
                <w:kern w:val="0"/>
                <w14:ligatures w14:val="none"/>
              </w:rPr>
              <w:t xml:space="preserve">July 3, 2018</w:t>
            </w:r>
          </w:p>
        </w:tc>
        <w:tc>
          <w:tcPr>
            <w:tcW w:w="995" w:type="pct"/>
            <w:tcBorders>
              <w:top w:val="nil"/>
              <w:left w:val="nil"/>
              <w:bottom w:val="single" w:color="auto" w:sz="4" w:space="0"/>
              <w:right w:val="single" w:color="auto" w:sz="4" w:space="0"/>
            </w:tcBorders>
            <w:shd w:val="clear" w:color="auto" w:fill="auto"/>
            <w:vAlign w:val="center"/>
            <w:hideMark/>
          </w:tcPr>
          <w:p w14:paraId="70181802"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Yes</w:t>
            </w:r>
          </w:p>
        </w:tc>
        <w:tc>
          <w:tcPr>
            <w:tcW w:w="1030" w:type="pct"/>
            <w:tcBorders>
              <w:top w:val="nil"/>
              <w:left w:val="nil"/>
              <w:bottom w:val="single" w:color="auto" w:sz="4" w:space="0"/>
              <w:right w:val="single" w:color="auto" w:sz="8" w:space="0"/>
            </w:tcBorders>
            <w:shd w:val="clear" w:color="auto" w:fill="auto"/>
            <w:noWrap/>
            <w:vAlign w:val="bottom"/>
            <w:hideMark/>
          </w:tcPr>
          <w:p w14:paraId="675E0141" w14:textId="2FAEFF4D">
            <w:pPr>
              <w:pStyle w:val="ListParagraph"/>
              <w:numPr>
                <w:ilvl w:val="0"/>
                <w:numId w:val="8"/>
              </w:numPr>
              <w:spacing w:after="0" w:line="240" w:lineRule="auto"/>
              <w:jc w:val="center"/>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0C8BCCA5" w14:textId="77777777">
            <w:pPr>
              <w:pStyle w:val="ListParagraph"/>
              <w:spacing w:after="0" w:line="240" w:lineRule="auto"/>
              <w:rPr>
                <w:rFonts w:eastAsia="Times New Roman" w:cs="Times New Roman"/>
                <w:color w:val="000000"/>
                <w:kern w:val="0"/>
                <w14:ligatures w14:val="none"/>
              </w:rPr>
            </w:pPr>
          </w:p>
        </w:tc>
      </w:tr>
      <w:tr>
        <w:trPr>
          <w:trHeight w:val="315"/>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20679CD8"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The Gambia</w:t>
            </w:r>
          </w:p>
        </w:tc>
        <w:tc>
          <w:tcPr>
            <w:tcW w:w="1028" w:type="pct"/>
            <w:tcBorders>
              <w:top w:val="nil"/>
              <w:left w:val="nil"/>
              <w:bottom w:val="single" w:color="auto" w:sz="4" w:space="0"/>
              <w:right w:val="single" w:color="auto" w:sz="4" w:space="0"/>
            </w:tcBorders>
            <w:shd w:val="clear" w:color="auto" w:fill="auto"/>
            <w:vAlign w:val="center"/>
            <w:hideMark/>
          </w:tcPr>
          <w:p w14:paraId="41F8BE18" w14:textId="78D6FB84">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Not Eligible</w:t>
            </w:r>
          </w:p>
        </w:tc>
        <w:tc>
          <w:tcPr>
            <w:tcW w:w="995" w:type="pct"/>
            <w:tcBorders>
              <w:top w:val="nil"/>
              <w:left w:val="nil"/>
              <w:bottom w:val="single" w:color="auto" w:sz="4" w:space="0"/>
              <w:right w:val="single" w:color="auto" w:sz="4" w:space="0"/>
            </w:tcBorders>
            <w:shd w:val="clear" w:color="auto" w:fill="auto"/>
            <w:vAlign w:val="center"/>
            <w:hideMark/>
          </w:tcPr>
          <w:p w14:paraId="7EA17E53"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No</w:t>
            </w:r>
          </w:p>
        </w:tc>
        <w:tc>
          <w:tcPr>
            <w:tcW w:w="1030" w:type="pct"/>
            <w:tcBorders>
              <w:top w:val="nil"/>
              <w:left w:val="nil"/>
              <w:bottom w:val="single" w:color="auto" w:sz="4" w:space="0"/>
              <w:right w:val="single" w:color="auto" w:sz="8" w:space="0"/>
            </w:tcBorders>
            <w:shd w:val="clear" w:color="auto" w:fill="auto"/>
            <w:noWrap/>
            <w:vAlign w:val="bottom"/>
            <w:hideMark/>
          </w:tcPr>
          <w:p w14:paraId="14782DAA" w14:textId="08F9AD5F">
            <w:pPr>
              <w:pStyle w:val="ListParagraph"/>
              <w:spacing w:after="0" w:line="240" w:lineRule="auto"/>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4B030B5E" w14:textId="77777777">
            <w:pPr>
              <w:pStyle w:val="ListParagraph"/>
              <w:numPr>
                <w:ilvl w:val="0"/>
                <w:numId w:val="8"/>
              </w:numPr>
              <w:spacing w:after="0" w:line="240" w:lineRule="auto"/>
              <w:jc w:val="center"/>
              <w:rPr>
                <w:rFonts w:eastAsia="Times New Roman" w:cs="Times New Roman"/>
                <w:color w:val="000000"/>
                <w:kern w:val="0"/>
                <w14:ligatures w14:val="none"/>
              </w:rPr>
            </w:pPr>
          </w:p>
        </w:tc>
      </w:tr>
      <w:tr>
        <w:trPr>
          <w:trHeight w:val="315"/>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05584DE1"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(Republic of) Ghana</w:t>
            </w:r>
          </w:p>
        </w:tc>
        <w:tc>
          <w:tcPr>
            <w:tcW w:w="1028" w:type="pct"/>
            <w:tcBorders>
              <w:top w:val="nil"/>
              <w:left w:val="nil"/>
              <w:bottom w:val="single" w:color="auto" w:sz="4" w:space="0"/>
              <w:right w:val="single" w:color="auto" w:sz="4" w:space="0"/>
            </w:tcBorders>
            <w:shd w:val="clear" w:color="auto" w:fill="auto"/>
            <w:vAlign w:val="center"/>
            <w:hideMark/>
          </w:tcPr>
          <w:p w14:paraId="27B075C0" w14:textId="77777777">
            <w:pPr>
              <w:spacing w:after="0" w:line="240" w:lineRule="auto"/>
              <w:jc w:val="right"/>
              <w:rPr>
                <w:rFonts w:eastAsia="Times New Roman" w:cs="Times New Roman"/>
                <w:color w:val="000000"/>
                <w:kern w:val="0"/>
                <w14:ligatures w14:val="none"/>
              </w:rPr>
            </w:pPr>
            <w:r>
              <w:rPr>
                <w:rFonts w:eastAsia="Times New Roman" w:cs="Times New Roman"/>
                <w:color w:val="000000"/>
                <w:kern w:val="0"/>
                <w14:ligatures w14:val="none"/>
              </w:rPr>
              <w:t xml:space="preserve">March 20, 2002</w:t>
            </w:r>
          </w:p>
        </w:tc>
        <w:tc>
          <w:tcPr>
            <w:tcW w:w="995" w:type="pct"/>
            <w:tcBorders>
              <w:top w:val="nil"/>
              <w:left w:val="nil"/>
              <w:bottom w:val="single" w:color="auto" w:sz="4" w:space="0"/>
              <w:right w:val="single" w:color="auto" w:sz="4" w:space="0"/>
            </w:tcBorders>
            <w:shd w:val="clear" w:color="auto" w:fill="auto"/>
            <w:vAlign w:val="center"/>
            <w:hideMark/>
          </w:tcPr>
          <w:p w14:paraId="37A20564"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Yes</w:t>
            </w:r>
          </w:p>
        </w:tc>
        <w:tc>
          <w:tcPr>
            <w:tcW w:w="1030" w:type="pct"/>
            <w:tcBorders>
              <w:top w:val="nil"/>
              <w:left w:val="nil"/>
              <w:bottom w:val="single" w:color="auto" w:sz="4" w:space="0"/>
              <w:right w:val="single" w:color="auto" w:sz="8" w:space="0"/>
            </w:tcBorders>
            <w:shd w:val="clear" w:color="auto" w:fill="auto"/>
            <w:noWrap/>
            <w:vAlign w:val="bottom"/>
            <w:hideMark/>
          </w:tcPr>
          <w:p w14:paraId="5DB5A179" w14:textId="6440E95E">
            <w:pPr>
              <w:pStyle w:val="ListParagraph"/>
              <w:numPr>
                <w:ilvl w:val="0"/>
                <w:numId w:val="8"/>
              </w:numPr>
              <w:spacing w:after="0" w:line="240" w:lineRule="auto"/>
              <w:jc w:val="center"/>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4E4B6252" w14:textId="77777777">
            <w:pPr>
              <w:pStyle w:val="ListParagraph"/>
              <w:spacing w:after="0" w:line="240" w:lineRule="auto"/>
              <w:rPr>
                <w:rFonts w:eastAsia="Times New Roman" w:cs="Times New Roman"/>
                <w:color w:val="000000"/>
                <w:kern w:val="0"/>
                <w14:ligatures w14:val="none"/>
              </w:rPr>
            </w:pPr>
          </w:p>
        </w:tc>
      </w:tr>
      <w:tr>
        <w:trPr>
          <w:trHeight w:val="315"/>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590D1CF2"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(Republic of) Guinea-Bissau</w:t>
            </w:r>
          </w:p>
        </w:tc>
        <w:tc>
          <w:tcPr>
            <w:tcW w:w="1028" w:type="pct"/>
            <w:tcBorders>
              <w:top w:val="nil"/>
              <w:left w:val="nil"/>
              <w:bottom w:val="single" w:color="auto" w:sz="4" w:space="0"/>
              <w:right w:val="single" w:color="auto" w:sz="4" w:space="0"/>
            </w:tcBorders>
            <w:shd w:val="clear" w:color="auto" w:fill="auto"/>
            <w:vAlign w:val="center"/>
            <w:hideMark/>
          </w:tcPr>
          <w:p w14:paraId="671C4807" w14:textId="764654C5">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Not Eligible</w:t>
            </w:r>
          </w:p>
        </w:tc>
        <w:tc>
          <w:tcPr>
            <w:tcW w:w="995" w:type="pct"/>
            <w:tcBorders>
              <w:top w:val="nil"/>
              <w:left w:val="nil"/>
              <w:bottom w:val="single" w:color="auto" w:sz="4" w:space="0"/>
              <w:right w:val="single" w:color="auto" w:sz="4" w:space="0"/>
            </w:tcBorders>
            <w:shd w:val="clear" w:color="auto" w:fill="auto"/>
            <w:vAlign w:val="center"/>
            <w:hideMark/>
          </w:tcPr>
          <w:p w14:paraId="430425C2"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No</w:t>
            </w:r>
          </w:p>
        </w:tc>
        <w:tc>
          <w:tcPr>
            <w:tcW w:w="1030" w:type="pct"/>
            <w:tcBorders>
              <w:top w:val="nil"/>
              <w:left w:val="nil"/>
              <w:bottom w:val="single" w:color="auto" w:sz="4" w:space="0"/>
              <w:right w:val="single" w:color="auto" w:sz="8" w:space="0"/>
            </w:tcBorders>
            <w:shd w:val="clear" w:color="auto" w:fill="auto"/>
            <w:noWrap/>
            <w:vAlign w:val="bottom"/>
            <w:hideMark/>
          </w:tcPr>
          <w:p w14:paraId="11296EED" w14:textId="6D7CC10B">
            <w:pPr>
              <w:pStyle w:val="ListParagraph"/>
              <w:spacing w:after="0" w:line="240" w:lineRule="auto"/>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6ECE8677" w14:textId="77777777">
            <w:pPr>
              <w:pStyle w:val="ListParagraph"/>
              <w:numPr>
                <w:ilvl w:val="0"/>
                <w:numId w:val="8"/>
              </w:numPr>
              <w:spacing w:after="0" w:line="240" w:lineRule="auto"/>
              <w:jc w:val="center"/>
              <w:rPr>
                <w:rFonts w:eastAsia="Times New Roman" w:cs="Times New Roman"/>
                <w:color w:val="000000"/>
                <w:kern w:val="0"/>
                <w14:ligatures w14:val="none"/>
              </w:rPr>
            </w:pPr>
          </w:p>
        </w:tc>
      </w:tr>
      <w:tr>
        <w:trPr>
          <w:trHeight w:val="315"/>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4845D2C7"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(Republic of) Kenya</w:t>
            </w:r>
          </w:p>
        </w:tc>
        <w:tc>
          <w:tcPr>
            <w:tcW w:w="1028" w:type="pct"/>
            <w:tcBorders>
              <w:top w:val="nil"/>
              <w:left w:val="nil"/>
              <w:bottom w:val="single" w:color="auto" w:sz="4" w:space="0"/>
              <w:right w:val="single" w:color="auto" w:sz="4" w:space="0"/>
            </w:tcBorders>
            <w:shd w:val="clear" w:color="auto" w:fill="auto"/>
            <w:vAlign w:val="center"/>
            <w:hideMark/>
          </w:tcPr>
          <w:p w14:paraId="39B3F5D5" w14:textId="77777777">
            <w:pPr>
              <w:spacing w:after="0" w:line="240" w:lineRule="auto"/>
              <w:jc w:val="right"/>
              <w:rPr>
                <w:rFonts w:eastAsia="Times New Roman" w:cs="Times New Roman"/>
                <w:color w:val="000000"/>
                <w:kern w:val="0"/>
                <w14:ligatures w14:val="none"/>
              </w:rPr>
            </w:pPr>
            <w:r>
              <w:rPr>
                <w:rFonts w:eastAsia="Times New Roman" w:cs="Times New Roman"/>
                <w:color w:val="000000"/>
                <w:kern w:val="0"/>
                <w14:ligatures w14:val="none"/>
              </w:rPr>
              <w:t xml:space="preserve">January 18, 2001</w:t>
            </w:r>
          </w:p>
        </w:tc>
        <w:tc>
          <w:tcPr>
            <w:tcW w:w="995" w:type="pct"/>
            <w:tcBorders>
              <w:top w:val="nil"/>
              <w:left w:val="nil"/>
              <w:bottom w:val="single" w:color="auto" w:sz="4" w:space="0"/>
              <w:right w:val="single" w:color="auto" w:sz="4" w:space="0"/>
            </w:tcBorders>
            <w:shd w:val="clear" w:color="auto" w:fill="auto"/>
            <w:vAlign w:val="center"/>
            <w:hideMark/>
          </w:tcPr>
          <w:p w14:paraId="47EAC88A"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Yes</w:t>
            </w:r>
          </w:p>
        </w:tc>
        <w:tc>
          <w:tcPr>
            <w:tcW w:w="1030" w:type="pct"/>
            <w:tcBorders>
              <w:top w:val="nil"/>
              <w:left w:val="nil"/>
              <w:bottom w:val="single" w:color="auto" w:sz="4" w:space="0"/>
              <w:right w:val="single" w:color="auto" w:sz="8" w:space="0"/>
            </w:tcBorders>
            <w:shd w:val="clear" w:color="auto" w:fill="auto"/>
            <w:noWrap/>
            <w:vAlign w:val="bottom"/>
            <w:hideMark/>
          </w:tcPr>
          <w:p w14:paraId="151C4002" w14:textId="5AA58470">
            <w:pPr>
              <w:pStyle w:val="ListParagraph"/>
              <w:numPr>
                <w:ilvl w:val="0"/>
                <w:numId w:val="8"/>
              </w:numPr>
              <w:spacing w:after="0" w:line="240" w:lineRule="auto"/>
              <w:jc w:val="center"/>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7ADED842" w14:textId="77777777">
            <w:pPr>
              <w:pStyle w:val="ListParagraph"/>
              <w:spacing w:after="0" w:line="240" w:lineRule="auto"/>
              <w:rPr>
                <w:rFonts w:eastAsia="Times New Roman" w:cs="Times New Roman"/>
                <w:color w:val="000000"/>
                <w:kern w:val="0"/>
                <w14:ligatures w14:val="none"/>
              </w:rPr>
            </w:pPr>
          </w:p>
        </w:tc>
      </w:tr>
      <w:tr>
        <w:trPr>
          <w:trHeight w:val="315"/>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0F0490FC"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(Kingdom of) Lesotho</w:t>
            </w:r>
          </w:p>
        </w:tc>
        <w:tc>
          <w:tcPr>
            <w:tcW w:w="1028" w:type="pct"/>
            <w:tcBorders>
              <w:top w:val="nil"/>
              <w:left w:val="nil"/>
              <w:bottom w:val="single" w:color="auto" w:sz="4" w:space="0"/>
              <w:right w:val="single" w:color="auto" w:sz="4" w:space="0"/>
            </w:tcBorders>
            <w:shd w:val="clear" w:color="auto" w:fill="auto"/>
            <w:vAlign w:val="center"/>
            <w:hideMark/>
          </w:tcPr>
          <w:p w14:paraId="3D3ABEEE" w14:textId="77777777">
            <w:pPr>
              <w:spacing w:after="0" w:line="240" w:lineRule="auto"/>
              <w:jc w:val="right"/>
              <w:rPr>
                <w:rFonts w:eastAsia="Times New Roman" w:cs="Times New Roman"/>
                <w:color w:val="000000"/>
                <w:kern w:val="0"/>
                <w14:ligatures w14:val="none"/>
              </w:rPr>
            </w:pPr>
            <w:r>
              <w:rPr>
                <w:rFonts w:eastAsia="Times New Roman" w:cs="Times New Roman"/>
                <w:color w:val="000000"/>
                <w:kern w:val="0"/>
                <w14:ligatures w14:val="none"/>
              </w:rPr>
              <w:t xml:space="preserve">April 23, 2001</w:t>
            </w:r>
          </w:p>
        </w:tc>
        <w:tc>
          <w:tcPr>
            <w:tcW w:w="995" w:type="pct"/>
            <w:tcBorders>
              <w:top w:val="nil"/>
              <w:left w:val="nil"/>
              <w:bottom w:val="single" w:color="auto" w:sz="4" w:space="0"/>
              <w:right w:val="single" w:color="auto" w:sz="4" w:space="0"/>
            </w:tcBorders>
            <w:shd w:val="clear" w:color="auto" w:fill="auto"/>
            <w:vAlign w:val="center"/>
            <w:hideMark/>
          </w:tcPr>
          <w:p w14:paraId="11BB90D2"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Yes</w:t>
            </w:r>
          </w:p>
        </w:tc>
        <w:tc>
          <w:tcPr>
            <w:tcW w:w="1030" w:type="pct"/>
            <w:tcBorders>
              <w:top w:val="nil"/>
              <w:left w:val="nil"/>
              <w:bottom w:val="single" w:color="auto" w:sz="4" w:space="0"/>
              <w:right w:val="single" w:color="auto" w:sz="8" w:space="0"/>
            </w:tcBorders>
            <w:shd w:val="clear" w:color="auto" w:fill="auto"/>
            <w:noWrap/>
            <w:vAlign w:val="bottom"/>
            <w:hideMark/>
          </w:tcPr>
          <w:p w14:paraId="63AF9264" w14:textId="55D77D60">
            <w:pPr>
              <w:pStyle w:val="ListParagraph"/>
              <w:numPr>
                <w:ilvl w:val="0"/>
                <w:numId w:val="8"/>
              </w:numPr>
              <w:spacing w:after="0" w:line="240" w:lineRule="auto"/>
              <w:jc w:val="center"/>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7F66F9F9" w14:textId="77777777">
            <w:pPr>
              <w:pStyle w:val="ListParagraph"/>
              <w:spacing w:after="0" w:line="240" w:lineRule="auto"/>
              <w:rPr>
                <w:rFonts w:eastAsia="Times New Roman" w:cs="Times New Roman"/>
                <w:color w:val="000000"/>
                <w:kern w:val="0"/>
                <w14:ligatures w14:val="none"/>
              </w:rPr>
            </w:pPr>
          </w:p>
        </w:tc>
      </w:tr>
      <w:tr>
        <w:trPr>
          <w:trHeight w:val="315"/>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6B4958BE"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(Republic of) Liberia</w:t>
            </w:r>
          </w:p>
        </w:tc>
        <w:tc>
          <w:tcPr>
            <w:tcW w:w="1028" w:type="pct"/>
            <w:tcBorders>
              <w:top w:val="nil"/>
              <w:left w:val="nil"/>
              <w:bottom w:val="single" w:color="auto" w:sz="4" w:space="0"/>
              <w:right w:val="single" w:color="auto" w:sz="4" w:space="0"/>
            </w:tcBorders>
            <w:shd w:val="clear" w:color="auto" w:fill="auto"/>
            <w:vAlign w:val="center"/>
            <w:hideMark/>
          </w:tcPr>
          <w:p w14:paraId="77DE63A9" w14:textId="7907D831">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February</w:t>
            </w:r>
            <w:r>
              <w:rPr>
                <w:rFonts w:eastAsia="Times New Roman" w:cs="Times New Roman"/>
                <w:color w:val="000000"/>
                <w:kern w:val="0"/>
                <w14:ligatures w14:val="none"/>
              </w:rPr>
              <w:t xml:space="preserve"> 7, 2011</w:t>
            </w:r>
          </w:p>
        </w:tc>
        <w:tc>
          <w:tcPr>
            <w:tcW w:w="995" w:type="pct"/>
            <w:tcBorders>
              <w:top w:val="nil"/>
              <w:left w:val="nil"/>
              <w:bottom w:val="single" w:color="auto" w:sz="4" w:space="0"/>
              <w:right w:val="single" w:color="auto" w:sz="4" w:space="0"/>
            </w:tcBorders>
            <w:shd w:val="clear" w:color="auto" w:fill="auto"/>
            <w:vAlign w:val="center"/>
            <w:hideMark/>
          </w:tcPr>
          <w:p w14:paraId="29A2474D"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Yes</w:t>
            </w:r>
          </w:p>
        </w:tc>
        <w:tc>
          <w:tcPr>
            <w:tcW w:w="1030" w:type="pct"/>
            <w:tcBorders>
              <w:top w:val="nil"/>
              <w:left w:val="nil"/>
              <w:bottom w:val="single" w:color="auto" w:sz="4" w:space="0"/>
              <w:right w:val="single" w:color="auto" w:sz="8" w:space="0"/>
            </w:tcBorders>
            <w:shd w:val="clear" w:color="auto" w:fill="auto"/>
            <w:noWrap/>
            <w:vAlign w:val="bottom"/>
            <w:hideMark/>
          </w:tcPr>
          <w:p w14:paraId="51962705" w14:textId="12FF6D00">
            <w:pPr>
              <w:pStyle w:val="ListParagraph"/>
              <w:numPr>
                <w:ilvl w:val="0"/>
                <w:numId w:val="8"/>
              </w:numPr>
              <w:spacing w:after="0" w:line="240" w:lineRule="auto"/>
              <w:jc w:val="center"/>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490455D4" w14:textId="77777777">
            <w:pPr>
              <w:pStyle w:val="ListParagraph"/>
              <w:spacing w:after="0" w:line="240" w:lineRule="auto"/>
              <w:rPr>
                <w:rFonts w:eastAsia="Times New Roman" w:cs="Times New Roman"/>
                <w:color w:val="000000"/>
                <w:kern w:val="0"/>
                <w14:ligatures w14:val="none"/>
              </w:rPr>
            </w:pPr>
          </w:p>
        </w:tc>
      </w:tr>
      <w:tr>
        <w:trPr>
          <w:trHeight w:val="630"/>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75E3D98E"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(Republic of) Madagascar</w:t>
            </w:r>
          </w:p>
        </w:tc>
        <w:tc>
          <w:tcPr>
            <w:tcW w:w="1028" w:type="pct"/>
            <w:tcBorders>
              <w:top w:val="nil"/>
              <w:left w:val="nil"/>
              <w:bottom w:val="single" w:color="auto" w:sz="4" w:space="0"/>
              <w:right w:val="single" w:color="auto" w:sz="4" w:space="0"/>
            </w:tcBorders>
            <w:shd w:val="clear" w:color="auto" w:fill="auto"/>
            <w:vAlign w:val="center"/>
            <w:hideMark/>
          </w:tcPr>
          <w:p w14:paraId="411E1093"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December 15, 2014</w:t>
            </w:r>
          </w:p>
        </w:tc>
        <w:tc>
          <w:tcPr>
            <w:tcW w:w="995" w:type="pct"/>
            <w:tcBorders>
              <w:top w:val="nil"/>
              <w:left w:val="nil"/>
              <w:bottom w:val="single" w:color="auto" w:sz="4" w:space="0"/>
              <w:right w:val="single" w:color="auto" w:sz="4" w:space="0"/>
            </w:tcBorders>
            <w:shd w:val="clear" w:color="auto" w:fill="auto"/>
            <w:vAlign w:val="center"/>
            <w:hideMark/>
          </w:tcPr>
          <w:p w14:paraId="396EB823"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 Yes</w:t>
            </w:r>
          </w:p>
        </w:tc>
        <w:tc>
          <w:tcPr>
            <w:tcW w:w="1030" w:type="pct"/>
            <w:tcBorders>
              <w:top w:val="nil"/>
              <w:left w:val="nil"/>
              <w:bottom w:val="single" w:color="auto" w:sz="4" w:space="0"/>
              <w:right w:val="single" w:color="auto" w:sz="8" w:space="0"/>
            </w:tcBorders>
            <w:shd w:val="clear" w:color="auto" w:fill="auto"/>
            <w:noWrap/>
            <w:vAlign w:val="bottom"/>
            <w:hideMark/>
          </w:tcPr>
          <w:p w14:paraId="679ADD4C" w14:textId="4F7D59E9">
            <w:pPr>
              <w:pStyle w:val="ListParagraph"/>
              <w:numPr>
                <w:ilvl w:val="0"/>
                <w:numId w:val="8"/>
              </w:numPr>
              <w:spacing w:after="0" w:line="240" w:lineRule="auto"/>
              <w:jc w:val="center"/>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0C29E44B" w14:textId="77777777">
            <w:pPr>
              <w:pStyle w:val="ListParagraph"/>
              <w:spacing w:after="0" w:line="240" w:lineRule="auto"/>
              <w:rPr>
                <w:rFonts w:eastAsia="Times New Roman" w:cs="Times New Roman"/>
                <w:color w:val="000000"/>
                <w:kern w:val="0"/>
                <w14:ligatures w14:val="none"/>
              </w:rPr>
            </w:pPr>
          </w:p>
        </w:tc>
      </w:tr>
      <w:tr>
        <w:trPr>
          <w:trHeight w:val="315"/>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1D55F478"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(Republic of) Malawi</w:t>
            </w:r>
          </w:p>
        </w:tc>
        <w:tc>
          <w:tcPr>
            <w:tcW w:w="1028" w:type="pct"/>
            <w:tcBorders>
              <w:top w:val="nil"/>
              <w:left w:val="nil"/>
              <w:bottom w:val="single" w:color="auto" w:sz="4" w:space="0"/>
              <w:right w:val="single" w:color="auto" w:sz="4" w:space="0"/>
            </w:tcBorders>
            <w:shd w:val="clear" w:color="auto" w:fill="auto"/>
            <w:vAlign w:val="center"/>
            <w:hideMark/>
          </w:tcPr>
          <w:p w14:paraId="05905A44" w14:textId="77777777">
            <w:pPr>
              <w:spacing w:after="0" w:line="240" w:lineRule="auto"/>
              <w:jc w:val="right"/>
              <w:rPr>
                <w:rFonts w:eastAsia="Times New Roman" w:cs="Times New Roman"/>
                <w:color w:val="000000"/>
                <w:kern w:val="0"/>
                <w14:ligatures w14:val="none"/>
              </w:rPr>
            </w:pPr>
            <w:r>
              <w:rPr>
                <w:rFonts w:eastAsia="Times New Roman" w:cs="Times New Roman"/>
                <w:color w:val="000000"/>
                <w:kern w:val="0"/>
                <w14:ligatures w14:val="none"/>
              </w:rPr>
              <w:t xml:space="preserve">August 15, 2001</w:t>
            </w:r>
          </w:p>
        </w:tc>
        <w:tc>
          <w:tcPr>
            <w:tcW w:w="995" w:type="pct"/>
            <w:tcBorders>
              <w:top w:val="nil"/>
              <w:left w:val="nil"/>
              <w:bottom w:val="single" w:color="auto" w:sz="4" w:space="0"/>
              <w:right w:val="single" w:color="auto" w:sz="4" w:space="0"/>
            </w:tcBorders>
            <w:shd w:val="clear" w:color="auto" w:fill="auto"/>
            <w:vAlign w:val="center"/>
            <w:hideMark/>
          </w:tcPr>
          <w:p w14:paraId="0DE39ECD"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Yes</w:t>
            </w:r>
          </w:p>
        </w:tc>
        <w:tc>
          <w:tcPr>
            <w:tcW w:w="1030" w:type="pct"/>
            <w:tcBorders>
              <w:top w:val="nil"/>
              <w:left w:val="nil"/>
              <w:bottom w:val="single" w:color="auto" w:sz="4" w:space="0"/>
              <w:right w:val="single" w:color="auto" w:sz="8" w:space="0"/>
            </w:tcBorders>
            <w:shd w:val="clear" w:color="auto" w:fill="auto"/>
            <w:noWrap/>
            <w:vAlign w:val="bottom"/>
            <w:hideMark/>
          </w:tcPr>
          <w:p w14:paraId="704FC582" w14:textId="5931D0BF">
            <w:pPr>
              <w:pStyle w:val="ListParagraph"/>
              <w:numPr>
                <w:ilvl w:val="0"/>
                <w:numId w:val="8"/>
              </w:numPr>
              <w:spacing w:after="0" w:line="240" w:lineRule="auto"/>
              <w:jc w:val="center"/>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18DD85EC" w14:textId="77777777">
            <w:pPr>
              <w:pStyle w:val="ListParagraph"/>
              <w:spacing w:after="0" w:line="240" w:lineRule="auto"/>
              <w:rPr>
                <w:rFonts w:eastAsia="Times New Roman" w:cs="Times New Roman"/>
                <w:color w:val="000000"/>
                <w:kern w:val="0"/>
                <w14:ligatures w14:val="none"/>
              </w:rPr>
            </w:pPr>
          </w:p>
        </w:tc>
      </w:tr>
      <w:tr>
        <w:trPr>
          <w:trHeight w:val="630"/>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542521D1"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(Islamic Republic of) Mauritania</w:t>
            </w:r>
          </w:p>
        </w:tc>
        <w:tc>
          <w:tcPr>
            <w:tcW w:w="1028" w:type="pct"/>
            <w:tcBorders>
              <w:top w:val="nil"/>
              <w:left w:val="nil"/>
              <w:bottom w:val="single" w:color="auto" w:sz="4" w:space="0"/>
              <w:right w:val="single" w:color="auto" w:sz="4" w:space="0"/>
            </w:tcBorders>
            <w:shd w:val="clear" w:color="auto" w:fill="auto"/>
            <w:vAlign w:val="center"/>
            <w:hideMark/>
          </w:tcPr>
          <w:p w14:paraId="2F8F2BB0" w14:textId="44581046">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Not Eligible</w:t>
            </w:r>
          </w:p>
        </w:tc>
        <w:tc>
          <w:tcPr>
            <w:tcW w:w="995" w:type="pct"/>
            <w:tcBorders>
              <w:top w:val="nil"/>
              <w:left w:val="nil"/>
              <w:bottom w:val="single" w:color="auto" w:sz="4" w:space="0"/>
              <w:right w:val="single" w:color="auto" w:sz="4" w:space="0"/>
            </w:tcBorders>
            <w:shd w:val="clear" w:color="auto" w:fill="auto"/>
            <w:vAlign w:val="center"/>
            <w:hideMark/>
          </w:tcPr>
          <w:p w14:paraId="228BD3D5"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No</w:t>
            </w:r>
          </w:p>
        </w:tc>
        <w:tc>
          <w:tcPr>
            <w:tcW w:w="1030" w:type="pct"/>
            <w:tcBorders>
              <w:top w:val="nil"/>
              <w:left w:val="nil"/>
              <w:bottom w:val="single" w:color="auto" w:sz="4" w:space="0"/>
              <w:right w:val="single" w:color="auto" w:sz="8" w:space="0"/>
            </w:tcBorders>
            <w:shd w:val="clear" w:color="auto" w:fill="auto"/>
            <w:noWrap/>
            <w:vAlign w:val="bottom"/>
            <w:hideMark/>
          </w:tcPr>
          <w:p w14:paraId="694A6480" w14:textId="6606B14A">
            <w:pPr>
              <w:pStyle w:val="ListParagraph"/>
              <w:spacing w:after="0" w:line="240" w:lineRule="auto"/>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6BA81258" w14:textId="77777777">
            <w:pPr>
              <w:pStyle w:val="ListParagraph"/>
              <w:numPr>
                <w:ilvl w:val="0"/>
                <w:numId w:val="8"/>
              </w:numPr>
              <w:spacing w:after="0" w:line="240" w:lineRule="auto"/>
              <w:rPr>
                <w:rFonts w:eastAsia="Times New Roman" w:cs="Times New Roman"/>
                <w:color w:val="000000"/>
                <w:kern w:val="0"/>
                <w14:ligatures w14:val="none"/>
              </w:rPr>
            </w:pPr>
          </w:p>
        </w:tc>
      </w:tr>
      <w:tr>
        <w:trPr>
          <w:trHeight w:val="315"/>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6A9C421A"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(Republic of) Mauritius</w:t>
            </w:r>
          </w:p>
        </w:tc>
        <w:tc>
          <w:tcPr>
            <w:tcW w:w="1028" w:type="pct"/>
            <w:tcBorders>
              <w:top w:val="nil"/>
              <w:left w:val="nil"/>
              <w:bottom w:val="single" w:color="auto" w:sz="4" w:space="0"/>
              <w:right w:val="single" w:color="auto" w:sz="4" w:space="0"/>
            </w:tcBorders>
            <w:shd w:val="clear" w:color="auto" w:fill="auto"/>
            <w:vAlign w:val="center"/>
            <w:hideMark/>
          </w:tcPr>
          <w:p w14:paraId="07A0D3D0" w14:textId="77777777">
            <w:pPr>
              <w:spacing w:after="0" w:line="240" w:lineRule="auto"/>
              <w:jc w:val="right"/>
              <w:rPr>
                <w:rFonts w:eastAsia="Times New Roman" w:cs="Times New Roman"/>
                <w:color w:val="000000"/>
                <w:kern w:val="0"/>
                <w14:ligatures w14:val="none"/>
              </w:rPr>
            </w:pPr>
            <w:r>
              <w:rPr>
                <w:rFonts w:eastAsia="Times New Roman" w:cs="Times New Roman"/>
                <w:color w:val="000000"/>
                <w:kern w:val="0"/>
                <w14:ligatures w14:val="none"/>
              </w:rPr>
              <w:t xml:space="preserve">January 18, 2001</w:t>
            </w:r>
          </w:p>
        </w:tc>
        <w:tc>
          <w:tcPr>
            <w:tcW w:w="995" w:type="pct"/>
            <w:tcBorders>
              <w:top w:val="nil"/>
              <w:left w:val="nil"/>
              <w:bottom w:val="single" w:color="auto" w:sz="4" w:space="0"/>
              <w:right w:val="single" w:color="auto" w:sz="4" w:space="0"/>
            </w:tcBorders>
            <w:shd w:val="clear" w:color="auto" w:fill="auto"/>
            <w:vAlign w:val="center"/>
            <w:hideMark/>
          </w:tcPr>
          <w:p w14:paraId="3FEA8969"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Yes</w:t>
            </w:r>
          </w:p>
        </w:tc>
        <w:tc>
          <w:tcPr>
            <w:tcW w:w="1030" w:type="pct"/>
            <w:tcBorders>
              <w:top w:val="nil"/>
              <w:left w:val="nil"/>
              <w:bottom w:val="single" w:color="auto" w:sz="4" w:space="0"/>
              <w:right w:val="single" w:color="auto" w:sz="8" w:space="0"/>
            </w:tcBorders>
            <w:shd w:val="clear" w:color="auto" w:fill="auto"/>
            <w:noWrap/>
            <w:vAlign w:val="bottom"/>
            <w:hideMark/>
          </w:tcPr>
          <w:p w14:paraId="23A6597D" w14:textId="2D0F416E">
            <w:pPr>
              <w:pStyle w:val="ListParagraph"/>
              <w:numPr>
                <w:ilvl w:val="0"/>
                <w:numId w:val="8"/>
              </w:numPr>
              <w:spacing w:after="0" w:line="240" w:lineRule="auto"/>
              <w:jc w:val="center"/>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607B6137" w14:textId="77777777">
            <w:pPr>
              <w:pStyle w:val="ListParagraph"/>
              <w:spacing w:after="0" w:line="240" w:lineRule="auto"/>
              <w:rPr>
                <w:rFonts w:eastAsia="Times New Roman" w:cs="Times New Roman"/>
                <w:color w:val="000000"/>
                <w:kern w:val="0"/>
                <w14:ligatures w14:val="none"/>
              </w:rPr>
            </w:pPr>
          </w:p>
        </w:tc>
      </w:tr>
      <w:tr>
        <w:trPr>
          <w:trHeight w:val="315"/>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5521C2EB"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(Republic of) Mozambique</w:t>
            </w:r>
          </w:p>
        </w:tc>
        <w:tc>
          <w:tcPr>
            <w:tcW w:w="1028" w:type="pct"/>
            <w:tcBorders>
              <w:top w:val="nil"/>
              <w:left w:val="nil"/>
              <w:bottom w:val="single" w:color="auto" w:sz="4" w:space="0"/>
              <w:right w:val="single" w:color="auto" w:sz="4" w:space="0"/>
            </w:tcBorders>
            <w:shd w:val="clear" w:color="auto" w:fill="auto"/>
            <w:vAlign w:val="center"/>
            <w:hideMark/>
          </w:tcPr>
          <w:p w14:paraId="0B3F9E78" w14:textId="77777777">
            <w:pPr>
              <w:spacing w:after="0" w:line="240" w:lineRule="auto"/>
              <w:jc w:val="right"/>
              <w:rPr>
                <w:rFonts w:eastAsia="Times New Roman" w:cs="Times New Roman"/>
                <w:color w:val="000000"/>
                <w:kern w:val="0"/>
                <w14:ligatures w14:val="none"/>
              </w:rPr>
            </w:pPr>
            <w:r>
              <w:rPr>
                <w:rFonts w:eastAsia="Times New Roman" w:cs="Times New Roman"/>
                <w:color w:val="000000"/>
                <w:kern w:val="0"/>
                <w14:ligatures w14:val="none"/>
              </w:rPr>
              <w:t xml:space="preserve">February 8, 2002</w:t>
            </w:r>
          </w:p>
        </w:tc>
        <w:tc>
          <w:tcPr>
            <w:tcW w:w="995" w:type="pct"/>
            <w:tcBorders>
              <w:top w:val="nil"/>
              <w:left w:val="nil"/>
              <w:bottom w:val="single" w:color="auto" w:sz="4" w:space="0"/>
              <w:right w:val="single" w:color="auto" w:sz="4" w:space="0"/>
            </w:tcBorders>
            <w:shd w:val="clear" w:color="auto" w:fill="auto"/>
            <w:vAlign w:val="center"/>
            <w:hideMark/>
          </w:tcPr>
          <w:p w14:paraId="22AF270E"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Yes</w:t>
            </w:r>
          </w:p>
        </w:tc>
        <w:tc>
          <w:tcPr>
            <w:tcW w:w="1030" w:type="pct"/>
            <w:tcBorders>
              <w:top w:val="nil"/>
              <w:left w:val="nil"/>
              <w:bottom w:val="single" w:color="auto" w:sz="4" w:space="0"/>
              <w:right w:val="single" w:color="auto" w:sz="8" w:space="0"/>
            </w:tcBorders>
            <w:shd w:val="clear" w:color="auto" w:fill="auto"/>
            <w:noWrap/>
            <w:vAlign w:val="bottom"/>
            <w:hideMark/>
          </w:tcPr>
          <w:p w14:paraId="347A062C" w14:textId="6D210F50">
            <w:pPr>
              <w:pStyle w:val="ListParagraph"/>
              <w:numPr>
                <w:ilvl w:val="0"/>
                <w:numId w:val="8"/>
              </w:numPr>
              <w:spacing w:after="0" w:line="240" w:lineRule="auto"/>
              <w:jc w:val="center"/>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4D39C5BD" w14:textId="77777777">
            <w:pPr>
              <w:pStyle w:val="ListParagraph"/>
              <w:spacing w:after="0" w:line="240" w:lineRule="auto"/>
              <w:rPr>
                <w:rFonts w:eastAsia="Times New Roman" w:cs="Times New Roman"/>
                <w:color w:val="000000"/>
                <w:kern w:val="0"/>
                <w14:ligatures w14:val="none"/>
              </w:rPr>
            </w:pPr>
          </w:p>
        </w:tc>
      </w:tr>
      <w:tr>
        <w:trPr>
          <w:trHeight w:val="315"/>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196FE59E"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(Republic of) Namibia</w:t>
            </w:r>
          </w:p>
        </w:tc>
        <w:tc>
          <w:tcPr>
            <w:tcW w:w="1028" w:type="pct"/>
            <w:tcBorders>
              <w:top w:val="nil"/>
              <w:left w:val="nil"/>
              <w:bottom w:val="single" w:color="auto" w:sz="4" w:space="0"/>
              <w:right w:val="single" w:color="auto" w:sz="4" w:space="0"/>
            </w:tcBorders>
            <w:shd w:val="clear" w:color="auto" w:fill="auto"/>
            <w:vAlign w:val="center"/>
            <w:hideMark/>
          </w:tcPr>
          <w:p w14:paraId="74C8A8F3" w14:textId="77777777">
            <w:pPr>
              <w:spacing w:after="0" w:line="240" w:lineRule="auto"/>
              <w:jc w:val="right"/>
              <w:rPr>
                <w:rFonts w:eastAsia="Times New Roman" w:cs="Times New Roman"/>
                <w:color w:val="000000"/>
                <w:kern w:val="0"/>
                <w14:ligatures w14:val="none"/>
              </w:rPr>
            </w:pPr>
            <w:r>
              <w:rPr>
                <w:rFonts w:eastAsia="Times New Roman" w:cs="Times New Roman"/>
                <w:color w:val="000000"/>
                <w:kern w:val="0"/>
                <w14:ligatures w14:val="none"/>
              </w:rPr>
              <w:t xml:space="preserve">December 3, 2001</w:t>
            </w:r>
          </w:p>
        </w:tc>
        <w:tc>
          <w:tcPr>
            <w:tcW w:w="995" w:type="pct"/>
            <w:tcBorders>
              <w:top w:val="nil"/>
              <w:left w:val="nil"/>
              <w:bottom w:val="single" w:color="auto" w:sz="4" w:space="0"/>
              <w:right w:val="single" w:color="auto" w:sz="4" w:space="0"/>
            </w:tcBorders>
            <w:shd w:val="clear" w:color="auto" w:fill="auto"/>
            <w:vAlign w:val="center"/>
            <w:hideMark/>
          </w:tcPr>
          <w:p w14:paraId="51066837"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Yes</w:t>
            </w:r>
          </w:p>
        </w:tc>
        <w:tc>
          <w:tcPr>
            <w:tcW w:w="1030" w:type="pct"/>
            <w:tcBorders>
              <w:top w:val="nil"/>
              <w:left w:val="nil"/>
              <w:bottom w:val="single" w:color="auto" w:sz="4" w:space="0"/>
              <w:right w:val="single" w:color="auto" w:sz="8" w:space="0"/>
            </w:tcBorders>
            <w:shd w:val="clear" w:color="auto" w:fill="auto"/>
            <w:noWrap/>
            <w:vAlign w:val="bottom"/>
            <w:hideMark/>
          </w:tcPr>
          <w:p w14:paraId="7DD8DC38" w14:textId="18BD0FC9">
            <w:pPr>
              <w:pStyle w:val="ListParagraph"/>
              <w:numPr>
                <w:ilvl w:val="0"/>
                <w:numId w:val="8"/>
              </w:numPr>
              <w:spacing w:after="0" w:line="240" w:lineRule="auto"/>
              <w:jc w:val="center"/>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5CC242A2" w14:textId="77777777">
            <w:pPr>
              <w:pStyle w:val="ListParagraph"/>
              <w:spacing w:after="0" w:line="240" w:lineRule="auto"/>
              <w:rPr>
                <w:rFonts w:eastAsia="Times New Roman" w:cs="Times New Roman"/>
                <w:color w:val="000000"/>
                <w:kern w:val="0"/>
                <w14:ligatures w14:val="none"/>
              </w:rPr>
            </w:pPr>
          </w:p>
        </w:tc>
      </w:tr>
      <w:tr>
        <w:trPr>
          <w:trHeight w:val="315"/>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2CD47828"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(Federal republic of) Nigeria</w:t>
            </w:r>
          </w:p>
        </w:tc>
        <w:tc>
          <w:tcPr>
            <w:tcW w:w="1028" w:type="pct"/>
            <w:tcBorders>
              <w:top w:val="nil"/>
              <w:left w:val="nil"/>
              <w:bottom w:val="single" w:color="auto" w:sz="4" w:space="0"/>
              <w:right w:val="single" w:color="auto" w:sz="4" w:space="0"/>
            </w:tcBorders>
            <w:shd w:val="clear" w:color="auto" w:fill="auto"/>
            <w:vAlign w:val="center"/>
            <w:hideMark/>
          </w:tcPr>
          <w:p w14:paraId="6E1260B5"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 July 14, 2004</w:t>
            </w:r>
          </w:p>
        </w:tc>
        <w:tc>
          <w:tcPr>
            <w:tcW w:w="995" w:type="pct"/>
            <w:tcBorders>
              <w:top w:val="nil"/>
              <w:left w:val="nil"/>
              <w:bottom w:val="single" w:color="auto" w:sz="4" w:space="0"/>
              <w:right w:val="single" w:color="auto" w:sz="4" w:space="0"/>
            </w:tcBorders>
            <w:shd w:val="clear" w:color="auto" w:fill="auto"/>
            <w:vAlign w:val="center"/>
            <w:hideMark/>
          </w:tcPr>
          <w:p w14:paraId="5214F936"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Yes </w:t>
            </w:r>
          </w:p>
        </w:tc>
        <w:tc>
          <w:tcPr>
            <w:tcW w:w="1030" w:type="pct"/>
            <w:tcBorders>
              <w:top w:val="nil"/>
              <w:left w:val="nil"/>
              <w:bottom w:val="single" w:color="auto" w:sz="4" w:space="0"/>
              <w:right w:val="single" w:color="auto" w:sz="8" w:space="0"/>
            </w:tcBorders>
            <w:shd w:val="clear" w:color="auto" w:fill="auto"/>
            <w:noWrap/>
            <w:vAlign w:val="bottom"/>
            <w:hideMark/>
          </w:tcPr>
          <w:p w14:paraId="09A97765" w14:textId="3F605930">
            <w:pPr>
              <w:pStyle w:val="ListParagraph"/>
              <w:numPr>
                <w:ilvl w:val="0"/>
                <w:numId w:val="8"/>
              </w:numPr>
              <w:spacing w:after="0" w:line="240" w:lineRule="auto"/>
              <w:jc w:val="center"/>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77814B85" w14:textId="77777777">
            <w:pPr>
              <w:pStyle w:val="ListParagraph"/>
              <w:spacing w:after="0" w:line="240" w:lineRule="auto"/>
              <w:rPr>
                <w:rFonts w:eastAsia="Times New Roman" w:cs="Times New Roman"/>
                <w:color w:val="000000"/>
                <w:kern w:val="0"/>
                <w14:ligatures w14:val="none"/>
              </w:rPr>
            </w:pPr>
          </w:p>
        </w:tc>
      </w:tr>
      <w:tr>
        <w:trPr>
          <w:trHeight w:val="630"/>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10EEDB08" w14:textId="02D6F3D0">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(Democratic Republic of) Sao Tome and Principe</w:t>
            </w:r>
          </w:p>
        </w:tc>
        <w:tc>
          <w:tcPr>
            <w:tcW w:w="1028" w:type="pct"/>
            <w:tcBorders>
              <w:top w:val="nil"/>
              <w:left w:val="nil"/>
              <w:bottom w:val="single" w:color="auto" w:sz="4" w:space="0"/>
              <w:right w:val="single" w:color="auto" w:sz="4" w:space="0"/>
            </w:tcBorders>
            <w:shd w:val="clear" w:color="auto" w:fill="auto"/>
            <w:vAlign w:val="center"/>
            <w:hideMark/>
          </w:tcPr>
          <w:p w14:paraId="365571B6" w14:textId="218B645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Not Eligible</w:t>
            </w:r>
          </w:p>
        </w:tc>
        <w:tc>
          <w:tcPr>
            <w:tcW w:w="995" w:type="pct"/>
            <w:tcBorders>
              <w:top w:val="nil"/>
              <w:left w:val="nil"/>
              <w:bottom w:val="single" w:color="auto" w:sz="4" w:space="0"/>
              <w:right w:val="single" w:color="auto" w:sz="4" w:space="0"/>
            </w:tcBorders>
            <w:shd w:val="clear" w:color="auto" w:fill="auto"/>
            <w:vAlign w:val="center"/>
            <w:hideMark/>
          </w:tcPr>
          <w:p w14:paraId="06F8289D"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No</w:t>
            </w:r>
          </w:p>
        </w:tc>
        <w:tc>
          <w:tcPr>
            <w:tcW w:w="1030" w:type="pct"/>
            <w:tcBorders>
              <w:top w:val="nil"/>
              <w:left w:val="nil"/>
              <w:bottom w:val="single" w:color="auto" w:sz="4" w:space="0"/>
              <w:right w:val="single" w:color="auto" w:sz="8" w:space="0"/>
            </w:tcBorders>
            <w:shd w:val="clear" w:color="auto" w:fill="auto"/>
            <w:noWrap/>
            <w:vAlign w:val="bottom"/>
            <w:hideMark/>
          </w:tcPr>
          <w:p w14:paraId="793ACC2C" w14:textId="29CC4C1C">
            <w:pPr>
              <w:pStyle w:val="ListParagraph"/>
              <w:spacing w:after="0" w:line="240" w:lineRule="auto"/>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18E646B4" w14:textId="77777777">
            <w:pPr>
              <w:pStyle w:val="ListParagraph"/>
              <w:numPr>
                <w:ilvl w:val="0"/>
                <w:numId w:val="8"/>
              </w:numPr>
              <w:spacing w:after="0" w:line="240" w:lineRule="auto"/>
              <w:jc w:val="center"/>
              <w:rPr>
                <w:rFonts w:eastAsia="Times New Roman" w:cs="Times New Roman"/>
                <w:color w:val="000000"/>
                <w:kern w:val="0"/>
                <w14:ligatures w14:val="none"/>
              </w:rPr>
            </w:pPr>
          </w:p>
        </w:tc>
      </w:tr>
      <w:tr>
        <w:trPr>
          <w:trHeight w:val="315"/>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26CA58B4"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(Republic of) Senegal</w:t>
            </w:r>
          </w:p>
        </w:tc>
        <w:tc>
          <w:tcPr>
            <w:tcW w:w="1028" w:type="pct"/>
            <w:tcBorders>
              <w:top w:val="nil"/>
              <w:left w:val="nil"/>
              <w:bottom w:val="single" w:color="auto" w:sz="4" w:space="0"/>
              <w:right w:val="single" w:color="auto" w:sz="4" w:space="0"/>
            </w:tcBorders>
            <w:shd w:val="clear" w:color="auto" w:fill="auto"/>
            <w:vAlign w:val="center"/>
            <w:hideMark/>
          </w:tcPr>
          <w:p w14:paraId="3BB9AA30" w14:textId="77777777">
            <w:pPr>
              <w:spacing w:after="0" w:line="240" w:lineRule="auto"/>
              <w:jc w:val="right"/>
              <w:rPr>
                <w:rFonts w:eastAsia="Times New Roman" w:cs="Times New Roman"/>
                <w:color w:val="000000"/>
                <w:kern w:val="0"/>
                <w14:ligatures w14:val="none"/>
              </w:rPr>
            </w:pPr>
            <w:r>
              <w:rPr>
                <w:rFonts w:eastAsia="Times New Roman" w:cs="Times New Roman"/>
                <w:color w:val="000000"/>
                <w:kern w:val="0"/>
                <w14:ligatures w14:val="none"/>
              </w:rPr>
              <w:t xml:space="preserve">April 23, 2002</w:t>
            </w:r>
          </w:p>
        </w:tc>
        <w:tc>
          <w:tcPr>
            <w:tcW w:w="995" w:type="pct"/>
            <w:tcBorders>
              <w:top w:val="nil"/>
              <w:left w:val="nil"/>
              <w:bottom w:val="single" w:color="auto" w:sz="4" w:space="0"/>
              <w:right w:val="single" w:color="auto" w:sz="4" w:space="0"/>
            </w:tcBorders>
            <w:shd w:val="clear" w:color="auto" w:fill="auto"/>
            <w:vAlign w:val="center"/>
            <w:hideMark/>
          </w:tcPr>
          <w:p w14:paraId="5CC2C123"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Yes</w:t>
            </w:r>
          </w:p>
        </w:tc>
        <w:tc>
          <w:tcPr>
            <w:tcW w:w="1030" w:type="pct"/>
            <w:tcBorders>
              <w:top w:val="nil"/>
              <w:left w:val="nil"/>
              <w:bottom w:val="single" w:color="auto" w:sz="4" w:space="0"/>
              <w:right w:val="single" w:color="auto" w:sz="8" w:space="0"/>
            </w:tcBorders>
            <w:shd w:val="clear" w:color="auto" w:fill="auto"/>
            <w:noWrap/>
            <w:vAlign w:val="bottom"/>
            <w:hideMark/>
          </w:tcPr>
          <w:p w14:paraId="3678436B" w14:textId="4227E366">
            <w:pPr>
              <w:pStyle w:val="ListParagraph"/>
              <w:numPr>
                <w:ilvl w:val="0"/>
                <w:numId w:val="8"/>
              </w:numPr>
              <w:spacing w:after="0" w:line="240" w:lineRule="auto"/>
              <w:jc w:val="center"/>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241EEDE2" w14:textId="77777777">
            <w:pPr>
              <w:pStyle w:val="ListParagraph"/>
              <w:spacing w:after="0" w:line="240" w:lineRule="auto"/>
              <w:rPr>
                <w:rFonts w:eastAsia="Times New Roman" w:cs="Times New Roman"/>
                <w:color w:val="000000"/>
                <w:kern w:val="0"/>
                <w14:ligatures w14:val="none"/>
              </w:rPr>
            </w:pPr>
          </w:p>
        </w:tc>
      </w:tr>
      <w:tr>
        <w:trPr>
          <w:trHeight w:val="315"/>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4594F524"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(Republic of) Sierra Leone</w:t>
            </w:r>
          </w:p>
        </w:tc>
        <w:tc>
          <w:tcPr>
            <w:tcW w:w="1028" w:type="pct"/>
            <w:tcBorders>
              <w:top w:val="nil"/>
              <w:left w:val="nil"/>
              <w:bottom w:val="single" w:color="auto" w:sz="4" w:space="0"/>
              <w:right w:val="single" w:color="auto" w:sz="4" w:space="0"/>
            </w:tcBorders>
            <w:shd w:val="clear" w:color="auto" w:fill="auto"/>
            <w:vAlign w:val="center"/>
            <w:hideMark/>
          </w:tcPr>
          <w:p w14:paraId="7E8D2CE2"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 April 5, 2004</w:t>
            </w:r>
          </w:p>
        </w:tc>
        <w:tc>
          <w:tcPr>
            <w:tcW w:w="995" w:type="pct"/>
            <w:tcBorders>
              <w:top w:val="nil"/>
              <w:left w:val="nil"/>
              <w:bottom w:val="single" w:color="auto" w:sz="4" w:space="0"/>
              <w:right w:val="single" w:color="auto" w:sz="4" w:space="0"/>
            </w:tcBorders>
            <w:shd w:val="clear" w:color="auto" w:fill="auto"/>
            <w:vAlign w:val="center"/>
            <w:hideMark/>
          </w:tcPr>
          <w:p w14:paraId="08FFCCE5"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Yes</w:t>
            </w:r>
          </w:p>
        </w:tc>
        <w:tc>
          <w:tcPr>
            <w:tcW w:w="1030" w:type="pct"/>
            <w:tcBorders>
              <w:top w:val="nil"/>
              <w:left w:val="nil"/>
              <w:bottom w:val="single" w:color="auto" w:sz="4" w:space="0"/>
              <w:right w:val="single" w:color="auto" w:sz="8" w:space="0"/>
            </w:tcBorders>
            <w:shd w:val="clear" w:color="auto" w:fill="auto"/>
            <w:noWrap/>
            <w:vAlign w:val="bottom"/>
            <w:hideMark/>
          </w:tcPr>
          <w:p w14:paraId="58642B28" w14:textId="2B6ECBF3">
            <w:pPr>
              <w:pStyle w:val="ListParagraph"/>
              <w:numPr>
                <w:ilvl w:val="0"/>
                <w:numId w:val="8"/>
              </w:numPr>
              <w:spacing w:after="0" w:line="240" w:lineRule="auto"/>
              <w:jc w:val="center"/>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6C52B937" w14:textId="77777777">
            <w:pPr>
              <w:pStyle w:val="ListParagraph"/>
              <w:spacing w:after="0" w:line="240" w:lineRule="auto"/>
              <w:rPr>
                <w:rFonts w:eastAsia="Times New Roman" w:cs="Times New Roman"/>
                <w:color w:val="000000"/>
                <w:kern w:val="0"/>
                <w14:ligatures w14:val="none"/>
              </w:rPr>
            </w:pPr>
          </w:p>
        </w:tc>
      </w:tr>
      <w:tr>
        <w:trPr>
          <w:trHeight w:val="315"/>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2DA75AD4"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(Republic of) South Africa</w:t>
            </w:r>
          </w:p>
        </w:tc>
        <w:tc>
          <w:tcPr>
            <w:tcW w:w="1028" w:type="pct"/>
            <w:tcBorders>
              <w:top w:val="nil"/>
              <w:left w:val="nil"/>
              <w:bottom w:val="single" w:color="auto" w:sz="4" w:space="0"/>
              <w:right w:val="single" w:color="auto" w:sz="4" w:space="0"/>
            </w:tcBorders>
            <w:shd w:val="clear" w:color="auto" w:fill="auto"/>
            <w:vAlign w:val="center"/>
            <w:hideMark/>
          </w:tcPr>
          <w:p w14:paraId="08545355" w14:textId="77777777">
            <w:pPr>
              <w:spacing w:after="0" w:line="240" w:lineRule="auto"/>
              <w:jc w:val="right"/>
              <w:rPr>
                <w:rFonts w:eastAsia="Times New Roman" w:cs="Times New Roman"/>
                <w:color w:val="000000"/>
                <w:kern w:val="0"/>
                <w14:ligatures w14:val="none"/>
              </w:rPr>
            </w:pPr>
            <w:r>
              <w:rPr>
                <w:rFonts w:eastAsia="Times New Roman" w:cs="Times New Roman"/>
                <w:color w:val="000000"/>
                <w:kern w:val="0"/>
                <w14:ligatures w14:val="none"/>
              </w:rPr>
              <w:t xml:space="preserve">March 7, 2001</w:t>
            </w:r>
          </w:p>
        </w:tc>
        <w:tc>
          <w:tcPr>
            <w:tcW w:w="995" w:type="pct"/>
            <w:tcBorders>
              <w:top w:val="nil"/>
              <w:left w:val="nil"/>
              <w:bottom w:val="single" w:color="auto" w:sz="4" w:space="0"/>
              <w:right w:val="single" w:color="auto" w:sz="4" w:space="0"/>
            </w:tcBorders>
            <w:shd w:val="clear" w:color="auto" w:fill="auto"/>
            <w:vAlign w:val="center"/>
            <w:hideMark/>
          </w:tcPr>
          <w:p w14:paraId="260D8EF7"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No</w:t>
            </w:r>
          </w:p>
        </w:tc>
        <w:tc>
          <w:tcPr>
            <w:tcW w:w="1030" w:type="pct"/>
            <w:tcBorders>
              <w:top w:val="nil"/>
              <w:left w:val="nil"/>
              <w:bottom w:val="single" w:color="auto" w:sz="4" w:space="0"/>
              <w:right w:val="single" w:color="auto" w:sz="8" w:space="0"/>
            </w:tcBorders>
            <w:shd w:val="clear" w:color="auto" w:fill="auto"/>
            <w:noWrap/>
            <w:vAlign w:val="bottom"/>
            <w:hideMark/>
          </w:tcPr>
          <w:p w14:paraId="71325E36" w14:textId="1D909B0D">
            <w:pPr>
              <w:pStyle w:val="ListParagraph"/>
              <w:spacing w:after="0" w:line="240" w:lineRule="auto"/>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3D1D9F8D" w14:textId="77777777">
            <w:pPr>
              <w:pStyle w:val="ListParagraph"/>
              <w:numPr>
                <w:ilvl w:val="0"/>
                <w:numId w:val="8"/>
              </w:numPr>
              <w:spacing w:after="0" w:line="240" w:lineRule="auto"/>
              <w:jc w:val="center"/>
              <w:rPr>
                <w:rFonts w:eastAsia="Times New Roman" w:cs="Times New Roman"/>
                <w:color w:val="000000"/>
                <w:kern w:val="0"/>
                <w14:ligatures w14:val="none"/>
              </w:rPr>
            </w:pPr>
          </w:p>
        </w:tc>
      </w:tr>
      <w:tr>
        <w:trPr>
          <w:trHeight w:val="315"/>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454E31BE"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(United Republic of) Tanzania</w:t>
            </w:r>
          </w:p>
        </w:tc>
        <w:tc>
          <w:tcPr>
            <w:tcW w:w="1028" w:type="pct"/>
            <w:tcBorders>
              <w:top w:val="nil"/>
              <w:left w:val="nil"/>
              <w:bottom w:val="single" w:color="auto" w:sz="4" w:space="0"/>
              <w:right w:val="single" w:color="auto" w:sz="4" w:space="0"/>
            </w:tcBorders>
            <w:shd w:val="clear" w:color="auto" w:fill="auto"/>
            <w:vAlign w:val="center"/>
            <w:hideMark/>
          </w:tcPr>
          <w:p w14:paraId="63D72388" w14:textId="77777777">
            <w:pPr>
              <w:spacing w:after="0" w:line="240" w:lineRule="auto"/>
              <w:jc w:val="right"/>
              <w:rPr>
                <w:rFonts w:eastAsia="Times New Roman" w:cs="Times New Roman"/>
                <w:color w:val="000000"/>
                <w:kern w:val="0"/>
                <w14:ligatures w14:val="none"/>
              </w:rPr>
            </w:pPr>
            <w:r>
              <w:rPr>
                <w:rFonts w:eastAsia="Times New Roman" w:cs="Times New Roman"/>
                <w:color w:val="000000"/>
                <w:kern w:val="0"/>
                <w14:ligatures w14:val="none"/>
              </w:rPr>
              <w:t xml:space="preserve">February 4, 2002</w:t>
            </w:r>
          </w:p>
        </w:tc>
        <w:tc>
          <w:tcPr>
            <w:tcW w:w="995" w:type="pct"/>
            <w:tcBorders>
              <w:top w:val="nil"/>
              <w:left w:val="nil"/>
              <w:bottom w:val="single" w:color="auto" w:sz="4" w:space="0"/>
              <w:right w:val="single" w:color="auto" w:sz="4" w:space="0"/>
            </w:tcBorders>
            <w:shd w:val="clear" w:color="auto" w:fill="auto"/>
            <w:vAlign w:val="center"/>
            <w:hideMark/>
          </w:tcPr>
          <w:p w14:paraId="4F7B0C9F"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Yes</w:t>
            </w:r>
          </w:p>
        </w:tc>
        <w:tc>
          <w:tcPr>
            <w:tcW w:w="1030" w:type="pct"/>
            <w:tcBorders>
              <w:top w:val="nil"/>
              <w:left w:val="nil"/>
              <w:bottom w:val="single" w:color="auto" w:sz="4" w:space="0"/>
              <w:right w:val="single" w:color="auto" w:sz="8" w:space="0"/>
            </w:tcBorders>
            <w:shd w:val="clear" w:color="auto" w:fill="auto"/>
            <w:noWrap/>
            <w:vAlign w:val="bottom"/>
            <w:hideMark/>
          </w:tcPr>
          <w:p w14:paraId="3E9FFF09" w14:textId="56CBF2B2">
            <w:pPr>
              <w:pStyle w:val="ListParagraph"/>
              <w:numPr>
                <w:ilvl w:val="0"/>
                <w:numId w:val="8"/>
              </w:numPr>
              <w:spacing w:after="0" w:line="240" w:lineRule="auto"/>
              <w:jc w:val="center"/>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7DC9D7EB" w14:textId="77777777">
            <w:pPr>
              <w:pStyle w:val="ListParagraph"/>
              <w:spacing w:after="0" w:line="240" w:lineRule="auto"/>
              <w:rPr>
                <w:rFonts w:eastAsia="Times New Roman" w:cs="Times New Roman"/>
                <w:color w:val="000000"/>
                <w:kern w:val="0"/>
                <w14:ligatures w14:val="none"/>
              </w:rPr>
            </w:pPr>
          </w:p>
        </w:tc>
      </w:tr>
      <w:tr>
        <w:trPr>
          <w:trHeight w:val="315"/>
        </w:trPr>
        <w:tc>
          <w:tcPr>
            <w:tcW w:w="1034" w:type="pct"/>
            <w:tcBorders>
              <w:top w:val="nil"/>
              <w:left w:val="single" w:color="auto" w:sz="8" w:space="0"/>
              <w:bottom w:val="single" w:color="auto" w:sz="4" w:space="0"/>
              <w:right w:val="single" w:color="auto" w:sz="4" w:space="0"/>
            </w:tcBorders>
            <w:shd w:val="clear" w:color="auto" w:fill="auto"/>
            <w:vAlign w:val="center"/>
            <w:hideMark/>
          </w:tcPr>
          <w:p w14:paraId="17B07635"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(Republic of) Togo</w:t>
            </w:r>
          </w:p>
        </w:tc>
        <w:tc>
          <w:tcPr>
            <w:tcW w:w="1028" w:type="pct"/>
            <w:tcBorders>
              <w:top w:val="nil"/>
              <w:left w:val="nil"/>
              <w:bottom w:val="single" w:color="auto" w:sz="4" w:space="0"/>
              <w:right w:val="single" w:color="auto" w:sz="4" w:space="0"/>
            </w:tcBorders>
            <w:shd w:val="clear" w:color="auto" w:fill="auto"/>
            <w:vAlign w:val="center"/>
            <w:hideMark/>
          </w:tcPr>
          <w:p w14:paraId="67B38F04" w14:textId="77777777">
            <w:pPr>
              <w:spacing w:after="0" w:line="240" w:lineRule="auto"/>
              <w:jc w:val="right"/>
              <w:rPr>
                <w:rFonts w:eastAsia="Times New Roman" w:cs="Times New Roman"/>
                <w:color w:val="000000"/>
                <w:kern w:val="0"/>
                <w14:ligatures w14:val="none"/>
              </w:rPr>
            </w:pPr>
            <w:r>
              <w:rPr>
                <w:rFonts w:eastAsia="Times New Roman" w:cs="Times New Roman"/>
                <w:color w:val="000000"/>
                <w:kern w:val="0"/>
                <w14:ligatures w14:val="none"/>
              </w:rPr>
              <w:t xml:space="preserve">August 22, 2017</w:t>
            </w:r>
          </w:p>
        </w:tc>
        <w:tc>
          <w:tcPr>
            <w:tcW w:w="995" w:type="pct"/>
            <w:tcBorders>
              <w:top w:val="nil"/>
              <w:left w:val="nil"/>
              <w:bottom w:val="single" w:color="auto" w:sz="4" w:space="0"/>
              <w:right w:val="single" w:color="auto" w:sz="4" w:space="0"/>
            </w:tcBorders>
            <w:shd w:val="clear" w:color="auto" w:fill="auto"/>
            <w:vAlign w:val="center"/>
            <w:hideMark/>
          </w:tcPr>
          <w:p w14:paraId="6E827C65"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Yes</w:t>
            </w:r>
          </w:p>
        </w:tc>
        <w:tc>
          <w:tcPr>
            <w:tcW w:w="1030" w:type="pct"/>
            <w:tcBorders>
              <w:top w:val="nil"/>
              <w:left w:val="nil"/>
              <w:bottom w:val="single" w:color="auto" w:sz="4" w:space="0"/>
              <w:right w:val="single" w:color="auto" w:sz="8" w:space="0"/>
            </w:tcBorders>
            <w:shd w:val="clear" w:color="auto" w:fill="auto"/>
            <w:noWrap/>
            <w:vAlign w:val="bottom"/>
          </w:tcPr>
          <w:p w14:paraId="1EEB16C5" w14:textId="68976F16">
            <w:pPr>
              <w:pStyle w:val="ListParagraph"/>
              <w:numPr>
                <w:ilvl w:val="0"/>
                <w:numId w:val="8"/>
              </w:numPr>
              <w:spacing w:after="0" w:line="240" w:lineRule="auto"/>
              <w:jc w:val="center"/>
              <w:rPr>
                <w:rFonts w:eastAsia="Times New Roman" w:cs="Times New Roman"/>
                <w:color w:val="000000"/>
                <w:kern w:val="0"/>
                <w14:ligatures w14:val="none"/>
              </w:rPr>
            </w:pPr>
          </w:p>
        </w:tc>
        <w:tc>
          <w:tcPr>
            <w:tcW w:w="912" w:type="pct"/>
            <w:tcBorders>
              <w:top w:val="nil"/>
              <w:left w:val="nil"/>
              <w:bottom w:val="single" w:color="auto" w:sz="4" w:space="0"/>
              <w:right w:val="single" w:color="auto" w:sz="8" w:space="0"/>
            </w:tcBorders>
          </w:tcPr>
          <w:p w14:paraId="5624EAA1" w14:textId="77777777">
            <w:pPr>
              <w:pStyle w:val="ListParagraph"/>
              <w:spacing w:after="0" w:line="240" w:lineRule="auto"/>
              <w:rPr>
                <w:rFonts w:eastAsia="Times New Roman" w:cs="Times New Roman"/>
                <w:color w:val="000000"/>
                <w:kern w:val="0"/>
                <w14:ligatures w14:val="none"/>
              </w:rPr>
            </w:pPr>
          </w:p>
        </w:tc>
      </w:tr>
      <w:tr>
        <w:trPr>
          <w:trHeight w:val="330"/>
        </w:trPr>
        <w:tc>
          <w:tcPr>
            <w:tcW w:w="1034" w:type="pct"/>
            <w:tcBorders>
              <w:top w:val="nil"/>
              <w:left w:val="single" w:color="auto" w:sz="8" w:space="0"/>
              <w:bottom w:val="single" w:color="auto" w:sz="8" w:space="0"/>
              <w:right w:val="single" w:color="auto" w:sz="4" w:space="0"/>
            </w:tcBorders>
            <w:shd w:val="clear" w:color="auto" w:fill="auto"/>
            <w:vAlign w:val="center"/>
            <w:hideMark/>
          </w:tcPr>
          <w:p w14:paraId="7F681EC0"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(Republic of) Zambia</w:t>
            </w:r>
          </w:p>
        </w:tc>
        <w:tc>
          <w:tcPr>
            <w:tcW w:w="1028" w:type="pct"/>
            <w:tcBorders>
              <w:top w:val="nil"/>
              <w:left w:val="nil"/>
              <w:bottom w:val="single" w:color="auto" w:sz="8" w:space="0"/>
              <w:right w:val="single" w:color="auto" w:sz="4" w:space="0"/>
            </w:tcBorders>
            <w:shd w:val="clear" w:color="auto" w:fill="auto"/>
            <w:vAlign w:val="center"/>
            <w:hideMark/>
          </w:tcPr>
          <w:p w14:paraId="587096AC" w14:textId="77777777">
            <w:pPr>
              <w:spacing w:after="0" w:line="240" w:lineRule="auto"/>
              <w:jc w:val="right"/>
              <w:rPr>
                <w:rFonts w:eastAsia="Times New Roman" w:cs="Times New Roman"/>
                <w:color w:val="000000"/>
                <w:kern w:val="0"/>
                <w14:ligatures w14:val="none"/>
              </w:rPr>
            </w:pPr>
            <w:r>
              <w:rPr>
                <w:rFonts w:eastAsia="Times New Roman" w:cs="Times New Roman"/>
                <w:color w:val="000000"/>
                <w:kern w:val="0"/>
                <w14:ligatures w14:val="none"/>
              </w:rPr>
              <w:t xml:space="preserve">December 17, 2001</w:t>
            </w:r>
          </w:p>
        </w:tc>
        <w:tc>
          <w:tcPr>
            <w:tcW w:w="995" w:type="pct"/>
            <w:tcBorders>
              <w:top w:val="nil"/>
              <w:left w:val="nil"/>
              <w:bottom w:val="single" w:color="auto" w:sz="8" w:space="0"/>
              <w:right w:val="single" w:color="auto" w:sz="4" w:space="0"/>
            </w:tcBorders>
            <w:shd w:val="clear" w:color="auto" w:fill="auto"/>
            <w:vAlign w:val="center"/>
            <w:hideMark/>
          </w:tcPr>
          <w:p w14:paraId="7251261D" w14:textId="7777777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Yes</w:t>
            </w:r>
          </w:p>
        </w:tc>
        <w:tc>
          <w:tcPr>
            <w:tcW w:w="1030" w:type="pct"/>
            <w:tcBorders>
              <w:top w:val="nil"/>
              <w:left w:val="nil"/>
              <w:bottom w:val="single" w:color="auto" w:sz="8" w:space="0"/>
              <w:right w:val="single" w:color="auto" w:sz="8" w:space="0"/>
            </w:tcBorders>
            <w:shd w:val="clear" w:color="auto" w:fill="auto"/>
            <w:noWrap/>
            <w:vAlign w:val="bottom"/>
          </w:tcPr>
          <w:p w14:paraId="2E301A60" w14:textId="148DA052">
            <w:pPr>
              <w:pStyle w:val="ListParagraph"/>
              <w:numPr>
                <w:ilvl w:val="0"/>
                <w:numId w:val="8"/>
              </w:numPr>
              <w:spacing w:after="0" w:line="240" w:lineRule="auto"/>
              <w:jc w:val="center"/>
              <w:rPr>
                <w:rFonts w:eastAsia="Times New Roman" w:cs="Times New Roman"/>
                <w:color w:val="000000"/>
                <w:kern w:val="0"/>
                <w14:ligatures w14:val="none"/>
              </w:rPr>
            </w:pPr>
          </w:p>
        </w:tc>
        <w:tc>
          <w:tcPr>
            <w:tcW w:w="912" w:type="pct"/>
            <w:tcBorders>
              <w:top w:val="nil"/>
              <w:left w:val="nil"/>
              <w:bottom w:val="single" w:color="auto" w:sz="8" w:space="0"/>
              <w:right w:val="single" w:color="auto" w:sz="8" w:space="0"/>
            </w:tcBorders>
          </w:tcPr>
          <w:p w14:paraId="7252E6CB" w14:textId="77777777">
            <w:pPr>
              <w:pStyle w:val="ListParagraph"/>
              <w:spacing w:after="0" w:line="240" w:lineRule="auto"/>
              <w:rPr>
                <w:rFonts w:eastAsia="Times New Roman" w:cs="Times New Roman"/>
                <w:color w:val="000000"/>
                <w:kern w:val="0"/>
                <w14:ligatures w14:val="none"/>
              </w:rPr>
            </w:pPr>
          </w:p>
        </w:tc>
      </w:tr>
    </w:tbl>
    <w:p w14:paraId="01B24942" w14:textId="5268E9D6">
      <w:pPr>
        <w:spacing w:after="0" w:line="480" w:lineRule="auto"/>
        <w:ind w:firstLine="720"/>
      </w:pPr>
      <w:r>
        <w:t xml:space="preserve">The garment sector is a significant contributor to economic growth and employment in </w:t>
      </w:r>
      <w:r>
        <w:t xml:space="preserve">many countries across </w:t>
      </w:r>
      <w:r>
        <w:t xml:space="preserve">Sub-Saharan Africa. According to the World </w:t>
      </w:r>
      <w:r>
        <w:t xml:space="preserve">Economic Forum</w:t>
      </w:r>
      <w:r>
        <w:t xml:space="preserve"> </w:t>
      </w:r>
      <w:r>
        <w:t xml:space="preserve">(202</w:t>
      </w:r>
      <w:r>
        <w:t xml:space="preserve">3</w:t>
      </w:r>
      <w:r>
        <w:t xml:space="preserve">), </w:t>
      </w:r>
      <w:r>
        <w:t xml:space="preserve">textiles and garments account for </w:t>
      </w:r>
      <w:r>
        <w:t xml:space="preserve">over</w:t>
      </w:r>
      <w:r>
        <w:t xml:space="preserve"> </w:t>
      </w:r>
      <w:r>
        <w:t xml:space="preserve">6</w:t>
      </w:r>
      <w:r>
        <w:t xml:space="preserve">0% of exports in some AGOA countries</w:t>
      </w:r>
      <w:r>
        <w:t xml:space="preserve"> like Kenya. </w:t>
      </w:r>
      <w:r>
        <w:t xml:space="preserve">This study situates the </w:t>
      </w:r>
      <w:r>
        <w:t xml:space="preserve">LDC </w:t>
      </w:r>
      <w:r>
        <w:t xml:space="preserve">Special Rule for Apparel</w:t>
      </w:r>
      <w:r>
        <w:t xml:space="preserve"> </w:t>
      </w:r>
      <w:r>
        <w:t xml:space="preserve">within this economic context</w:t>
      </w:r>
      <w:r>
        <w:t xml:space="preserve">.</w:t>
      </w:r>
      <w:r>
        <w:rPr>
          <w:rStyle w:val="FootnoteReference"/>
        </w:rPr>
        <w:footnoteReference w:id="2"/>
      </w:r>
    </w:p>
    <w:p w14:paraId="5A7BFBEF" w14:textId="428F2533">
      <w:pPr>
        <w:spacing w:after="0" w:line="480" w:lineRule="auto"/>
        <w:jc w:val="center"/>
        <w:rPr>
          <w:b/>
          <w:bCs/>
        </w:rPr>
      </w:pPr>
      <w:r>
        <w:rPr>
          <w:b/>
          <w:bCs/>
        </w:rPr>
        <w:t xml:space="preserve">3. </w:t>
      </w:r>
      <w:r>
        <w:rPr>
          <w:b/>
          <w:bCs/>
        </w:rPr>
        <w:t xml:space="preserve">Previous Studies</w:t>
      </w:r>
    </w:p>
    <w:p w14:paraId="5503CBDB" w14:textId="77777777">
      <w:pPr>
        <w:spacing w:after="0" w:line="480" w:lineRule="auto"/>
        <w:ind w:firstLine="720"/>
      </w:pPr>
      <w:r>
        <w:t xml:space="preserve">The impact of AGOA and its </w:t>
      </w:r>
      <w:r>
        <w:t xml:space="preserve">provisions</w:t>
      </w:r>
      <w:r>
        <w:t xml:space="preserve">, including the Third Country Fabric Provision, has been the subject of various studies</w:t>
      </w:r>
      <w:r>
        <w:t xml:space="preserve">, albeit with mixed findings. </w:t>
      </w:r>
      <w:r>
        <w:t xml:space="preserve">Collier and Venables (20</w:t>
      </w:r>
      <w:r>
        <w:t xml:space="preserve">07</w:t>
      </w:r>
      <w:r>
        <w:t xml:space="preserve">) highlight the provision’s role in enabling African garment producers to overcome cost disadvantages linked to input sourcing.</w:t>
      </w:r>
      <w:r>
        <w:t xml:space="preserve"> </w:t>
      </w:r>
      <w:r>
        <w:t xml:space="preserve">Mattoo et al. (2003) employed a partial equilibrium framework, and their findings suggest that AGOA could boost African exports. Brenton and Ikezuki (2004), examining AGOA in 2002, predicted minimal export gains in AGOA-eligible products due to existing access under the GSP, but anticipated significant benefits from the apparel provision. Frazer and Van Biesebroeck (2010), analyzing disaggregated data up to 2006, found a strong positive impact on U.S. imports, especially in apparel and petroleum. However, Brenton and Hoppe (2006) noted that AGOA fell short of its potential, though it led to apparel export gains in some countries. Tadesse and Fayissa (2008) highlighted AGOA’s positive impact on new product exports but </w:t>
      </w:r>
      <w:r>
        <w:t xml:space="preserve">with </w:t>
      </w:r>
      <w:r>
        <w:t xml:space="preserve">minimal effect on expanding existing exports. Conversely, Mueller (2008) argued that AGOA had no significant effect on overall exports from SSA countries. Similarly, Seyoum (2007) found no impact on agricultural exports.</w:t>
      </w:r>
      <w:r>
        <w:t xml:space="preserve"> Moreover, existing </w:t>
      </w:r>
      <w:r>
        <w:t xml:space="preserve">studies focus predominantly on AGOA’s overall impact without isolating the role of the ‘LDC </w:t>
      </w:r>
      <w:r>
        <w:t xml:space="preserve">SRA</w:t>
      </w:r>
      <w:r>
        <w:t xml:space="preserve">’ (</w:t>
      </w:r>
      <w:r>
        <w:t xml:space="preserve">Fernandes et al., 202</w:t>
      </w:r>
      <w:r>
        <w:t xml:space="preserve">1;</w:t>
      </w:r>
      <w:r>
        <w:t xml:space="preserve"> Frazer </w:t>
      </w:r>
      <w:r>
        <w:t xml:space="preserve">&amp;</w:t>
      </w:r>
      <w:r>
        <w:t xml:space="preserve"> Van Biesebroeck</w:t>
      </w:r>
      <w:r>
        <w:t xml:space="preserve">, </w:t>
      </w:r>
      <w:r>
        <w:t xml:space="preserve">2010</w:t>
      </w:r>
      <w:r>
        <w:t xml:space="preserve">; </w:t>
      </w:r>
      <w:r>
        <w:t xml:space="preserve">Collier </w:t>
      </w:r>
      <w:r>
        <w:t xml:space="preserve">&amp; </w:t>
      </w:r>
      <w:r>
        <w:t xml:space="preserve">Venables</w:t>
      </w:r>
      <w:r>
        <w:t xml:space="preserve">, </w:t>
      </w:r>
      <w:r>
        <w:t xml:space="preserve">2007</w:t>
      </w:r>
      <w:r>
        <w:t xml:space="preserve">; </w:t>
      </w:r>
      <w:r>
        <w:t xml:space="preserve">Mattoo</w:t>
      </w:r>
      <w:r>
        <w:t xml:space="preserve"> et al., 2003). </w:t>
      </w:r>
    </w:p>
    <w:p w14:paraId="6EBC5BD7" w14:textId="41177CA2">
      <w:pPr>
        <w:spacing w:after="0" w:line="480" w:lineRule="auto"/>
        <w:ind w:firstLine="720"/>
      </w:pPr>
      <w:r>
        <w:t xml:space="preserve">In terms of methodological approach, </w:t>
      </w:r>
      <w:r>
        <w:t xml:space="preserve">most of these studies employ </w:t>
      </w:r>
      <w:r>
        <w:t xml:space="preserve">augmented versions of gravity models</w:t>
      </w:r>
      <w:r>
        <w:t xml:space="preserve"> or </w:t>
      </w:r>
      <w:r>
        <w:t xml:space="preserve">triple difference-in-difference (DD) of trade to identify the impact of</w:t>
      </w:r>
      <w:r>
        <w:t xml:space="preserve"> AGOA</w:t>
      </w:r>
      <w:r>
        <w:t xml:space="preserve"> </w:t>
      </w:r>
      <w:r>
        <w:t xml:space="preserve">on trade flows</w:t>
      </w:r>
      <w:r>
        <w:t xml:space="preserve">. However, both approaches suffer from inherent weaknesses</w:t>
      </w:r>
      <w:r>
        <w:t xml:space="preserve"> that </w:t>
      </w:r>
      <w:r>
        <w:t xml:space="preserve">undermine the reliability of the</w:t>
      </w:r>
      <w:r>
        <w:t xml:space="preserve">ir</w:t>
      </w:r>
      <w:r>
        <w:t xml:space="preserve"> findings</w:t>
      </w:r>
      <w:r>
        <w:t xml:space="preserve">. Specifically, the empirical gravity equation suffers from numerous estimation challenges, including </w:t>
      </w:r>
      <w:r>
        <w:t xml:space="preserve">inappropriate functional form</w:t>
      </w:r>
      <w:r>
        <w:t xml:space="preserve">, </w:t>
      </w:r>
      <w:r>
        <w:t xml:space="preserve">hid</w:t>
      </w:r>
      <w:r>
        <w:t xml:space="preserve">den</w:t>
      </w:r>
      <w:r>
        <w:t xml:space="preserve"> heterogeneous impacts of various non-reciprocal trade agreements across countries</w:t>
      </w:r>
      <w:r>
        <w:t xml:space="preserve">, and failure to </w:t>
      </w:r>
      <w:r>
        <w:t xml:space="preserve">properly characterize the counter-factual</w:t>
      </w:r>
      <w:r>
        <w:t xml:space="preserve"> (Kassa &amp; Coulibaly, 2019). Similarly, although  </w:t>
      </w:r>
      <w:r>
        <w:t xml:space="preserve">DD estimators provide</w:t>
      </w:r>
      <w:r>
        <w:t xml:space="preserve"> better estimates that allow unique insights into the impact of </w:t>
      </w:r>
      <w:r>
        <w:t xml:space="preserve">preferential trade agreements</w:t>
      </w:r>
      <w:r>
        <w:t xml:space="preserve"> across product groups, the </w:t>
      </w:r>
      <w:r>
        <w:t xml:space="preserve">treatment effect estimates</w:t>
      </w:r>
      <w:r>
        <w:t xml:space="preserve"> can only be unbiased if </w:t>
      </w:r>
      <w:r>
        <w:t xml:space="preserve">the average outcome for the treated and control groups follow parallel trends</w:t>
      </w:r>
      <w:r>
        <w:t xml:space="preserve">. However, in practice, </w:t>
      </w:r>
      <w:r>
        <w:t xml:space="preserve">even without AGOA, we expect</w:t>
      </w:r>
      <w:r>
        <w:t xml:space="preserve"> exports from</w:t>
      </w:r>
      <w:r>
        <w:t xml:space="preserve"> </w:t>
      </w:r>
      <w:r>
        <w:t xml:space="preserve">SSA countries t</w:t>
      </w:r>
      <w:r>
        <w:t xml:space="preserve">o change due to changes in the observ</w:t>
      </w:r>
      <w:r>
        <w:t xml:space="preserve">ed</w:t>
      </w:r>
      <w:r>
        <w:t xml:space="preserve"> and unobserv</w:t>
      </w:r>
      <w:r>
        <w:t xml:space="preserve">ed</w:t>
      </w:r>
      <w:r>
        <w:t xml:space="preserve"> characteristics of the</w:t>
      </w:r>
      <w:r>
        <w:t xml:space="preserve"> exporting countries (Kassa &amp; Coulibaly, 2019)</w:t>
      </w:r>
      <w:r>
        <w:t xml:space="preserve">.</w:t>
      </w:r>
      <w:r>
        <w:t xml:space="preserve"> Applying the synthetic control method addresses the above shortcomings by </w:t>
      </w:r>
      <w:r>
        <w:t xml:space="preserve">estimating the impact</w:t>
      </w:r>
      <w:r>
        <w:t xml:space="preserve"> of </w:t>
      </w:r>
      <w:r>
        <w:t xml:space="preserve">AGOA </w:t>
      </w:r>
      <w:r>
        <w:t xml:space="preserve">LDC Special Rule for Apparel </w:t>
      </w:r>
      <w:r>
        <w:t xml:space="preserve">for individual countries separately </w:t>
      </w:r>
      <w:r>
        <w:t xml:space="preserve">through</w:t>
      </w:r>
      <w:r>
        <w:t xml:space="preserve"> providing a</w:t>
      </w:r>
      <w:r>
        <w:t xml:space="preserve">n</w:t>
      </w:r>
      <w:r>
        <w:t xml:space="preserve"> acceptable counterfactual</w:t>
      </w:r>
      <w:r>
        <w:t xml:space="preserve">. </w:t>
      </w:r>
    </w:p>
    <w:p w14:paraId="2F14E5D5" w14:textId="73925D10">
      <w:pPr>
        <w:spacing w:after="0" w:line="480" w:lineRule="auto"/>
        <w:jc w:val="center"/>
        <w:rPr>
          <w:b/>
          <w:bCs/>
        </w:rPr>
      </w:pPr>
      <w:r>
        <w:rPr>
          <w:b/>
          <w:bCs/>
        </w:rPr>
        <w:t xml:space="preserve">4. </w:t>
      </w:r>
      <w:r>
        <w:rPr>
          <w:b/>
          <w:bCs/>
        </w:rPr>
        <w:t xml:space="preserve">Research Objective and Question</w:t>
      </w:r>
    </w:p>
    <w:p w14:paraId="4FC1EE5A" w14:textId="7FE8FE8C">
      <w:pPr>
        <w:spacing w:after="0" w:line="480" w:lineRule="auto"/>
        <w:rPr>
          <w:b/>
          <w:bCs/>
        </w:rPr>
      </w:pPr>
      <w:r>
        <w:rPr>
          <w:b/>
          <w:bCs/>
        </w:rPr>
        <w:t xml:space="preserve">4.1 </w:t>
      </w:r>
      <w:r>
        <w:rPr>
          <w:b/>
          <w:bCs/>
        </w:rPr>
        <w:t xml:space="preserve">Objective</w:t>
      </w:r>
    </w:p>
    <w:p w14:paraId="5DE1C198" w14:textId="6F02FA78">
      <w:pPr>
        <w:spacing w:after="0" w:line="480" w:lineRule="auto"/>
      </w:pPr>
      <w:r>
        <w:t xml:space="preserve">To assess the impact of AGOA’s</w:t>
      </w:r>
      <w:r>
        <w:t xml:space="preserve"> </w:t>
      </w:r>
      <w:r>
        <w:t xml:space="preserve">LDC Special Rule for Apparel</w:t>
      </w:r>
      <w:r>
        <w:t xml:space="preserve"> on garment exports from eligible S</w:t>
      </w:r>
      <w:r>
        <w:t xml:space="preserve">SA</w:t>
      </w:r>
      <w:r>
        <w:t xml:space="preserve"> countries.</w:t>
      </w:r>
    </w:p>
    <w:p w14:paraId="232DE568" w14:textId="16E9E30A">
      <w:pPr>
        <w:spacing w:after="0" w:line="480" w:lineRule="auto"/>
        <w:rPr>
          <w:b/>
          <w:bCs/>
        </w:rPr>
      </w:pPr>
      <w:r>
        <w:rPr>
          <w:b/>
          <w:bCs/>
        </w:rPr>
        <w:t xml:space="preserve">4.2 </w:t>
      </w:r>
      <w:r>
        <w:rPr>
          <w:b/>
          <w:bCs/>
        </w:rPr>
        <w:t xml:space="preserve">Research Questions</w:t>
      </w:r>
    </w:p>
    <w:p w14:paraId="32C684AC" w14:textId="6BAF7F15">
      <w:pPr>
        <w:spacing w:after="0" w:line="480" w:lineRule="auto"/>
      </w:pPr>
      <w:r>
        <w:t xml:space="preserve">1. How has the</w:t>
      </w:r>
      <w:r>
        <w:t xml:space="preserve"> </w:t>
      </w:r>
      <w:r>
        <w:t xml:space="preserve">LDC Special Rule for Apparel</w:t>
      </w:r>
      <w:r>
        <w:t xml:space="preserve"> influenced garment export performance under AGOA?</w:t>
      </w:r>
    </w:p>
    <w:p w14:paraId="04DC95AD" w14:textId="2CE8F04A">
      <w:pPr>
        <w:spacing w:after="0" w:line="480" w:lineRule="auto"/>
      </w:pPr>
      <w:r>
        <w:t xml:space="preserve">2. What are the </w:t>
      </w:r>
      <w:r>
        <w:t xml:space="preserve">policy </w:t>
      </w:r>
      <w:r>
        <w:t xml:space="preserve">implications of the provision for beneficiary countries?</w:t>
      </w:r>
    </w:p>
    <w:p w14:paraId="5518EE29" w14:textId="53690A0B">
      <w:pPr>
        <w:spacing w:after="0" w:line="480" w:lineRule="auto"/>
        <w:jc w:val="center"/>
        <w:rPr>
          <w:b/>
          <w:bCs/>
        </w:rPr>
      </w:pPr>
      <w:r>
        <w:rPr>
          <w:b/>
          <w:bCs/>
        </w:rPr>
        <w:t xml:space="preserve">5. </w:t>
      </w:r>
      <w:r>
        <w:rPr>
          <w:b/>
          <w:bCs/>
        </w:rPr>
        <w:t xml:space="preserve">Research Methodology</w:t>
      </w:r>
    </w:p>
    <w:p w14:paraId="1B81B721" w14:textId="62B937E0">
      <w:pPr>
        <w:spacing w:after="0" w:line="480" w:lineRule="auto"/>
        <w:rPr>
          <w:b/>
          <w:bCs/>
        </w:rPr>
      </w:pPr>
      <w:r>
        <w:rPr>
          <w:b/>
          <w:bCs/>
        </w:rPr>
        <w:t xml:space="preserve">5.1 </w:t>
      </w:r>
      <w:r>
        <w:rPr>
          <w:b/>
          <w:bCs/>
        </w:rPr>
        <w:t xml:space="preserve">Research Design</w:t>
      </w:r>
    </w:p>
    <w:p w14:paraId="5A5B2E79" w14:textId="77777777">
      <w:pPr>
        <w:spacing w:after="0" w:line="480" w:lineRule="auto"/>
        <w:ind w:firstLine="720"/>
      </w:pPr>
      <w:r>
        <w:t xml:space="preserve">The Synthetic Control Method (SCM) will be employed to assess the impact of AGOA’s LDC Special Rule for Apparel on garment exports from Sub-Saharan African (SSA) countries. SCM is an appropriate method for this study as it allows for comparison between treated countries (those eligible for the LDC Special Rule for Apparel) and a synthetic control group composed of countries that did not receive the same treatment. This methodology will help isolate the effect of the LDC Special Rule by constructing a counterfactual scenario that estimates what the exports of eligible countries would have been without AGOA.</w:t>
      </w:r>
    </w:p>
    <w:p w14:paraId="7712CEB7" w14:textId="1B9DB2B7">
      <w:pPr>
        <w:spacing w:after="0" w:line="480" w:lineRule="auto"/>
        <w:rPr>
          <w:b/>
          <w:bCs/>
        </w:rPr>
      </w:pPr>
      <w:r>
        <w:rPr>
          <w:b/>
          <w:bCs/>
        </w:rPr>
        <w:t xml:space="preserve">5.2 </w:t>
      </w:r>
      <w:r>
        <w:rPr>
          <w:b/>
          <w:bCs/>
        </w:rPr>
        <w:t xml:space="preserve">Data Collection</w:t>
      </w:r>
    </w:p>
    <w:p w14:paraId="2DDBB93C" w14:textId="4AF2AF32">
      <w:pPr>
        <w:spacing w:after="0" w:line="480" w:lineRule="auto"/>
        <w:ind w:firstLine="720"/>
        <w:rPr>
          <w:b/>
          <w:bCs/>
        </w:rPr>
      </w:pPr>
      <w:r>
        <w:rPr>
          <w:rFonts w:cs="Times New Roman"/>
        </w:rPr>
        <w:t xml:space="preserve">Export data was collected from the USITC Database</w:t>
      </w:r>
      <w:r>
        <w:rPr>
          <w:rFonts w:cs="Times New Roman"/>
        </w:rPr>
        <w:t xml:space="preserve"> (</w:t>
      </w:r>
      <w:r>
        <w:rPr>
          <w:rFonts w:cs="Times New Roman"/>
        </w:rPr>
        <w:t xml:space="preserve">USITC</w:t>
      </w:r>
      <w:r>
        <w:rPr>
          <w:rFonts w:cs="Times New Roman"/>
        </w:rPr>
        <w:t xml:space="preserve">, </w:t>
      </w:r>
      <w:r>
        <w:rPr>
          <w:rFonts w:cs="Times New Roman"/>
        </w:rPr>
        <w:t xml:space="preserve">2025)</w:t>
      </w:r>
      <w:r>
        <w:rPr>
          <w:rFonts w:cs="Times New Roman"/>
        </w:rPr>
        <w:t xml:space="preserve">. We use trade data reported by the importer (United States)</w:t>
      </w:r>
      <w:r>
        <w:rPr>
          <w:rFonts w:cs="Times New Roman"/>
        </w:rPr>
        <w:t xml:space="preserve"> for the</w:t>
      </w:r>
      <w:r>
        <w:rPr>
          <w:rFonts w:cs="Times New Roman"/>
        </w:rPr>
        <w:t xml:space="preserve"> period (</w:t>
      </w:r>
      <w:r>
        <w:rPr>
          <w:rFonts w:cs="Times New Roman"/>
        </w:rPr>
        <w:t xml:space="preserve">1989</w:t>
      </w:r>
      <w:r>
        <w:rPr>
          <w:rFonts w:cs="Times New Roman"/>
        </w:rPr>
        <w:t xml:space="preserve">-202</w:t>
      </w:r>
      <w:r>
        <w:rPr>
          <w:rFonts w:cs="Times New Roman"/>
        </w:rPr>
        <w:t xml:space="preserve">4</w:t>
      </w:r>
      <w:r>
        <w:rPr>
          <w:rFonts w:cs="Times New Roman"/>
        </w:rPr>
        <w:t xml:space="preserve">)</w:t>
      </w:r>
      <w:r>
        <w:rPr>
          <w:rFonts w:cs="Times New Roman"/>
        </w:rPr>
        <w:t xml:space="preserve">. </w:t>
      </w:r>
      <w:r>
        <w:rPr>
          <w:rFonts w:cs="Times New Roman"/>
        </w:rPr>
        <w:t xml:space="preserve">Countries that became eligible for the LDC Special Rule for Apparel under AGOA are treated as part of the treatment group, while non-eligible countries will serve as candidates for the synthetic control group.</w:t>
      </w:r>
      <w:r>
        <w:rPr>
          <w:rFonts w:cs="Times New Roman"/>
        </w:rPr>
        <w:t xml:space="preserve"> </w:t>
      </w:r>
      <w:r>
        <w:rPr>
          <w:rFonts w:cs="Times New Roman"/>
        </w:rPr>
        <w:t xml:space="preserve">A total of 30 </w:t>
      </w:r>
      <w:r>
        <w:rPr>
          <w:rFonts w:cs="Times New Roman"/>
        </w:rPr>
        <w:t xml:space="preserve">AGOA countries are considered,</w:t>
      </w:r>
      <w:r>
        <w:rPr>
          <w:rFonts w:cs="Times New Roman"/>
        </w:rPr>
        <w:t xml:space="preserve"> comprising 21 ‘Treated countries’ and 9 ‘Control Countries’ (see Table 1)</w:t>
      </w:r>
      <w:r>
        <w:rPr>
          <w:rFonts w:cs="Times New Roman"/>
        </w:rPr>
        <w:t xml:space="preserve">. We use the aggregate value of exports at the HS</w:t>
      </w:r>
      <w:r>
        <w:rPr>
          <w:rFonts w:cs="Times New Roman"/>
        </w:rPr>
        <w:t xml:space="preserve">2</w:t>
      </w:r>
      <w:r>
        <w:rPr>
          <w:rFonts w:cs="Times New Roman"/>
        </w:rPr>
        <w:t xml:space="preserve"> chapter level because we examine the effect of origin-rules on knitted and woven garments in HS chapter 61 and 62</w:t>
      </w:r>
    </w:p>
    <w:p w14:paraId="75A0CB2C" w14:textId="21E542C5">
      <w:pPr>
        <w:spacing w:after="0" w:line="480" w:lineRule="auto"/>
        <w:rPr>
          <w:b/>
          <w:bCs/>
        </w:rPr>
      </w:pPr>
      <w:r>
        <w:rPr>
          <w:b/>
          <w:bCs/>
        </w:rPr>
        <w:t xml:space="preserve">5.3 </w:t>
      </w:r>
      <w:r>
        <w:rPr>
          <w:b/>
          <w:bCs/>
        </w:rPr>
        <w:t xml:space="preserve">Analytical Approach</w:t>
      </w:r>
    </w:p>
    <w:p w14:paraId="6D829220" w14:textId="27B60384">
      <w:pPr>
        <w:spacing w:after="0" w:line="480" w:lineRule="auto"/>
        <w:ind w:firstLine="720"/>
      </w:pPr>
      <w:r>
        <w:t xml:space="preserve">The pre-treatment period will be from 1989 to the year each country was declared eligible for the LDC Special Rule under AGOA. During this time, the garment export performance of eligible countries will be observed before the policy intervention.</w:t>
      </w:r>
      <w:r>
        <w:t xml:space="preserve"> </w:t>
      </w:r>
      <w:r>
        <w:t xml:space="preserve">The post-treatment period will cover the years after each country</w:t>
      </w:r>
      <w:r>
        <w:t xml:space="preserve">’</w:t>
      </w:r>
      <w:r>
        <w:t xml:space="preserve">s eligibility for the LDC Special Rule until 2024.</w:t>
      </w:r>
      <w:r>
        <w:t xml:space="preserve"> </w:t>
      </w:r>
      <w:r>
        <w:t xml:space="preserve">Synthetic Control Construction: Using SCM, a weighted combination of control units will be used to construct a synthetic version of each treated country, representing what the country</w:t>
      </w:r>
      <w:r>
        <w:t xml:space="preserve">’</w:t>
      </w:r>
      <w:r>
        <w:t xml:space="preserve">s export performance would have been without the LDC Special Rule.</w:t>
      </w:r>
      <w:r>
        <w:t xml:space="preserve"> </w:t>
      </w:r>
      <w:r>
        <w:t xml:space="preserve">The difference between the actual </w:t>
      </w:r>
      <w:r>
        <w:t xml:space="preserve">export performance of each treated country and its synthetic counterpart will provide the estimated impact of the LDC Special Rule on garment exports.</w:t>
      </w:r>
    </w:p>
    <w:p w14:paraId="5E30D955" w14:textId="1E3C50E5">
      <w:pPr>
        <w:rPr>
          <w:b/>
          <w:bCs/>
        </w:rPr>
      </w:pPr>
      <w:r>
        <w:rPr>
          <w:b/>
          <w:bCs/>
        </w:rPr>
        <w:t xml:space="preserve">5.4 Model Specification</w:t>
      </w:r>
    </w:p>
    <w:bookmarkStart w:id="0" w:name="_Hlk191728015"/>
    <w:p w14:paraId="16015E5E" w14:textId="115FA886">
      <w:pPr>
        <w:rPr>
          <w:b/>
          <w:bCs/>
        </w:rPr>
      </w:pPr>
      <m:oMath>
        <m:sSubSup>
          <m:sSubSupPr>
            <m:ctrlPr>
              <w:rPr>
                <w:rFonts w:ascii="Cambria Math" w:hAnsi="Cambria Math"/>
                <w:b/>
                <w:bCs/>
                <w:i/>
              </w:rPr>
            </m:ctrlPr>
          </m:sSubSupPr>
          <m:e>
            <m:r>
              <m:rPr>
                <m:sty m:val="bi"/>
              </m:rPr>
              <w:rPr>
                <w:rFonts w:ascii="Cambria Math" w:hAnsi="Cambria Math"/>
              </w:rPr>
              <m:t>Y</m:t>
            </m:r>
          </m:e>
          <m:sub>
            <m:r>
              <m:rPr>
                <m:sty m:val="bi"/>
              </m:rPr>
              <w:rPr>
                <w:rFonts w:ascii="Cambria Math" w:hAnsi="Cambria Math"/>
              </w:rPr>
              <m:t>it  </m:t>
            </m:r>
          </m:sub>
          <m:sup>
            <m:r>
              <m:rPr>
                <m:sty m:val="bi"/>
              </m:rPr>
              <w:rPr>
                <w:rFonts w:ascii="Cambria Math" w:hAnsi="Cambria Math"/>
              </w:rPr>
              <m:t>N</m:t>
            </m:r>
          </m:sup>
        </m:sSubSup>
      </m:oMath>
      <w:bookmarkEnd w:id="0"/>
      <w:r>
        <w:rPr>
          <w:b/>
          <w:bCs/>
        </w:rPr>
        <w:t xml:space="preserve">-</w:t>
      </w:r>
      <w:r>
        <w:t xml:space="preserve">The counterfactual outcome (garment exports) for country i at time t, if the country had not been exposed to AGOA’s LDC Special Rule for Apparel.</w:t>
      </w:r>
    </w:p>
    <w:p w14:paraId="2DBF24EE" w14:textId="2307D217">
      <w:pPr>
        <w:rPr>
          <w:rFonts w:eastAsiaTheme="minorEastAsia"/>
        </w:rPr>
      </w:pPr>
      <m:oMath>
        <m:sSubSup>
          <m:sSubSupPr>
            <m:ctrlPr>
              <w:rPr>
                <w:rFonts w:ascii="Cambria Math" w:hAnsi="Cambria Math"/>
                <w:b/>
                <w:bCs/>
                <w:i/>
              </w:rPr>
            </m:ctrlPr>
          </m:sSubSupPr>
          <m:e>
            <m:r>
              <m:rPr>
                <m:sty m:val="bi"/>
              </m:rPr>
              <w:rPr>
                <w:rFonts w:ascii="Cambria Math" w:hAnsi="Cambria Math"/>
              </w:rPr>
              <m:t>Y</m:t>
            </m:r>
          </m:e>
          <m:sub>
            <m:r>
              <m:rPr>
                <m:sty m:val="bi"/>
              </m:rPr>
              <w:rPr>
                <w:rFonts w:ascii="Cambria Math" w:hAnsi="Cambria Math"/>
              </w:rPr>
              <m:t>it  </m:t>
            </m:r>
          </m:sub>
          <m:sup>
            <m:r>
              <m:rPr>
                <m:sty m:val="bi"/>
              </m:rPr>
              <w:rPr>
                <w:rFonts w:ascii="Cambria Math" w:hAnsi="Cambria Math"/>
              </w:rPr>
              <m:t>I</m:t>
            </m:r>
          </m:sup>
        </m:sSubSup>
      </m:oMath>
      <w:r>
        <w:rPr>
          <w:rFonts w:eastAsiaTheme="minorEastAsia"/>
          <w:b/>
          <w:bCs/>
        </w:rPr>
        <w:t xml:space="preserve">-</w:t>
      </w:r>
      <w:r>
        <w:rPr>
          <w:rFonts w:eastAsiaTheme="minorEastAsia"/>
        </w:rPr>
        <w:t xml:space="preserve">T</w:t>
      </w:r>
      <w:r>
        <w:rPr>
          <w:rFonts w:eastAsiaTheme="minorEastAsia"/>
        </w:rPr>
        <w:t xml:space="preserve">he</w:t>
      </w:r>
      <w:r>
        <w:rPr>
          <w:rFonts w:eastAsiaTheme="minorEastAsia"/>
        </w:rPr>
        <w:t xml:space="preserve"> </w:t>
      </w:r>
      <w:r>
        <w:rPr>
          <w:rFonts w:eastAsiaTheme="minorEastAsia"/>
        </w:rPr>
        <w:t xml:space="preserve">observed outcome (garment exports) for country i at time t, when the country is exposed to AGOA’s LDC Special Rule for Apparel.</w:t>
      </w:r>
    </w:p>
    <w:p w14:paraId="4D7EEFFA" w14:textId="39A3516F">
      <w:pPr>
        <w:rPr>
          <w:rFonts w:eastAsiaTheme="minorEastAsia"/>
        </w:rPr>
      </w:pPr>
      <m:oMath>
        <m:sSub>
          <m:sSubPr>
            <m:ctrlPr>
              <w:rPr>
                <w:rFonts w:ascii="Cambria Math" w:hAnsi="Cambria Math" w:eastAsiaTheme="minorEastAsia"/>
                <w:b/>
                <w:bCs/>
                <w:i/>
              </w:rPr>
            </m:ctrlPr>
          </m:sSubPr>
          <m:e>
            <m:r>
              <m:rPr>
                <m:sty m:val="bi"/>
              </m:rPr>
              <w:rPr>
                <w:rFonts w:ascii="Cambria Math" w:hAnsi="Cambria Math" w:eastAsiaTheme="minorEastAsia"/>
              </w:rPr>
              <m:t>D</m:t>
            </m:r>
          </m:e>
          <m:sub>
            <m:r>
              <m:rPr>
                <m:sty m:val="bi"/>
              </m:rPr>
              <w:rPr>
                <w:rFonts w:ascii="Cambria Math" w:hAnsi="Cambria Math" w:eastAsiaTheme="minorEastAsia"/>
              </w:rPr>
              <m:t>it</m:t>
            </m:r>
          </m:sub>
        </m:sSub>
      </m:oMath>
      <w:r>
        <w:rPr>
          <w:rFonts w:eastAsiaTheme="minorEastAsia"/>
          <w:b/>
          <w:bCs/>
        </w:rPr>
        <w:t xml:space="preserve">-</w:t>
      </w:r>
      <w:r>
        <w:rPr>
          <w:rFonts w:eastAsiaTheme="minorEastAsia"/>
        </w:rPr>
        <w:t xml:space="preserve"> </w:t>
      </w:r>
      <w:r>
        <w:rPr>
          <w:rFonts w:eastAsiaTheme="minorEastAsia"/>
        </w:rPr>
        <w:t xml:space="preserve">The treatment indicator, which equals </w:t>
      </w:r>
      <w:r>
        <w:rPr>
          <w:rFonts w:eastAsiaTheme="minorEastAsia"/>
        </w:rPr>
        <w:t xml:space="preserve">unity</w:t>
      </w:r>
      <w:r>
        <w:rPr>
          <w:rFonts w:eastAsiaTheme="minorEastAsia"/>
        </w:rPr>
        <w:t xml:space="preserve"> if country i is eligible for the LDC Special Rule at time t, and 0 otherwise</w:t>
      </w:r>
      <w:r>
        <w:rPr>
          <w:rFonts w:eastAsiaTheme="minorEastAsia"/>
        </w:rPr>
        <w:t xml:space="preserve">.</w:t>
      </w:r>
    </w:p>
    <w:p w14:paraId="0F07E217" w14:textId="38AF8A8B">
      <w:pPr>
        <w:rPr>
          <w:rFonts w:eastAsiaTheme="minorEastAsia"/>
        </w:rPr>
      </w:pPr>
      <m:oMath>
        <m:r>
          <w:rPr>
            <w:rFonts w:ascii="Cambria Math" w:hAnsi="Cambria Math"/>
          </w:rPr>
          <m:t>Treatment Effect=</m:t>
        </m:r>
      </m:oMath>
      <w:r>
        <w:rPr>
          <w:rFonts w:eastAsiaTheme="minorEastAsia"/>
        </w:rPr>
        <w:t xml:space="preserve"> </w:t>
      </w:r>
      <m:oMath>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Y</m:t>
                </m:r>
              </m:e>
              <m:sub>
                <m:r>
                  <w:rPr>
                    <w:rFonts w:ascii="Cambria Math" w:hAnsi="Cambria Math"/>
                  </w:rPr>
                  <m:t>it  </m:t>
                </m:r>
              </m:sub>
              <m:sup>
                <m:r>
                  <w:rPr>
                    <w:rFonts w:ascii="Cambria Math" w:hAnsi="Cambria Math"/>
                  </w:rPr>
                  <m:t>I</m:t>
                </m:r>
              </m:sup>
            </m:sSubSup>
            <m:r>
              <w:rPr>
                <w:rFonts w:ascii="Cambria Math" w:hAnsi="Cambria Math"/>
              </w:rPr>
              <m:t>-Y</m:t>
            </m:r>
          </m:e>
          <m:sub>
            <m:r>
              <w:rPr>
                <w:rFonts w:ascii="Cambria Math" w:hAnsi="Cambria Math"/>
              </w:rPr>
              <m:t>it  </m:t>
            </m:r>
          </m:sub>
          <m:sup>
            <m:r>
              <w:rPr>
                <w:rFonts w:ascii="Cambria Math" w:hAnsi="Cambria Math"/>
              </w:rPr>
              <m:t>N</m:t>
            </m:r>
          </m:sup>
        </m:sSubSup>
      </m:oMath>
    </w:p>
    <w:p w14:paraId="17559DFB" w14:textId="40C9699D">
      <w:pPr>
        <w:spacing w:after="0" w:line="480" w:lineRule="auto"/>
        <w:rPr>
          <w:b/>
          <w:bCs/>
        </w:rPr>
      </w:pPr>
      <w:r>
        <w:rPr>
          <w:b/>
          <w:bCs/>
        </w:rPr>
        <w:t xml:space="preserve">5.4.1 </w:t>
      </w:r>
      <w:r>
        <w:rPr>
          <w:b/>
          <w:bCs/>
        </w:rPr>
        <w:t xml:space="preserve">Pre-Treatment Period (1989 to AGOA Eligibility Year)</w:t>
      </w:r>
    </w:p>
    <w:p w14:paraId="4A9A5E28" w14:textId="313016AD">
      <w:pPr>
        <w:spacing w:after="0" w:line="480" w:lineRule="auto"/>
        <w:ind w:firstLine="720"/>
      </w:pPr>
      <w:r>
        <w:t xml:space="preserve">In the pre-treatment period (before a country becomes eligible for the LDC Special Rule for Apparel), the export levels of eligible countries can be modeled as a weighted average of export levels from the synthetic control group (countries not treated with the LDC Special Rule). Let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t xml:space="preserve"> </w:t>
      </w:r>
      <w:r>
        <w:t xml:space="preserve">be the weight assigned to country j in the synthetic control group, such that:</w:t>
      </w:r>
    </w:p>
    <w:p w14:paraId="0D681DD5" w14:textId="4FB5C85E">
      <w:pPr>
        <w:spacing w:after="0" w:line="480" w:lineRule="auto"/>
        <w:rPr>
          <w:rFonts w:eastAsiaTheme="minorEastAsia"/>
        </w:rPr>
      </w:pPr>
      <m:oMathPara>
        <m:oMathParaPr>
          <m:jc m:val="left"/>
        </m:oMathParaPr>
        <m:oMath>
          <m:sSubSup>
            <m:sSubSupPr>
              <m:ctrlPr>
                <w:rPr>
                  <w:rFonts w:ascii="Cambria Math" w:hAnsi="Cambria Math"/>
                  <w:i/>
                </w:rPr>
              </m:ctrlPr>
            </m:sSubSupPr>
            <m:e>
              <m:r>
                <w:rPr>
                  <w:rFonts w:ascii="Cambria Math" w:hAnsi="Cambria Math"/>
                </w:rPr>
                <m:t>Y</m:t>
              </m:r>
            </m:e>
            <m:sub>
              <m:r>
                <w:rPr>
                  <w:rFonts w:ascii="Cambria Math" w:hAnsi="Cambria Math"/>
                </w:rPr>
                <m:t>it </m:t>
              </m:r>
            </m:sub>
            <m:sup>
              <m:r>
                <w:rPr>
                  <w:rFonts w:ascii="Cambria Math" w:hAnsi="Cambria Math"/>
                </w:rPr>
                <m:t>N</m:t>
              </m:r>
            </m:sup>
          </m:sSubSup>
          <m:r>
            <w:rPr>
              <w:rFonts w:ascii="Cambria Math" w:hAnsi="Cambria Math"/>
            </w:rPr>
            <m:t>=</m:t>
          </m:r>
          <m:nary>
            <m:naryPr>
              <m:chr m:val="∑"/>
              <m:ctrlPr>
                <w:rPr>
                  <w:rFonts w:ascii="Cambria Math" w:hAnsi="Cambria Math"/>
                  <w:i/>
                </w:rPr>
              </m:ctrlPr>
              <m:limLoc m:val="undOvr"/>
            </m:naryPr>
            <m:sub>
              <m:r>
                <w:rPr>
                  <w:rFonts w:ascii="Cambria Math" w:hAnsi="Cambria Math"/>
                </w:rPr>
                <m:t>j=1</m:t>
              </m:r>
            </m:sub>
            <m:sup>
              <m:r>
                <w:rPr>
                  <w:rFonts w:ascii="Cambria Math" w:hAnsi="Cambria Math"/>
                </w:rPr>
                <m:t>J</m:t>
              </m:r>
            </m:sup>
            <m:e>
              <m:sSub>
                <m:sSubPr>
                  <m:ctrlPr>
                    <w:rPr>
                      <w:rFonts w:ascii="Cambria Math" w:hAnsi="Cambria Math"/>
                      <w:i/>
                    </w:rPr>
                  </m:ctrlPr>
                </m:sSubPr>
                <m:e>
                  <m:r>
                    <w:rPr>
                      <w:rFonts w:ascii="Cambria Math" w:hAnsi="Cambria Math"/>
                    </w:rPr>
                    <m:t>W</m:t>
                  </m:r>
                </m:e>
                <m:sub>
                  <m:r>
                    <w:rPr>
                      <w:rFonts w:ascii="Cambria Math" w:hAnsi="Cambria Math"/>
                    </w:rPr>
                    <m:t>j </m:t>
                  </m:r>
                </m:sub>
              </m:sSub>
            </m:e>
          </m:nary>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jt </m:t>
              </m:r>
            </m:sub>
          </m:sSub>
        </m:oMath>
      </m:oMathPara>
    </w:p>
    <w:p w14:paraId="1347CEE9" w14:textId="4526C5F0">
      <w:pPr>
        <w:spacing w:after="0" w:line="480" w:lineRule="auto"/>
      </w:pPr>
      <w:r>
        <w:t xml:space="preserve">Where:</w:t>
      </w:r>
    </w:p>
    <w:p w14:paraId="59847C46" w14:textId="779EA009">
      <w:pPr>
        <w:pStyle w:val="ListParagraph"/>
        <w:numPr>
          <w:ilvl w:val="0"/>
          <w:numId w:val="13"/>
        </w:numPr>
        <w:spacing w:after="0" w:line="480" w:lineRule="auto"/>
      </w:pPr>
      <m:oMath>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 </m:t>
        </m:r>
      </m:oMath>
      <w:r>
        <w:t xml:space="preserve">are weights for each country j in the control group, chosen to best match the pre-treatment export trends of the treated country i.</w:t>
      </w:r>
    </w:p>
    <w:p w14:paraId="20D6D689" w14:textId="67483F42">
      <w:pPr>
        <w:pStyle w:val="ListParagraph"/>
        <w:numPr>
          <w:ilvl w:val="0"/>
          <w:numId w:val="13"/>
        </w:numPr>
        <w:spacing w:after="0" w:line="480" w:lineRule="auto"/>
      </w:pPr>
      <m:oMath>
        <m:sSub>
          <m:sSubPr>
            <m:ctrlPr>
              <w:rPr>
                <w:rFonts w:ascii="Cambria Math" w:hAnsi="Cambria Math"/>
                <w:i/>
              </w:rPr>
            </m:ctrlPr>
          </m:sSubPr>
          <m:e>
            <m:r>
              <w:rPr>
                <w:rFonts w:ascii="Cambria Math" w:hAnsi="Cambria Math"/>
              </w:rPr>
              <m:t>Y</m:t>
            </m:r>
          </m:e>
          <m:sub>
            <m:r>
              <w:rPr>
                <w:rFonts w:ascii="Cambria Math" w:hAnsi="Cambria Math"/>
              </w:rPr>
              <m:t>j</m:t>
            </m:r>
            <m:r>
              <w:rPr>
                <w:rFonts w:ascii="Cambria Math" w:hAnsi="Cambria Math"/>
              </w:rPr>
              <m:t>t</m:t>
            </m:r>
          </m:sub>
        </m:sSub>
        <m:r>
          <w:rPr>
            <w:rFonts w:ascii="Cambria Math" w:hAnsi="Cambria Math"/>
          </w:rPr>
          <m:t> </m:t>
        </m:r>
      </m:oMath>
      <w:r>
        <w:t xml:space="preserve">is the export performance of control country j at time t</w:t>
      </w:r>
    </w:p>
    <w:p w14:paraId="65319BF7" w14:textId="21A4B2A1">
      <w:pPr>
        <w:pStyle w:val="ListParagraph"/>
        <w:numPr>
          <w:ilvl w:val="0"/>
          <w:numId w:val="13"/>
        </w:numPr>
        <w:spacing w:after="0" w:line="480" w:lineRule="auto"/>
      </w:pPr>
      <w:r>
        <w:t xml:space="preserve">The weights </w:t>
      </w:r>
      <m:oMath>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 </m:t>
        </m:r>
      </m:oMath>
      <w:r>
        <w:t xml:space="preserve">are determined by minimizing the distance between the treated country’s export trend and the weighted average export trend of the control countries in the pre-treatment period.</w:t>
      </w:r>
    </w:p>
    <w:p w14:paraId="0AE29BEA" w14:textId="228C63D6">
      <w:pPr>
        <w:spacing w:after="0" w:line="480" w:lineRule="auto"/>
        <w:rPr>
          <w:b/>
          <w:bCs/>
        </w:rPr>
      </w:pPr>
      <w:r>
        <w:rPr>
          <w:b/>
          <w:bCs/>
        </w:rPr>
        <w:t xml:space="preserve">5.4.</w:t>
      </w:r>
      <w:r>
        <w:rPr>
          <w:b/>
          <w:bCs/>
        </w:rPr>
        <w:t xml:space="preserve">2</w:t>
      </w:r>
      <w:r>
        <w:rPr>
          <w:b/>
          <w:bCs/>
        </w:rPr>
        <w:t xml:space="preserve"> </w:t>
      </w:r>
      <w:r>
        <w:rPr>
          <w:b/>
          <w:bCs/>
        </w:rPr>
        <w:t xml:space="preserve">Post-Treatment Period (AGOA Eligibility Year to 2024)</w:t>
      </w:r>
    </w:p>
    <w:p w14:paraId="3B87DA44" w14:textId="6145187D">
      <w:pPr>
        <w:spacing w:after="0" w:line="480" w:lineRule="auto"/>
        <w:ind w:firstLine="720"/>
      </w:pPr>
      <w:r>
        <w:t xml:space="preserve">After treatment (after the country becomes eligible for the LDC Special Rule), the observed outcome for the treated country </w:t>
      </w:r>
      <m:oMath>
        <m:sSubSup>
          <m:sSubSupPr>
            <m:ctrlPr>
              <w:rPr>
                <w:rFonts w:ascii="Cambria Math" w:hAnsi="Cambria Math"/>
                <w:i/>
              </w:rPr>
            </m:ctrlPr>
          </m:sSubSupPr>
          <m:e>
            <m:r>
              <w:rPr>
                <w:rFonts w:ascii="Cambria Math" w:hAnsi="Cambria Math"/>
              </w:rPr>
              <m:t>Y</m:t>
            </m:r>
          </m:e>
          <m:sub>
            <m:r>
              <w:rPr>
                <w:rFonts w:ascii="Cambria Math" w:hAnsi="Cambria Math"/>
              </w:rPr>
              <m:t>it  </m:t>
            </m:r>
          </m:sub>
          <m:sup>
            <m:r>
              <w:rPr>
                <w:rFonts w:ascii="Cambria Math" w:hAnsi="Cambria Math"/>
              </w:rPr>
              <m:t>I</m:t>
            </m:r>
          </m:sup>
        </m:sSubSup>
      </m:oMath>
      <w:r>
        <w:t xml:space="preserve">is compared with the counterfactual estimate</w:t>
      </w:r>
      <w:r>
        <w:t xml:space="preserve"> </w:t>
      </w:r>
      <m:oMath>
        <m:sSubSup>
          <m:sSubSupPr>
            <m:ctrlPr>
              <w:rPr>
                <w:rFonts w:ascii="Cambria Math" w:hAnsi="Cambria Math"/>
                <w:i/>
              </w:rPr>
            </m:ctrlPr>
          </m:sSubSupPr>
          <m:e>
            <m:r>
              <w:rPr>
                <w:rFonts w:ascii="Cambria Math" w:hAnsi="Cambria Math"/>
              </w:rPr>
              <m:t>Y</m:t>
            </m:r>
          </m:e>
          <m:sub>
            <m:r>
              <w:rPr>
                <w:rFonts w:ascii="Cambria Math" w:hAnsi="Cambria Math"/>
              </w:rPr>
              <m:t>it  </m:t>
            </m:r>
          </m:sub>
          <m:sup>
            <m:r>
              <w:rPr>
                <w:rFonts w:ascii="Cambria Math" w:hAnsi="Cambria Math"/>
              </w:rPr>
              <m:t>N</m:t>
            </m:r>
          </m:sup>
        </m:sSubSup>
      </m:oMath>
      <w:r>
        <w:t xml:space="preserve">derived from the synthetic control group. The difference between the observed exports and the synthetic control is the treatment effect, which estimates the impact of the LDC Special Rule for Apparel.</w:t>
      </w:r>
    </w:p>
    <w:p w14:paraId="706BB8FF" w14:textId="79277733">
      <w:pPr>
        <w:spacing w:after="0" w:line="480" w:lineRule="auto"/>
        <w:rPr>
          <w:b/>
          <w:bCs/>
        </w:rPr>
      </w:pPr>
      <w:r>
        <w:rPr>
          <w:b/>
          <w:bCs/>
        </w:rPr>
        <w:t xml:space="preserve">5.4.3 Estimating Treatment Effects</w:t>
      </w:r>
    </w:p>
    <w:p w14:paraId="0A9EDFBA" w14:textId="2B69B049">
      <w:pPr>
        <w:spacing w:after="0" w:line="480" w:lineRule="auto"/>
        <w:ind w:firstLine="720"/>
      </w:pPr>
      <w:r>
        <w:t xml:space="preserve">For each treated country, the treatment effect at time t after receiving the LDC Special Rule is given by:</w:t>
      </w:r>
    </w:p>
    <w:p w14:paraId="0FE68DFB" w14:textId="39A3DB68">
      <w:pPr>
        <w:spacing w:after="0" w:line="480" w:lineRule="auto"/>
        <w:rPr>
          <w:rFonts w:eastAsiaTheme="minorEastAsia"/>
        </w:rPr>
      </w:pPr>
      <m:oMathPara>
        <m:oMathParaPr>
          <m:jc m:val="left"/>
        </m:oMathParaPr>
        <m:oMath>
          <m:sSub>
            <m:sSubPr>
              <m:ctrlPr>
                <w:rPr>
                  <w:rFonts w:ascii="Cambria Math" w:hAnsi="Cambria Math"/>
                  <w:i/>
                </w:rPr>
              </m:ctrlPr>
            </m:sSubPr>
            <m:e>
              <m:r>
                <w:rPr>
                  <w:rFonts w:ascii="Cambria Math" w:hAnsi="Cambria Math"/>
                </w:rPr>
                <m:t>T</m:t>
              </m:r>
            </m:e>
            <m:sub>
              <m:r>
                <w:rPr>
                  <w:rFonts w:ascii="Cambria Math" w:hAnsi="Cambria Math"/>
                </w:rPr>
                <m:t>it</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it </m:t>
              </m:r>
            </m:sub>
            <m:sup>
              <m:r>
                <w:rPr>
                  <w:rFonts w:ascii="Cambria Math" w:hAnsi="Cambria Math"/>
                </w:rPr>
                <m:t>I</m:t>
              </m:r>
            </m:sup>
          </m:sSubSup>
          <m:r>
            <w:rPr>
              <w:rFonts w:ascii="Cambria Math" w:hAnsi="Cambria Math"/>
            </w:rPr>
            <m:t>-</m:t>
          </m:r>
          <m:nary>
            <m:naryPr>
              <m:chr m:val="∑"/>
              <m:ctrlPr>
                <w:rPr>
                  <w:rFonts w:ascii="Cambria Math" w:hAnsi="Cambria Math"/>
                  <w:i/>
                </w:rPr>
              </m:ctrlPr>
              <m:limLoc m:val="undOvr"/>
            </m:naryPr>
            <m:sub>
              <m:r>
                <w:rPr>
                  <w:rFonts w:ascii="Cambria Math" w:hAnsi="Cambria Math"/>
                </w:rPr>
                <m:t>j=1</m:t>
              </m:r>
            </m:sub>
            <m:sup>
              <m:r>
                <w:rPr>
                  <w:rFonts w:ascii="Cambria Math" w:hAnsi="Cambria Math"/>
                </w:rPr>
                <m:t>J</m:t>
              </m:r>
            </m:sup>
            <m:e>
              <m:sSub>
                <m:sSubPr>
                  <m:ctrlPr>
                    <w:rPr>
                      <w:rFonts w:ascii="Cambria Math" w:hAnsi="Cambria Math"/>
                      <w:i/>
                    </w:rPr>
                  </m:ctrlPr>
                </m:sSubPr>
                <m:e>
                  <m:r>
                    <w:rPr>
                      <w:rFonts w:ascii="Cambria Math" w:hAnsi="Cambria Math"/>
                    </w:rPr>
                    <m:t>W</m:t>
                  </m:r>
                </m:e>
                <m:sub>
                  <m:r>
                    <w:rPr>
                      <w:rFonts w:ascii="Cambria Math" w:hAnsi="Cambria Math"/>
                    </w:rPr>
                    <m:t>j </m:t>
                  </m:r>
                </m:sub>
              </m:sSub>
            </m:e>
          </m:nary>
          <m:sSub>
            <m:sSubPr>
              <m:ctrlPr>
                <w:rPr>
                  <w:rFonts w:ascii="Cambria Math" w:hAnsi="Cambria Math"/>
                  <w:i/>
                </w:rPr>
              </m:ctrlPr>
            </m:sSubPr>
            <m:e>
              <m:r>
                <w:rPr>
                  <w:rFonts w:ascii="Cambria Math" w:hAnsi="Cambria Math"/>
                </w:rPr>
                <m:t>Y</m:t>
              </m:r>
            </m:e>
            <m:sub>
              <m:r>
                <w:rPr>
                  <w:rFonts w:ascii="Cambria Math" w:hAnsi="Cambria Math"/>
                </w:rPr>
                <m:t>jt </m:t>
              </m:r>
            </m:sub>
          </m:sSub>
        </m:oMath>
      </m:oMathPara>
    </w:p>
    <w:p w14:paraId="5A95DC9D" w14:textId="77777777">
      <w:pPr>
        <w:spacing w:after="0" w:line="480" w:lineRule="auto"/>
      </w:pPr>
      <w:r>
        <w:t xml:space="preserve">Where:</w:t>
      </w:r>
    </w:p>
    <w:p w14:paraId="286F4957" w14:textId="44C42D4E">
      <w:pPr>
        <w:pStyle w:val="ListParagraph"/>
        <w:numPr>
          <w:ilvl w:val="0"/>
          <w:numId w:val="13"/>
        </w:numPr>
        <w:spacing w:after="0" w:line="480" w:lineRule="auto"/>
      </w:pPr>
      <m:oMath>
        <m:sSub>
          <m:sSubPr>
            <m:ctrlPr>
              <w:rPr>
                <w:rFonts w:ascii="Cambria Math" w:hAnsi="Cambria Math"/>
                <w:i/>
              </w:rPr>
            </m:ctrlPr>
          </m:sSubPr>
          <m:e>
            <m:r>
              <w:rPr>
                <w:rFonts w:ascii="Cambria Math" w:hAnsi="Cambria Math"/>
              </w:rPr>
              <m:t>T</m:t>
            </m:r>
          </m:e>
          <m:sub>
            <m:r>
              <w:rPr>
                <w:rFonts w:ascii="Cambria Math" w:hAnsi="Cambria Math"/>
              </w:rPr>
              <m:t>it</m:t>
            </m:r>
          </m:sub>
        </m:sSub>
        <m:r>
          <w:rPr>
            <w:rFonts w:ascii="Cambria Math" w:hAnsi="Cambria Math"/>
          </w:rPr>
          <m:t> </m:t>
        </m:r>
        <m:r>
          <m:rPr>
            <m:sty m:val="p"/>
          </m:rPr>
          <w:rPr>
            <w:rFonts w:ascii="Cambria Math" w:hAnsi="Cambria Math"/>
          </w:rPr>
          <m:t>​ is the estimated treatment effect for country i at time t</m:t>
        </m:r>
        <m:r>
          <w:rPr>
            <w:rFonts w:ascii="Cambria Math" w:hAnsi="Cambria Math"/>
          </w:rPr>
          <m:t>.</m:t>
        </m:r>
      </m:oMath>
    </w:p>
    <w:p w14:paraId="496C88FD" w14:textId="119C3915">
      <w:pPr>
        <w:pStyle w:val="ListParagraph"/>
        <w:numPr>
          <w:ilvl w:val="0"/>
          <w:numId w:val="13"/>
        </w:numPr>
        <w:spacing w:after="0" w:line="480" w:lineRule="auto"/>
      </w:pPr>
      <m:oMath>
        <m:sSub>
          <m:sSubPr>
            <m:ctrlPr>
              <w:rPr>
                <w:rFonts w:ascii="Cambria Math" w:hAnsi="Cambria Math"/>
                <w:i/>
              </w:rPr>
            </m:ctrlPr>
          </m:sSubPr>
          <m:e>
            <m:r>
              <w:rPr>
                <w:rFonts w:ascii="Cambria Math" w:hAnsi="Cambria Math"/>
              </w:rPr>
              <m:t>Y</m:t>
            </m:r>
          </m:e>
          <m:sub>
            <m:r>
              <w:rPr>
                <w:rFonts w:ascii="Cambria Math" w:hAnsi="Cambria Math"/>
              </w:rPr>
              <m:t>i</m:t>
            </m:r>
            <m:r>
              <w:rPr>
                <w:rFonts w:ascii="Cambria Math" w:hAnsi="Cambria Math"/>
              </w:rPr>
              <m:t>t</m:t>
            </m:r>
          </m:sub>
        </m:sSub>
        <m:r>
          <w:rPr>
            <w:rFonts w:ascii="Cambria Math" w:hAnsi="Cambria Math"/>
          </w:rPr>
          <m:t> </m:t>
        </m:r>
      </m:oMath>
      <w:r>
        <w:t xml:space="preserve">is the </w:t>
      </w:r>
      <w:r>
        <w:t xml:space="preserve">observed outcome for the treated </w:t>
      </w:r>
      <w:r>
        <w:t xml:space="preserve">country</w:t>
      </w:r>
      <w:r>
        <w:t xml:space="preserve">.</w:t>
      </w:r>
    </w:p>
    <w:p w14:paraId="63D02F0B" w14:textId="1452701E">
      <w:pPr>
        <w:pStyle w:val="ListParagraph"/>
        <w:numPr>
          <w:ilvl w:val="0"/>
          <w:numId w:val="13"/>
        </w:numPr>
        <w:spacing w:after="0" w:line="480" w:lineRule="auto"/>
      </w:pPr>
      <m:oMath>
        <m:nary>
          <m:naryPr>
            <m:chr m:val="∑"/>
            <m:ctrlPr>
              <w:rPr>
                <w:rFonts w:ascii="Cambria Math" w:hAnsi="Cambria Math"/>
                <w:i/>
              </w:rPr>
            </m:ctrlPr>
            <m:limLoc m:val="undOvr"/>
          </m:naryPr>
          <m:sub>
            <m:r>
              <w:rPr>
                <w:rFonts w:ascii="Cambria Math" w:hAnsi="Cambria Math"/>
              </w:rPr>
              <m:t>j=1</m:t>
            </m:r>
          </m:sub>
          <m:sup>
            <m:r>
              <w:rPr>
                <w:rFonts w:ascii="Cambria Math" w:hAnsi="Cambria Math"/>
              </w:rPr>
              <m:t>J</m:t>
            </m:r>
          </m:sup>
          <m:e>
            <m:sSub>
              <m:sSubPr>
                <m:ctrlPr>
                  <w:rPr>
                    <w:rFonts w:ascii="Cambria Math" w:hAnsi="Cambria Math"/>
                    <w:i/>
                  </w:rPr>
                </m:ctrlPr>
              </m:sSubPr>
              <m:e>
                <m:r>
                  <w:rPr>
                    <w:rFonts w:ascii="Cambria Math" w:hAnsi="Cambria Math"/>
                  </w:rPr>
                  <m:t>W</m:t>
                </m:r>
              </m:e>
              <m:sub>
                <m:r>
                  <w:rPr>
                    <w:rFonts w:ascii="Cambria Math" w:hAnsi="Cambria Math"/>
                  </w:rPr>
                  <m:t>j </m:t>
                </m:r>
              </m:sub>
            </m:sSub>
          </m:e>
        </m:nary>
        <m:sSub>
          <m:sSubPr>
            <m:ctrlPr>
              <w:rPr>
                <w:rFonts w:ascii="Cambria Math" w:hAnsi="Cambria Math"/>
                <w:i/>
              </w:rPr>
            </m:ctrlPr>
          </m:sSubPr>
          <m:e>
            <m:r>
              <w:rPr>
                <w:rFonts w:ascii="Cambria Math" w:hAnsi="Cambria Math"/>
              </w:rPr>
              <m:t>Y</m:t>
            </m:r>
          </m:e>
          <m:sub>
            <m:r>
              <w:rPr>
                <w:rFonts w:ascii="Cambria Math" w:hAnsi="Cambria Math"/>
              </w:rPr>
              <m:t>jt </m:t>
            </m:r>
          </m:sub>
        </m:sSub>
      </m:oMath>
      <w:r>
        <w:t xml:space="preserve">i</w:t>
      </w:r>
      <w:r>
        <w:t xml:space="preserve">s the estimated counterfactual outcome based on the weighted combination of control countries.</w:t>
      </w:r>
    </w:p>
    <w:p w14:paraId="4B096394" w14:textId="42CBBB17">
      <w:pPr>
        <w:spacing w:after="0" w:line="480" w:lineRule="auto"/>
      </w:pPr>
      <w:r>
        <w:t xml:space="preserve">The overall impact of AGOA’s LDC Special Rule for Apparel on garment exports will be assessed by aggregating the treatment effects across all treated countries and time periods in the post-treatment period. This will provide a comprehensive view of the</w:t>
      </w:r>
      <w:r>
        <w:t xml:space="preserve"> effect of the</w:t>
      </w:r>
      <w:r>
        <w:t xml:space="preserve"> LDC Special Rule on exports.</w:t>
      </w:r>
    </w:p>
    <w:p w14:paraId="7BF14650" w14:textId="3ADD0C4D">
      <w:pPr>
        <w:jc w:val="center"/>
        <w:rPr>
          <w:b/>
          <w:bCs/>
        </w:rPr>
      </w:pPr>
      <w:r>
        <w:rPr>
          <w:b/>
          <w:bCs/>
        </w:rPr>
        <w:t xml:space="preserve">6. Estimation Results</w:t>
      </w:r>
    </w:p>
    <w:p w14:paraId="6D5A96B3" w14:textId="77777777">
      <w:pPr>
        <w:rPr>
          <w:b/>
          <w:bCs/>
        </w:rPr>
      </w:pPr>
    </w:p>
    <w:p w14:paraId="4A45A8E7" w14:textId="77777777">
      <w:pPr>
        <w:rPr>
          <w:b/>
          <w:bCs/>
        </w:rPr>
      </w:pPr>
    </w:p>
    <w:p w14:paraId="4BADB26B" w14:textId="77777777">
      <w:pPr>
        <w:rPr>
          <w:b/>
          <w:bCs/>
        </w:rPr>
      </w:pPr>
    </w:p>
    <w:p w14:paraId="1A784DEE" w14:textId="77777777">
      <w:pPr>
        <w:rPr>
          <w:b/>
          <w:bCs/>
        </w:rPr>
      </w:pPr>
    </w:p>
    <w:p w14:paraId="64A08CEA" w14:textId="77777777">
      <w:pPr>
        <w:rPr>
          <w:b/>
          <w:bCs/>
        </w:rPr>
      </w:pPr>
    </w:p>
    <w:p w14:paraId="4579537E" w14:textId="65D83860">
      <w:pPr>
        <w:jc w:val="center"/>
        <w:rPr>
          <w:b/>
          <w:bCs/>
        </w:rPr>
      </w:pPr>
      <w:r>
        <w:rPr>
          <w:b/>
          <w:bCs/>
        </w:rPr>
        <w:t xml:space="preserve">7. </w:t>
      </w:r>
      <w:r>
        <w:rPr>
          <w:b/>
          <w:bCs/>
        </w:rPr>
        <w:t xml:space="preserve">Conclusion and Policy Recommendation</w:t>
      </w:r>
    </w:p>
    <w:p w14:paraId="4DDB1438" w14:textId="77777777">
      <w:pPr>
        <w:rPr>
          <w:b/>
          <w:bCs/>
        </w:rPr>
      </w:pPr>
    </w:p>
    <w:p w14:paraId="689FBE48" w14:textId="77777777">
      <w:pPr>
        <w:rPr>
          <w:b/>
          <w:bCs/>
        </w:rPr>
      </w:pPr>
    </w:p>
    <w:p w14:paraId="4FDE1458" w14:textId="77777777">
      <w:pPr>
        <w:rPr>
          <w:b/>
          <w:bCs/>
        </w:rPr>
      </w:pPr>
    </w:p>
    <w:p w14:paraId="6C1F2305" w14:textId="77777777">
      <w:pPr>
        <w:rPr>
          <w:b/>
          <w:bCs/>
        </w:rPr>
      </w:pPr>
    </w:p>
    <w:p w14:paraId="54AFE7B9" w14:textId="77777777"/>
    <w:p w14:paraId="0CE8B542" w14:textId="77777777"/>
    <w:p w14:paraId="6CD315C6" w14:textId="77777777"/>
    <w:p w14:paraId="3EFB69B1" w14:textId="77777777"/>
    <w:p w14:paraId="382B8082" w14:textId="77777777"/>
    <w:p w14:paraId="79EB80A8" w14:textId="77777777"/>
    <w:p w14:paraId="371E4A2B" w14:textId="77777777"/>
    <w:p w14:paraId="283F72F2" w14:textId="77777777"/>
    <w:p w14:paraId="4278493F" w14:textId="77777777"/>
    <w:p w14:paraId="364C077A" w14:textId="77777777"/>
    <w:p w14:paraId="0E6AC52B" w14:textId="77777777"/>
    <w:p w14:paraId="685E5389" w14:textId="77777777"/>
    <w:p w14:paraId="7289BA95" w14:textId="77777777"/>
    <w:p w14:paraId="224285F8" w14:textId="6707BCE6">
      <w:pPr>
        <w:jc w:val="center"/>
        <w:rPr>
          <w:b/>
          <w:bCs/>
        </w:rPr>
      </w:pPr>
      <w:r>
        <w:rPr>
          <w:b/>
          <w:bCs/>
        </w:rPr>
        <w:t xml:space="preserve">References</w:t>
      </w:r>
    </w:p>
    <w:p w14:paraId="599124FB" w14:textId="2569E4D7">
      <w:pPr>
        <w:spacing w:line="480" w:lineRule="auto"/>
        <w:ind w:hanging="720" w:left="720"/>
      </w:pPr>
      <w:r>
        <w:t xml:space="preserve">Fernandes, A. M., Forero, A., Maemir, H., &amp; Mattoo, A. (202</w:t>
      </w:r>
      <w:r>
        <w:t xml:space="preserve">1</w:t>
      </w:r>
      <w:r>
        <w:t xml:space="preserve">). Are trade preferences a Panacea? The export impact of the African growth and Opportunity Act. </w:t>
      </w:r>
      <w:r>
        <w:rPr>
          <w:i/>
          <w:iCs/>
        </w:rPr>
        <w:t xml:space="preserve">World Development</w:t>
      </w:r>
      <w:r>
        <w:t xml:space="preserve">, </w:t>
      </w:r>
      <w:r>
        <w:rPr>
          <w:i/>
          <w:iCs/>
        </w:rPr>
        <w:t xml:space="preserve">162</w:t>
      </w:r>
      <w:r>
        <w:t xml:space="preserve">, 106114. </w:t>
      </w:r>
      <w:r>
        <w:t xml:space="preserve">https://doi.org/10.1016/j.worlddev.2022.106114</w:t>
      </w:r>
      <w:r>
        <w:t xml:space="preserve">.</w:t>
      </w:r>
    </w:p>
    <w:p w14:paraId="5BD9FCA3" w14:textId="673F5BA5">
      <w:pPr>
        <w:spacing w:line="480" w:lineRule="auto"/>
        <w:ind w:hanging="720" w:left="720"/>
      </w:pPr>
      <w:r>
        <w:t xml:space="preserve">Frazer, G </w:t>
      </w:r>
      <w:r>
        <w:t xml:space="preserve">&amp;</w:t>
      </w:r>
      <w:r>
        <w:t xml:space="preserve"> Van Biesebroeck</w:t>
      </w:r>
      <w:r>
        <w:t xml:space="preserve">, J. </w:t>
      </w:r>
      <w:r>
        <w:t xml:space="preserve">(2010)</w:t>
      </w:r>
      <w:r>
        <w:t xml:space="preserve">. </w:t>
      </w:r>
      <w:r>
        <w:t xml:space="preserve">Trade </w:t>
      </w:r>
      <w:r>
        <w:t xml:space="preserve">growth </w:t>
      </w:r>
      <w:r>
        <w:t xml:space="preserve">under the African Growth and Opportunity Act</w:t>
      </w:r>
      <w:r>
        <w:t xml:space="preserve">. </w:t>
      </w:r>
      <w:r>
        <w:rPr>
          <w:i/>
          <w:iCs/>
        </w:rPr>
        <w:t xml:space="preserve">Review of Economics and Statistics</w:t>
      </w:r>
      <w:r>
        <w:t xml:space="preserve"> 92(1): 128-144.</w:t>
      </w:r>
    </w:p>
    <w:p w14:paraId="15FA5241" w14:textId="6EB65700">
      <w:pPr>
        <w:spacing w:line="480" w:lineRule="auto"/>
        <w:ind w:hanging="720" w:left="720"/>
      </w:pPr>
      <w:r>
        <w:t xml:space="preserve">Collier, P., &amp; Venables, A. J. (2007). Rethinking trade preferences: How </w:t>
      </w:r>
      <w:r>
        <w:t xml:space="preserve">Africa</w:t>
      </w:r>
      <w:r>
        <w:t xml:space="preserve"> can diversify its exports. </w:t>
      </w:r>
      <w:r>
        <w:rPr>
          <w:i/>
          <w:iCs/>
        </w:rPr>
        <w:t xml:space="preserve">The World Economy</w:t>
      </w:r>
      <w:r>
        <w:t xml:space="preserve">, </w:t>
      </w:r>
      <w:r>
        <w:rPr>
          <w:i/>
          <w:iCs/>
        </w:rPr>
        <w:t xml:space="preserve">30</w:t>
      </w:r>
      <w:r>
        <w:t xml:space="preserve">(8), 1326–1345. https://doi.org/10.1111/j.1467-9701.2007.01042.x</w:t>
      </w:r>
    </w:p>
    <w:p w14:paraId="5678350C" w14:textId="77777777">
      <w:pPr>
        <w:spacing w:line="480" w:lineRule="auto"/>
        <w:ind w:hanging="720" w:left="720"/>
      </w:pPr>
      <w:r>
        <w:t xml:space="preserve">Mattoo, A.</w:t>
      </w:r>
      <w:r>
        <w:t xml:space="preserve">,</w:t>
      </w:r>
      <w:r>
        <w:t xml:space="preserve"> Roy</w:t>
      </w:r>
      <w:r>
        <w:t xml:space="preserve">, </w:t>
      </w:r>
      <w:r>
        <w:t xml:space="preserve">D.</w:t>
      </w:r>
      <w:r>
        <w:t xml:space="preserve">, &amp; </w:t>
      </w:r>
      <w:r>
        <w:t xml:space="preserve">Subramanian, </w:t>
      </w:r>
      <w:r>
        <w:t xml:space="preserve">A. (</w:t>
      </w:r>
      <w:r>
        <w:t xml:space="preserve">2003</w:t>
      </w:r>
      <w:r>
        <w:t xml:space="preserve">)</w:t>
      </w:r>
      <w:r>
        <w:t xml:space="preserve">. The AGOA and its rules of origin: Generosity undermined?” </w:t>
      </w:r>
      <w:r>
        <w:rPr>
          <w:i/>
          <w:iCs/>
        </w:rPr>
        <w:t xml:space="preserve">The World Economy 26</w:t>
      </w:r>
      <w:r>
        <w:t xml:space="preserve">(6), 829-851.</w:t>
      </w:r>
    </w:p>
    <w:p w14:paraId="0465555B" w14:textId="77777777">
      <w:pPr>
        <w:spacing w:after="0" w:line="480" w:lineRule="auto"/>
        <w:ind w:hanging="720" w:left="720"/>
        <w:rPr>
          <w:rFonts w:cs="Times New Roman"/>
        </w:rPr>
      </w:pPr>
      <w:r>
        <w:rPr>
          <w:rFonts w:cs="Times New Roman"/>
        </w:rPr>
        <w:t xml:space="preserve">International Trade Administration</w:t>
      </w:r>
      <w:r>
        <w:rPr>
          <w:rFonts w:cs="Times New Roman"/>
        </w:rPr>
        <w:t xml:space="preserve"> </w:t>
      </w:r>
      <w:bookmarkStart w:id="1" w:name="_Hlk188792590"/>
      <w:r>
        <w:rPr>
          <w:rFonts w:cs="Times New Roman"/>
        </w:rPr>
        <w:t xml:space="preserve">(ITA)</w:t>
      </w:r>
      <w:r>
        <w:rPr>
          <w:rFonts w:cs="Times New Roman"/>
        </w:rPr>
        <w:t xml:space="preserve">. (202</w:t>
      </w:r>
      <w:r>
        <w:rPr>
          <w:rFonts w:cs="Times New Roman"/>
        </w:rPr>
        <w:t xml:space="preserve">0</w:t>
      </w:r>
      <w:r>
        <w:rPr>
          <w:rFonts w:cs="Times New Roman"/>
        </w:rPr>
        <w:t xml:space="preserve">).</w:t>
      </w:r>
      <w:r>
        <w:rPr>
          <w:rFonts w:cs="Times New Roman"/>
          <w:b/>
          <w:bCs/>
        </w:rPr>
        <w:t xml:space="preserve"> </w:t>
      </w:r>
      <w:bookmarkEnd w:id="1"/>
      <w:r>
        <w:rPr>
          <w:rFonts w:cs="Times New Roman"/>
          <w:i/>
          <w:iCs/>
        </w:rPr>
        <w:t xml:space="preserve">The textile and apparel provisions of AGOA</w:t>
      </w:r>
      <w:r>
        <w:rPr>
          <w:rFonts w:cs="Times New Roman"/>
        </w:rPr>
        <w:t xml:space="preserve">. </w:t>
      </w:r>
      <w:r>
        <w:rPr>
          <w:rFonts w:cs="Times New Roman"/>
        </w:rPr>
        <w:t xml:space="preserve">https://www.trade.gov/sites/default/files/2023-06/OTEXA%20website%20summary%20of%20AGOA%20provisions%2004_04_2019.pdf</w:t>
      </w:r>
      <w:r>
        <w:rPr>
          <w:rFonts w:cs="Times New Roman"/>
        </w:rPr>
        <w:t xml:space="preserve">.</w:t>
      </w:r>
    </w:p>
    <w:p w14:paraId="5EF8D718" w14:textId="77777777">
      <w:pPr>
        <w:spacing w:line="480" w:lineRule="auto"/>
        <w:ind w:hanging="720" w:left="720"/>
      </w:pPr>
      <w:r>
        <w:t xml:space="preserve">Kassa, W., &amp; Coulibaly, S. (2019). Revisiting the trade impact of the African Growth and Opportunity Act: A synthetic control approach. </w:t>
      </w:r>
      <w:r>
        <w:rPr>
          <w:i/>
          <w:iCs/>
        </w:rPr>
        <w:t xml:space="preserve">Policy Research Working Paper</w:t>
      </w:r>
      <w:r>
        <w:t xml:space="preserve"> 8993</w:t>
      </w:r>
      <w:r>
        <w:t xml:space="preserve">.</w:t>
      </w:r>
      <w:r>
        <w:t xml:space="preserve"> https://documents1.worldbank.org/curated/en/673071566330630943/pdf/Revisiting-the-Trade-Impact-of-the-African-Growth-and-Opportunity-Act-A-Synthetic-Control-Approach.pdf</w:t>
      </w:r>
      <w:r>
        <w:t xml:space="preserve">.</w:t>
      </w:r>
    </w:p>
    <w:p w14:paraId="664FDCA5" w14:textId="124BCFF1">
      <w:pPr>
        <w:spacing w:line="480" w:lineRule="auto"/>
        <w:ind w:hanging="720" w:left="720"/>
      </w:pPr>
      <w:r>
        <w:t xml:space="preserve">Brenton, P. </w:t>
      </w:r>
      <w:r>
        <w:t xml:space="preserve">&amp; </w:t>
      </w:r>
      <w:r>
        <w:t xml:space="preserve">Hoppe, M. (2006). The African growth and opportunity act, exports, and development in </w:t>
      </w:r>
      <w:r>
        <w:t xml:space="preserve">sub-Saharan</w:t>
      </w:r>
      <w:r>
        <w:t xml:space="preserve"> </w:t>
      </w:r>
      <w:r>
        <w:t xml:space="preserve">Africa</w:t>
      </w:r>
      <w:r>
        <w:t xml:space="preserve">. </w:t>
      </w:r>
      <w:r>
        <w:rPr>
          <w:i/>
          <w:iCs/>
        </w:rPr>
        <w:t xml:space="preserve">World Bank Policy Research Working Paper</w:t>
      </w:r>
      <w:r>
        <w:t xml:space="preserve">, 3996.</w:t>
      </w:r>
    </w:p>
    <w:p w14:paraId="77839126" w14:textId="6F81ADFD">
      <w:pPr>
        <w:spacing w:line="480" w:lineRule="auto"/>
        <w:ind w:hanging="720" w:left="720"/>
      </w:pPr>
      <w:r>
        <w:t xml:space="preserve">Brenton, P. </w:t>
      </w:r>
      <w:r>
        <w:t xml:space="preserve">&amp; </w:t>
      </w:r>
      <w:r>
        <w:t xml:space="preserve">Ikezuki, T. (2004). </w:t>
      </w:r>
      <w:r>
        <w:rPr>
          <w:i/>
          <w:iCs/>
        </w:rPr>
        <w:t xml:space="preserve">The initial and potential impact of preferential access to the US market under the African Growth and Opportunity Act</w:t>
      </w:r>
      <w:r>
        <w:t xml:space="preserve">. World Bank Publications.</w:t>
      </w:r>
    </w:p>
    <w:p w14:paraId="5EC0BD76" w14:textId="1CFF7C6F">
      <w:pPr>
        <w:spacing w:line="480" w:lineRule="auto"/>
        <w:ind w:hanging="720" w:left="720"/>
      </w:pPr>
      <w:r>
        <w:t xml:space="preserve">Frazer, G. </w:t>
      </w:r>
      <w:r>
        <w:t xml:space="preserve">&amp;</w:t>
      </w:r>
      <w:r>
        <w:t xml:space="preserve"> Van Biesebroeck, J. (2010). Trade growth under the African growth and opportunity act. </w:t>
      </w:r>
      <w:r>
        <w:rPr>
          <w:i/>
          <w:iCs/>
        </w:rPr>
        <w:t xml:space="preserve">The Review of Economics and Statistics</w:t>
      </w:r>
      <w:r>
        <w:t xml:space="preserve">, </w:t>
      </w:r>
      <w:r>
        <w:rPr>
          <w:i/>
          <w:iCs/>
        </w:rPr>
        <w:t xml:space="preserve">92</w:t>
      </w:r>
      <w:r>
        <w:t xml:space="preserve">(1)</w:t>
      </w:r>
      <w:r>
        <w:t xml:space="preserve">, </w:t>
      </w:r>
      <w:r>
        <w:t xml:space="preserve">128–144.</w:t>
      </w:r>
    </w:p>
    <w:p w14:paraId="24F29306" w14:textId="77777777">
      <w:pPr>
        <w:spacing w:after="0" w:line="480" w:lineRule="auto"/>
        <w:ind w:hanging="720" w:left="720"/>
      </w:pPr>
      <w:r>
        <w:t xml:space="preserve">Tadesse, B. </w:t>
      </w:r>
      <w:r>
        <w:t xml:space="preserve">&amp; </w:t>
      </w:r>
      <w:r>
        <w:t xml:space="preserve">Fayissa, B. (2008). The impact of African growth and opportunity act (AGOA) on us imports from sub-Saharan Africa (SSA). </w:t>
      </w:r>
      <w:r>
        <w:rPr>
          <w:i/>
          <w:iCs/>
        </w:rPr>
        <w:t xml:space="preserve">Journal of International Development</w:t>
      </w:r>
      <w:r>
        <w:t xml:space="preserve">, </w:t>
      </w:r>
      <w:r>
        <w:rPr>
          <w:i/>
          <w:iCs/>
        </w:rPr>
        <w:t xml:space="preserve">20</w:t>
      </w:r>
      <w:r>
        <w:t xml:space="preserve">(7)</w:t>
      </w:r>
      <w:r>
        <w:t xml:space="preserve">, </w:t>
      </w:r>
      <w:r>
        <w:t xml:space="preserve">920–941.</w:t>
      </w:r>
    </w:p>
    <w:p w14:paraId="08FF2620" w14:textId="77777777">
      <w:pPr>
        <w:spacing w:after="0" w:line="480" w:lineRule="auto"/>
        <w:ind w:hanging="720" w:left="720"/>
      </w:pPr>
      <w:r>
        <w:t xml:space="preserve">Mueller, T. F. (2008). The effect of the African growth and opportunity act (AGOA) on African exports to the U.S. </w:t>
      </w:r>
      <w:r>
        <w:rPr>
          <w:i/>
          <w:iCs/>
        </w:rPr>
        <w:t xml:space="preserve">Paper presented at ISA 49th Annual Conference</w:t>
      </w:r>
      <w:r>
        <w:t xml:space="preserve">.</w:t>
      </w:r>
    </w:p>
    <w:p w14:paraId="3F663E0A" w14:textId="77777777">
      <w:pPr>
        <w:spacing w:after="0" w:line="480" w:lineRule="auto"/>
        <w:ind w:hanging="720" w:left="720"/>
      </w:pPr>
      <w:r>
        <w:t xml:space="preserve">Seyoum, B. (2007). Export performance of developing countries under the Africa growth and opportunity act: Experience from US trade with sub-Saharan Africa. </w:t>
      </w:r>
      <w:r>
        <w:rPr>
          <w:i/>
          <w:iCs/>
        </w:rPr>
        <w:t xml:space="preserve">Journal of Economic Studies</w:t>
      </w:r>
      <w:r>
        <w:t xml:space="preserve">, </w:t>
      </w:r>
      <w:r>
        <w:rPr>
          <w:i/>
          <w:iCs/>
        </w:rPr>
        <w:t xml:space="preserve">34</w:t>
      </w:r>
      <w:r>
        <w:t xml:space="preserve">(6)</w:t>
      </w:r>
      <w:r>
        <w:t xml:space="preserve">, </w:t>
      </w:r>
      <w:r>
        <w:t xml:space="preserve">515–533</w:t>
      </w:r>
      <w:r>
        <w:t xml:space="preserve">.</w:t>
      </w:r>
    </w:p>
    <w:p w14:paraId="7AB71403" w14:textId="77777777">
      <w:pPr>
        <w:spacing w:after="0" w:line="480" w:lineRule="auto"/>
        <w:ind w:hanging="720" w:left="720"/>
        <w:rPr>
          <w:rFonts w:cs="Times New Roman"/>
        </w:rPr>
      </w:pPr>
      <w:bookmarkStart w:id="2" w:name="_Hlk188794394"/>
      <w:r>
        <w:rPr>
          <w:rFonts w:cs="Times New Roman"/>
        </w:rPr>
        <w:t xml:space="preserve">USITC. (2025). </w:t>
      </w:r>
      <w:bookmarkEnd w:id="2"/>
      <w:r>
        <w:rPr>
          <w:rFonts w:cs="Times New Roman"/>
          <w:i/>
          <w:iCs/>
        </w:rPr>
        <w:t xml:space="preserve">Trade data</w:t>
      </w:r>
      <w:r>
        <w:rPr>
          <w:rFonts w:cs="Times New Roman"/>
        </w:rPr>
        <w:t xml:space="preserve">. </w:t>
      </w:r>
      <w:r>
        <w:rPr>
          <w:rFonts w:cs="Times New Roman"/>
        </w:rPr>
        <w:t xml:space="preserve">https://dataweb.usitc.gov/trade/search/GenImp/HTS</w:t>
      </w:r>
      <w:r>
        <w:rPr>
          <w:rFonts w:cs="Times New Roman"/>
        </w:rPr>
        <w:t xml:space="preserve">.</w:t>
      </w:r>
    </w:p>
    <w:p w14:paraId="288468D9" w14:textId="77777777">
      <w:pPr>
        <w:spacing w:after="0" w:line="480" w:lineRule="auto"/>
        <w:ind w:hanging="720" w:left="720"/>
      </w:pPr>
    </w:p>
    <w:p w14:paraId="1BEB1789" w14:textId="77777777">
      <w:pPr>
        <w:spacing w:line="480" w:lineRule="auto"/>
        <w:ind w:hanging="720" w:left="720"/>
      </w:pPr>
    </w:p>
    <w:p w14:paraId="3BA7AA00" w14:textId="77777777">
      <w:pPr>
        <w:spacing w:after="0" w:line="480" w:lineRule="auto"/>
        <w:ind w:hanging="720" w:left="720"/>
        <w:rPr>
          <w:rFonts w:cs="Times New Roman"/>
        </w:rPr>
      </w:pPr>
    </w:p>
    <w:p w14:paraId="2917780D" w14:textId="77777777">
      <w:pPr>
        <w:spacing w:line="480" w:lineRule="auto"/>
        <w:ind w:hanging="720" w:left="720"/>
      </w:pPr>
    </w:p>
    <w:p w14:paraId="012220E1" w14:textId="77777777">
      <w:pPr>
        <w:spacing w:line="480" w:lineRule="auto"/>
        <w:ind w:hanging="720" w:left="720"/>
      </w:pPr>
    </w:p>
    <w:p w14:paraId="002B5AD4" w14:textId="77777777">
      <w:pPr>
        <w:spacing w:line="480" w:lineRule="auto"/>
        <w:ind w:hanging="720" w:left="720"/>
      </w:pPr>
    </w:p>
    <w:sectPr>
      <w:pgSz w:h="15840" w:w="122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3607A71" w14:textId="77777777">
      <w:pPr>
        <w:spacing w:after="0" w:line="240" w:lineRule="auto"/>
      </w:pPr>
      <w:r>
        <w:separator/>
      </w:r>
    </w:p>
  </w:endnote>
  <w:endnote w:type="continuationSeparator" w:id="0">
    <w:p w14:paraId="398AB71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Symbol">
    <w:panose1 w:val="05010000000000000000"/>
  </w:font>
  <w:font w:name="Courier New">
    <w:panose1 w:val="02070409020205020404"/>
  </w:font>
  <w:font w:name="Wingdings">
    <w:panose1 w:val="05010000000000000000"/>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01EDC68" w14:textId="77777777">
      <w:pPr>
        <w:spacing w:after="0" w:line="240" w:lineRule="auto"/>
      </w:pPr>
      <w:r>
        <w:separator/>
      </w:r>
    </w:p>
  </w:footnote>
  <w:footnote w:type="continuationSeparator" w:id="0">
    <w:p w14:paraId="5088A0B8" w14:textId="77777777">
      <w:pPr>
        <w:spacing w:after="0" w:line="240" w:lineRule="auto"/>
      </w:pPr>
      <w:r>
        <w:continuationSeparator/>
      </w:r>
    </w:p>
  </w:footnote>
  <w:footnote w:id="1">
    <w:p w14:paraId="0E8C6705" w14:textId="4042AA65">
      <w:pPr>
        <w:pStyle w:val="FootnoteText"/>
      </w:pPr>
      <w:r>
        <w:rPr>
          <w:rStyle w:val="FootnoteReference"/>
        </w:rPr>
        <w:footnoteRef/>
      </w:r>
      <w:r>
        <w:t xml:space="preserve"> </w:t>
      </w:r>
      <w:r>
        <w:t xml:space="preserve">https://ustr.gov/issue-areas/trade-development/preference-programs/african-growth-and-opportunity-act-agoa</w:t>
      </w:r>
    </w:p>
  </w:footnote>
  <w:footnote w:id="2">
    <w:p w14:paraId="1DDF89FD" w14:textId="6AA13B2D">
      <w:pPr>
        <w:pStyle w:val="FootnoteText"/>
      </w:pPr>
      <w:r>
        <w:rPr>
          <w:rStyle w:val="FootnoteReference"/>
        </w:rPr>
        <w:footnoteRef/>
      </w:r>
      <w:r>
        <w:t xml:space="preserve"> </w:t>
      </w:r>
      <w:r>
        <w:t xml:space="preserve">https://www.weforum.org/stories/2023/11/africa-us-trade-agoa-deal-expires-2025/</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nsid w:val="10716E55"/>
    <w:lvl w:ilvl="0" w:tplc="0409000D">
      <w:lvlJc w:val="left"/>
      <w:lvlText w:val=""/>
      <w:numFmt w:val="bullet"/>
      <w:pPr>
        <w:ind w:hanging="360" w:left="1440"/>
      </w:pPr>
      <w:rPr>
        <w:rFonts w:hint="default" w:ascii="Wingdings" w:hAnsi="Wingdings"/>
      </w:rPr>
      <w:start w:val="1"/>
    </w:lvl>
    <w:lvl w:ilvl="1" w:tentative="true" w:tplc="04090003">
      <w:lvlJc w:val="left"/>
      <w:lvlText w:val="o"/>
      <w:numFmt w:val="bullet"/>
      <w:pPr>
        <w:ind w:hanging="360" w:left="2160"/>
      </w:pPr>
      <w:rPr>
        <w:rFonts w:hint="default" w:ascii="Courier New" w:hAnsi="Courier New" w:cs="Courier New"/>
      </w:rPr>
      <w:start w:val="1"/>
    </w:lvl>
    <w:lvl w:ilvl="2" w:tentative="true" w:tplc="04090005">
      <w:lvlJc w:val="left"/>
      <w:lvlText w:val=""/>
      <w:numFmt w:val="bullet"/>
      <w:pPr>
        <w:ind w:hanging="360" w:left="2880"/>
      </w:pPr>
      <w:rPr>
        <w:rFonts w:hint="default" w:ascii="Wingdings" w:hAnsi="Wingdings"/>
      </w:rPr>
      <w:start w:val="1"/>
    </w:lvl>
    <w:lvl w:ilvl="3" w:tentative="true" w:tplc="04090001">
      <w:lvlJc w:val="left"/>
      <w:lvlText w:val=""/>
      <w:numFmt w:val="bullet"/>
      <w:pPr>
        <w:ind w:hanging="360" w:left="3600"/>
      </w:pPr>
      <w:rPr>
        <w:rFonts w:hint="default" w:ascii="Symbol" w:hAnsi="Symbol"/>
      </w:rPr>
      <w:start w:val="1"/>
    </w:lvl>
    <w:lvl w:ilvl="4" w:tentative="true" w:tplc="04090003">
      <w:lvlJc w:val="left"/>
      <w:lvlText w:val="o"/>
      <w:numFmt w:val="bullet"/>
      <w:pPr>
        <w:ind w:hanging="360" w:left="4320"/>
      </w:pPr>
      <w:rPr>
        <w:rFonts w:hint="default" w:ascii="Courier New" w:hAnsi="Courier New" w:cs="Courier New"/>
      </w:rPr>
      <w:start w:val="1"/>
    </w:lvl>
    <w:lvl w:ilvl="5" w:tentative="true" w:tplc="04090005">
      <w:lvlJc w:val="left"/>
      <w:lvlText w:val=""/>
      <w:numFmt w:val="bullet"/>
      <w:pPr>
        <w:ind w:hanging="360" w:left="5040"/>
      </w:pPr>
      <w:rPr>
        <w:rFonts w:hint="default" w:ascii="Wingdings" w:hAnsi="Wingdings"/>
      </w:rPr>
      <w:start w:val="1"/>
    </w:lvl>
    <w:lvl w:ilvl="6" w:tentative="true" w:tplc="04090001">
      <w:lvlJc w:val="left"/>
      <w:lvlText w:val=""/>
      <w:numFmt w:val="bullet"/>
      <w:pPr>
        <w:ind w:hanging="360" w:left="5760"/>
      </w:pPr>
      <w:rPr>
        <w:rFonts w:hint="default" w:ascii="Symbol" w:hAnsi="Symbol"/>
      </w:rPr>
      <w:start w:val="1"/>
    </w:lvl>
    <w:lvl w:ilvl="7" w:tentative="true" w:tplc="04090003">
      <w:lvlJc w:val="left"/>
      <w:lvlText w:val="o"/>
      <w:numFmt w:val="bullet"/>
      <w:pPr>
        <w:ind w:hanging="360" w:left="6480"/>
      </w:pPr>
      <w:rPr>
        <w:rFonts w:hint="default" w:ascii="Courier New" w:hAnsi="Courier New" w:cs="Courier New"/>
      </w:rPr>
      <w:start w:val="1"/>
    </w:lvl>
    <w:lvl w:ilvl="8" w:tentative="true" w:tplc="04090005">
      <w:lvlJc w:val="left"/>
      <w:lvlText w:val=""/>
      <w:numFmt w:val="bullet"/>
      <w:pPr>
        <w:ind w:hanging="360" w:left="7200"/>
      </w:pPr>
      <w:rPr>
        <w:rFonts w:hint="default" w:ascii="Wingdings" w:hAnsi="Wingdings"/>
      </w:rPr>
      <w:start w:val="1"/>
    </w:lvl>
  </w:abstractNum>
  <w:abstractNum w:abstractNumId="1">
    <w:multiLevelType w:val="hybridMultilevel"/>
    <w:nsid w:val="1F1C2CBE"/>
    <w:lvl w:ilvl="0" w:tplc="0409000D">
      <w:lvlJc w:val="left"/>
      <w:lvlText w:val=""/>
      <w:numFmt w:val="bullet"/>
      <w:pPr>
        <w:ind w:hanging="360" w:left="2160"/>
      </w:pPr>
      <w:rPr>
        <w:rFonts w:hint="default" w:ascii="Wingdings" w:hAnsi="Wingdings"/>
      </w:rPr>
      <w:start w:val="1"/>
    </w:lvl>
    <w:lvl w:ilvl="1" w:tentative="true" w:tplc="04090003">
      <w:lvlJc w:val="left"/>
      <w:lvlText w:val="o"/>
      <w:numFmt w:val="bullet"/>
      <w:pPr>
        <w:ind w:hanging="360" w:left="2880"/>
      </w:pPr>
      <w:rPr>
        <w:rFonts w:hint="default" w:ascii="Courier New" w:hAnsi="Courier New" w:cs="Courier New"/>
      </w:rPr>
      <w:start w:val="1"/>
    </w:lvl>
    <w:lvl w:ilvl="2" w:tentative="true" w:tplc="04090005">
      <w:lvlJc w:val="left"/>
      <w:lvlText w:val=""/>
      <w:numFmt w:val="bullet"/>
      <w:pPr>
        <w:ind w:hanging="360" w:left="3600"/>
      </w:pPr>
      <w:rPr>
        <w:rFonts w:hint="default" w:ascii="Wingdings" w:hAnsi="Wingdings"/>
      </w:rPr>
      <w:start w:val="1"/>
    </w:lvl>
    <w:lvl w:ilvl="3" w:tentative="true" w:tplc="04090001">
      <w:lvlJc w:val="left"/>
      <w:lvlText w:val=""/>
      <w:numFmt w:val="bullet"/>
      <w:pPr>
        <w:ind w:hanging="360" w:left="4320"/>
      </w:pPr>
      <w:rPr>
        <w:rFonts w:hint="default" w:ascii="Symbol" w:hAnsi="Symbol"/>
      </w:rPr>
      <w:start w:val="1"/>
    </w:lvl>
    <w:lvl w:ilvl="4" w:tentative="true" w:tplc="04090003">
      <w:lvlJc w:val="left"/>
      <w:lvlText w:val="o"/>
      <w:numFmt w:val="bullet"/>
      <w:pPr>
        <w:ind w:hanging="360" w:left="5040"/>
      </w:pPr>
      <w:rPr>
        <w:rFonts w:hint="default" w:ascii="Courier New" w:hAnsi="Courier New" w:cs="Courier New"/>
      </w:rPr>
      <w:start w:val="1"/>
    </w:lvl>
    <w:lvl w:ilvl="5" w:tentative="true" w:tplc="04090005">
      <w:lvlJc w:val="left"/>
      <w:lvlText w:val=""/>
      <w:numFmt w:val="bullet"/>
      <w:pPr>
        <w:ind w:hanging="360" w:left="5760"/>
      </w:pPr>
      <w:rPr>
        <w:rFonts w:hint="default" w:ascii="Wingdings" w:hAnsi="Wingdings"/>
      </w:rPr>
      <w:start w:val="1"/>
    </w:lvl>
    <w:lvl w:ilvl="6" w:tentative="true" w:tplc="04090001">
      <w:lvlJc w:val="left"/>
      <w:lvlText w:val=""/>
      <w:numFmt w:val="bullet"/>
      <w:pPr>
        <w:ind w:hanging="360" w:left="6480"/>
      </w:pPr>
      <w:rPr>
        <w:rFonts w:hint="default" w:ascii="Symbol" w:hAnsi="Symbol"/>
      </w:rPr>
      <w:start w:val="1"/>
    </w:lvl>
    <w:lvl w:ilvl="7" w:tentative="true" w:tplc="04090003">
      <w:lvlJc w:val="left"/>
      <w:lvlText w:val="o"/>
      <w:numFmt w:val="bullet"/>
      <w:pPr>
        <w:ind w:hanging="360" w:left="7200"/>
      </w:pPr>
      <w:rPr>
        <w:rFonts w:hint="default" w:ascii="Courier New" w:hAnsi="Courier New" w:cs="Courier New"/>
      </w:rPr>
      <w:start w:val="1"/>
    </w:lvl>
    <w:lvl w:ilvl="8" w:tentative="true" w:tplc="04090005">
      <w:lvlJc w:val="left"/>
      <w:lvlText w:val=""/>
      <w:numFmt w:val="bullet"/>
      <w:pPr>
        <w:ind w:hanging="360" w:left="7920"/>
      </w:pPr>
      <w:rPr>
        <w:rFonts w:hint="default" w:ascii="Wingdings" w:hAnsi="Wingdings"/>
      </w:rPr>
      <w:start w:val="1"/>
    </w:lvl>
  </w:abstractNum>
  <w:abstractNum w:abstractNumId="2">
    <w:multiLevelType w:val="multilevel"/>
    <w:nsid w:val="1F4E3890"/>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3">
    <w:multiLevelType w:val="hybridMultilevel"/>
    <w:nsid w:val="1FD615FB"/>
    <w:lvl w:ilvl="0" w:tplc="04090001">
      <w:lvlJc w:val="left"/>
      <w:lvlText w:val=""/>
      <w:numFmt w:val="bullet"/>
      <w:pPr>
        <w:ind w:hanging="360" w:left="720"/>
      </w:pPr>
      <w:rPr>
        <w:rFonts w:hint="default" w:ascii="Symbol" w:hAnsi="Symbol"/>
      </w:rPr>
      <w:start w:val="1"/>
    </w:lvl>
    <w:lvl w:ilvl="1" w:tentative="true" w:tplc="04090003">
      <w:lvlJc w:val="left"/>
      <w:lvlText w:val="o"/>
      <w:numFmt w:val="bullet"/>
      <w:pPr>
        <w:ind w:hanging="360" w:left="1440"/>
      </w:pPr>
      <w:rPr>
        <w:rFonts w:hint="default" w:ascii="Courier New" w:hAnsi="Courier New" w:cs="Courier New"/>
      </w:rPr>
      <w:start w:val="1"/>
    </w:lvl>
    <w:lvl w:ilvl="2" w:tentative="true" w:tplc="04090005">
      <w:lvlJc w:val="left"/>
      <w:lvlText w:val=""/>
      <w:numFmt w:val="bullet"/>
      <w:pPr>
        <w:ind w:hanging="360" w:left="2160"/>
      </w:pPr>
      <w:rPr>
        <w:rFonts w:hint="default" w:ascii="Wingdings" w:hAnsi="Wingdings"/>
      </w:rPr>
      <w:start w:val="1"/>
    </w:lvl>
    <w:lvl w:ilvl="3" w:tentative="true" w:tplc="04090001">
      <w:lvlJc w:val="left"/>
      <w:lvlText w:val=""/>
      <w:numFmt w:val="bullet"/>
      <w:pPr>
        <w:ind w:hanging="360" w:left="2880"/>
      </w:pPr>
      <w:rPr>
        <w:rFonts w:hint="default" w:ascii="Symbol" w:hAnsi="Symbol"/>
      </w:rPr>
      <w:start w:val="1"/>
    </w:lvl>
    <w:lvl w:ilvl="4" w:tentative="true" w:tplc="04090003">
      <w:lvlJc w:val="left"/>
      <w:lvlText w:val="o"/>
      <w:numFmt w:val="bullet"/>
      <w:pPr>
        <w:ind w:hanging="360" w:left="3600"/>
      </w:pPr>
      <w:rPr>
        <w:rFonts w:hint="default" w:ascii="Courier New" w:hAnsi="Courier New" w:cs="Courier New"/>
      </w:rPr>
      <w:start w:val="1"/>
    </w:lvl>
    <w:lvl w:ilvl="5" w:tentative="true" w:tplc="04090005">
      <w:lvlJc w:val="left"/>
      <w:lvlText w:val=""/>
      <w:numFmt w:val="bullet"/>
      <w:pPr>
        <w:ind w:hanging="360" w:left="4320"/>
      </w:pPr>
      <w:rPr>
        <w:rFonts w:hint="default" w:ascii="Wingdings" w:hAnsi="Wingdings"/>
      </w:rPr>
      <w:start w:val="1"/>
    </w:lvl>
    <w:lvl w:ilvl="6" w:tentative="true" w:tplc="04090001">
      <w:lvlJc w:val="left"/>
      <w:lvlText w:val=""/>
      <w:numFmt w:val="bullet"/>
      <w:pPr>
        <w:ind w:hanging="360" w:left="5040"/>
      </w:pPr>
      <w:rPr>
        <w:rFonts w:hint="default" w:ascii="Symbol" w:hAnsi="Symbol"/>
      </w:rPr>
      <w:start w:val="1"/>
    </w:lvl>
    <w:lvl w:ilvl="7" w:tentative="true" w:tplc="04090003">
      <w:lvlJc w:val="left"/>
      <w:lvlText w:val="o"/>
      <w:numFmt w:val="bullet"/>
      <w:pPr>
        <w:ind w:hanging="360" w:left="5760"/>
      </w:pPr>
      <w:rPr>
        <w:rFonts w:hint="default" w:ascii="Courier New" w:hAnsi="Courier New" w:cs="Courier New"/>
      </w:rPr>
      <w:start w:val="1"/>
    </w:lvl>
    <w:lvl w:ilvl="8" w:tentative="true" w:tplc="04090005">
      <w:lvlJc w:val="left"/>
      <w:lvlText w:val=""/>
      <w:numFmt w:val="bullet"/>
      <w:pPr>
        <w:ind w:hanging="360" w:left="6480"/>
      </w:pPr>
      <w:rPr>
        <w:rFonts w:hint="default" w:ascii="Wingdings" w:hAnsi="Wingdings"/>
      </w:rPr>
      <w:start w:val="1"/>
    </w:lvl>
  </w:abstractNum>
  <w:abstractNum w:abstractNumId="4">
    <w:multiLevelType w:val="hybridMultilevel"/>
    <w:nsid w:val="2E787677"/>
    <w:lvl w:ilvl="0" w:tplc="0409000D">
      <w:lvlJc w:val="left"/>
      <w:lvlText w:val=""/>
      <w:numFmt w:val="bullet"/>
      <w:pPr>
        <w:ind w:hanging="360" w:left="720"/>
      </w:pPr>
      <w:rPr>
        <w:rFonts w:hint="default" w:ascii="Wingdings" w:hAnsi="Wingdings"/>
      </w:rPr>
      <w:start w:val="1"/>
    </w:lvl>
    <w:lvl w:ilvl="1" w:tentative="true" w:tplc="04090003">
      <w:lvlJc w:val="left"/>
      <w:lvlText w:val="o"/>
      <w:numFmt w:val="bullet"/>
      <w:pPr>
        <w:ind w:hanging="360" w:left="1440"/>
      </w:pPr>
      <w:rPr>
        <w:rFonts w:hint="default" w:ascii="Courier New" w:hAnsi="Courier New" w:cs="Courier New"/>
      </w:rPr>
      <w:start w:val="1"/>
    </w:lvl>
    <w:lvl w:ilvl="2" w:tentative="true" w:tplc="04090005">
      <w:lvlJc w:val="left"/>
      <w:lvlText w:val=""/>
      <w:numFmt w:val="bullet"/>
      <w:pPr>
        <w:ind w:hanging="360" w:left="2160"/>
      </w:pPr>
      <w:rPr>
        <w:rFonts w:hint="default" w:ascii="Wingdings" w:hAnsi="Wingdings"/>
      </w:rPr>
      <w:start w:val="1"/>
    </w:lvl>
    <w:lvl w:ilvl="3" w:tentative="true" w:tplc="04090001">
      <w:lvlJc w:val="left"/>
      <w:lvlText w:val=""/>
      <w:numFmt w:val="bullet"/>
      <w:pPr>
        <w:ind w:hanging="360" w:left="2880"/>
      </w:pPr>
      <w:rPr>
        <w:rFonts w:hint="default" w:ascii="Symbol" w:hAnsi="Symbol"/>
      </w:rPr>
      <w:start w:val="1"/>
    </w:lvl>
    <w:lvl w:ilvl="4" w:tentative="true" w:tplc="04090003">
      <w:lvlJc w:val="left"/>
      <w:lvlText w:val="o"/>
      <w:numFmt w:val="bullet"/>
      <w:pPr>
        <w:ind w:hanging="360" w:left="3600"/>
      </w:pPr>
      <w:rPr>
        <w:rFonts w:hint="default" w:ascii="Courier New" w:hAnsi="Courier New" w:cs="Courier New"/>
      </w:rPr>
      <w:start w:val="1"/>
    </w:lvl>
    <w:lvl w:ilvl="5" w:tentative="true" w:tplc="04090005">
      <w:lvlJc w:val="left"/>
      <w:lvlText w:val=""/>
      <w:numFmt w:val="bullet"/>
      <w:pPr>
        <w:ind w:hanging="360" w:left="4320"/>
      </w:pPr>
      <w:rPr>
        <w:rFonts w:hint="default" w:ascii="Wingdings" w:hAnsi="Wingdings"/>
      </w:rPr>
      <w:start w:val="1"/>
    </w:lvl>
    <w:lvl w:ilvl="6" w:tentative="true" w:tplc="04090001">
      <w:lvlJc w:val="left"/>
      <w:lvlText w:val=""/>
      <w:numFmt w:val="bullet"/>
      <w:pPr>
        <w:ind w:hanging="360" w:left="5040"/>
      </w:pPr>
      <w:rPr>
        <w:rFonts w:hint="default" w:ascii="Symbol" w:hAnsi="Symbol"/>
      </w:rPr>
      <w:start w:val="1"/>
    </w:lvl>
    <w:lvl w:ilvl="7" w:tentative="true" w:tplc="04090003">
      <w:lvlJc w:val="left"/>
      <w:lvlText w:val="o"/>
      <w:numFmt w:val="bullet"/>
      <w:pPr>
        <w:ind w:hanging="360" w:left="5760"/>
      </w:pPr>
      <w:rPr>
        <w:rFonts w:hint="default" w:ascii="Courier New" w:hAnsi="Courier New" w:cs="Courier New"/>
      </w:rPr>
      <w:start w:val="1"/>
    </w:lvl>
    <w:lvl w:ilvl="8" w:tentative="true" w:tplc="04090005">
      <w:lvlJc w:val="left"/>
      <w:lvlText w:val=""/>
      <w:numFmt w:val="bullet"/>
      <w:pPr>
        <w:ind w:hanging="360" w:left="6480"/>
      </w:pPr>
      <w:rPr>
        <w:rFonts w:hint="default" w:ascii="Wingdings" w:hAnsi="Wingdings"/>
      </w:rPr>
      <w:start w:val="1"/>
    </w:lvl>
  </w:abstractNum>
  <w:abstractNum w:abstractNumId="5">
    <w:multiLevelType w:val="hybridMultilevel"/>
    <w:nsid w:val="588D514E"/>
    <w:lvl w:ilvl="0" w:tplc="0409000D">
      <w:lvlJc w:val="left"/>
      <w:lvlText w:val=""/>
      <w:numFmt w:val="bullet"/>
      <w:pPr>
        <w:ind w:hanging="360" w:left="720"/>
      </w:pPr>
      <w:rPr>
        <w:rFonts w:hint="default" w:ascii="Wingdings" w:hAnsi="Wingdings"/>
      </w:rPr>
      <w:start w:val="1"/>
    </w:lvl>
    <w:lvl w:ilvl="1" w:tentative="true" w:tplc="04090003">
      <w:lvlJc w:val="left"/>
      <w:lvlText w:val="o"/>
      <w:numFmt w:val="bullet"/>
      <w:pPr>
        <w:ind w:hanging="360" w:left="1440"/>
      </w:pPr>
      <w:rPr>
        <w:rFonts w:hint="default" w:ascii="Courier New" w:hAnsi="Courier New" w:cs="Courier New"/>
      </w:rPr>
      <w:start w:val="1"/>
    </w:lvl>
    <w:lvl w:ilvl="2" w:tentative="true" w:tplc="04090005">
      <w:lvlJc w:val="left"/>
      <w:lvlText w:val=""/>
      <w:numFmt w:val="bullet"/>
      <w:pPr>
        <w:ind w:hanging="360" w:left="2160"/>
      </w:pPr>
      <w:rPr>
        <w:rFonts w:hint="default" w:ascii="Wingdings" w:hAnsi="Wingdings"/>
      </w:rPr>
      <w:start w:val="1"/>
    </w:lvl>
    <w:lvl w:ilvl="3" w:tentative="true" w:tplc="04090001">
      <w:lvlJc w:val="left"/>
      <w:lvlText w:val=""/>
      <w:numFmt w:val="bullet"/>
      <w:pPr>
        <w:ind w:hanging="360" w:left="2880"/>
      </w:pPr>
      <w:rPr>
        <w:rFonts w:hint="default" w:ascii="Symbol" w:hAnsi="Symbol"/>
      </w:rPr>
      <w:start w:val="1"/>
    </w:lvl>
    <w:lvl w:ilvl="4" w:tentative="true" w:tplc="04090003">
      <w:lvlJc w:val="left"/>
      <w:lvlText w:val="o"/>
      <w:numFmt w:val="bullet"/>
      <w:pPr>
        <w:ind w:hanging="360" w:left="3600"/>
      </w:pPr>
      <w:rPr>
        <w:rFonts w:hint="default" w:ascii="Courier New" w:hAnsi="Courier New" w:cs="Courier New"/>
      </w:rPr>
      <w:start w:val="1"/>
    </w:lvl>
    <w:lvl w:ilvl="5" w:tentative="true" w:tplc="04090005">
      <w:lvlJc w:val="left"/>
      <w:lvlText w:val=""/>
      <w:numFmt w:val="bullet"/>
      <w:pPr>
        <w:ind w:hanging="360" w:left="4320"/>
      </w:pPr>
      <w:rPr>
        <w:rFonts w:hint="default" w:ascii="Wingdings" w:hAnsi="Wingdings"/>
      </w:rPr>
      <w:start w:val="1"/>
    </w:lvl>
    <w:lvl w:ilvl="6" w:tentative="true" w:tplc="04090001">
      <w:lvlJc w:val="left"/>
      <w:lvlText w:val=""/>
      <w:numFmt w:val="bullet"/>
      <w:pPr>
        <w:ind w:hanging="360" w:left="5040"/>
      </w:pPr>
      <w:rPr>
        <w:rFonts w:hint="default" w:ascii="Symbol" w:hAnsi="Symbol"/>
      </w:rPr>
      <w:start w:val="1"/>
    </w:lvl>
    <w:lvl w:ilvl="7" w:tentative="true" w:tplc="04090003">
      <w:lvlJc w:val="left"/>
      <w:lvlText w:val="o"/>
      <w:numFmt w:val="bullet"/>
      <w:pPr>
        <w:ind w:hanging="360" w:left="5760"/>
      </w:pPr>
      <w:rPr>
        <w:rFonts w:hint="default" w:ascii="Courier New" w:hAnsi="Courier New" w:cs="Courier New"/>
      </w:rPr>
      <w:start w:val="1"/>
    </w:lvl>
    <w:lvl w:ilvl="8" w:tentative="true" w:tplc="04090005">
      <w:lvlJc w:val="left"/>
      <w:lvlText w:val=""/>
      <w:numFmt w:val="bullet"/>
      <w:pPr>
        <w:ind w:hanging="360" w:left="6480"/>
      </w:pPr>
      <w:rPr>
        <w:rFonts w:hint="default" w:ascii="Wingdings" w:hAnsi="Wingdings"/>
      </w:rPr>
      <w:start w:val="1"/>
    </w:lvl>
  </w:abstractNum>
  <w:abstractNum w:abstractNumId="6">
    <w:multiLevelType w:val="multilevel"/>
    <w:nsid w:val="59991AE6"/>
    <w:lvl w:ilvl="0">
      <w:lvlJc w:val="left"/>
      <w:lvlText w:val="%1."/>
      <w:numFmt w:val="decimal"/>
      <w:pPr>
        <w:tabs>
          <w:tab w:val="num" w:pos="720"/>
        </w:tabs>
        <w:ind w:hanging="360" w:left="720"/>
      </w:pPr>
      <w:start w:val="1"/>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7">
    <w:multiLevelType w:val="multilevel"/>
    <w:nsid w:val="64707998"/>
    <w:lvl w:ilvl="0">
      <w:lvlJc w:val="left"/>
      <w:lvlText w:val="%1."/>
      <w:numFmt w:val="decimal"/>
      <w:pPr>
        <w:tabs>
          <w:tab w:val="num" w:pos="720"/>
        </w:tabs>
        <w:ind w:hanging="360" w:left="720"/>
      </w:pPr>
      <w:start w:val="1"/>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8">
    <w:multiLevelType w:val="hybridMultilevel"/>
    <w:nsid w:val="68D21066"/>
    <w:lvl w:ilvl="0" w:tplc="0409000D">
      <w:lvlJc w:val="left"/>
      <w:lvlText w:val=""/>
      <w:numFmt w:val="bullet"/>
      <w:pPr>
        <w:ind w:hanging="360" w:left="1080"/>
      </w:pPr>
      <w:rPr>
        <w:rFonts w:hint="default" w:ascii="Wingdings" w:hAnsi="Wingdings"/>
      </w:rPr>
      <w:start w:val="1"/>
    </w:lvl>
    <w:lvl w:ilvl="1" w:tentative="true" w:tplc="04090003">
      <w:lvlJc w:val="left"/>
      <w:lvlText w:val="o"/>
      <w:numFmt w:val="bullet"/>
      <w:pPr>
        <w:ind w:hanging="360" w:left="1800"/>
      </w:pPr>
      <w:rPr>
        <w:rFonts w:hint="default" w:ascii="Courier New" w:hAnsi="Courier New" w:cs="Courier New"/>
      </w:rPr>
      <w:start w:val="1"/>
    </w:lvl>
    <w:lvl w:ilvl="2" w:tentative="true" w:tplc="04090005">
      <w:lvlJc w:val="left"/>
      <w:lvlText w:val=""/>
      <w:numFmt w:val="bullet"/>
      <w:pPr>
        <w:ind w:hanging="360" w:left="2520"/>
      </w:pPr>
      <w:rPr>
        <w:rFonts w:hint="default" w:ascii="Wingdings" w:hAnsi="Wingdings"/>
      </w:rPr>
      <w:start w:val="1"/>
    </w:lvl>
    <w:lvl w:ilvl="3" w:tentative="true" w:tplc="04090001">
      <w:lvlJc w:val="left"/>
      <w:lvlText w:val=""/>
      <w:numFmt w:val="bullet"/>
      <w:pPr>
        <w:ind w:hanging="360" w:left="3240"/>
      </w:pPr>
      <w:rPr>
        <w:rFonts w:hint="default" w:ascii="Symbol" w:hAnsi="Symbol"/>
      </w:rPr>
      <w:start w:val="1"/>
    </w:lvl>
    <w:lvl w:ilvl="4" w:tentative="true" w:tplc="04090003">
      <w:lvlJc w:val="left"/>
      <w:lvlText w:val="o"/>
      <w:numFmt w:val="bullet"/>
      <w:pPr>
        <w:ind w:hanging="360" w:left="3960"/>
      </w:pPr>
      <w:rPr>
        <w:rFonts w:hint="default" w:ascii="Courier New" w:hAnsi="Courier New" w:cs="Courier New"/>
      </w:rPr>
      <w:start w:val="1"/>
    </w:lvl>
    <w:lvl w:ilvl="5" w:tentative="true" w:tplc="04090005">
      <w:lvlJc w:val="left"/>
      <w:lvlText w:val=""/>
      <w:numFmt w:val="bullet"/>
      <w:pPr>
        <w:ind w:hanging="360" w:left="4680"/>
      </w:pPr>
      <w:rPr>
        <w:rFonts w:hint="default" w:ascii="Wingdings" w:hAnsi="Wingdings"/>
      </w:rPr>
      <w:start w:val="1"/>
    </w:lvl>
    <w:lvl w:ilvl="6" w:tentative="true" w:tplc="04090001">
      <w:lvlJc w:val="left"/>
      <w:lvlText w:val=""/>
      <w:numFmt w:val="bullet"/>
      <w:pPr>
        <w:ind w:hanging="360" w:left="5400"/>
      </w:pPr>
      <w:rPr>
        <w:rFonts w:hint="default" w:ascii="Symbol" w:hAnsi="Symbol"/>
      </w:rPr>
      <w:start w:val="1"/>
    </w:lvl>
    <w:lvl w:ilvl="7" w:tentative="true" w:tplc="04090003">
      <w:lvlJc w:val="left"/>
      <w:lvlText w:val="o"/>
      <w:numFmt w:val="bullet"/>
      <w:pPr>
        <w:ind w:hanging="360" w:left="6120"/>
      </w:pPr>
      <w:rPr>
        <w:rFonts w:hint="default" w:ascii="Courier New" w:hAnsi="Courier New" w:cs="Courier New"/>
      </w:rPr>
      <w:start w:val="1"/>
    </w:lvl>
    <w:lvl w:ilvl="8" w:tentative="true" w:tplc="04090005">
      <w:lvlJc w:val="left"/>
      <w:lvlText w:val=""/>
      <w:numFmt w:val="bullet"/>
      <w:pPr>
        <w:ind w:hanging="360" w:left="6840"/>
      </w:pPr>
      <w:rPr>
        <w:rFonts w:hint="default" w:ascii="Wingdings" w:hAnsi="Wingdings"/>
      </w:rPr>
      <w:start w:val="1"/>
    </w:lvl>
  </w:abstractNum>
  <w:abstractNum w:abstractNumId="9">
    <w:multiLevelType w:val="hybridMultilevel"/>
    <w:nsid w:val="6BFB4163"/>
    <w:lvl w:ilvl="0" w:tplc="0409000F">
      <w:lvlJc w:val="left"/>
      <w:lvlText w:val="%1."/>
      <w:numFmt w:val="decimal"/>
      <w:pPr>
        <w:ind w:hanging="360" w:left="720"/>
      </w:pPr>
      <w:rPr>
        <w:rFonts w:hint="default"/>
      </w:rPr>
      <w:start w:val="1"/>
    </w:lvl>
    <w:lvl w:ilvl="1" w:tentative="true" w:tplc="04090019">
      <w:lvlJc w:val="left"/>
      <w:lvlText w:val="%2."/>
      <w:numFmt w:val="lowerLetter"/>
      <w:pPr>
        <w:ind w:hanging="360" w:left="1440"/>
      </w:pPr>
      <w:start w:val="1"/>
    </w:lvl>
    <w:lvl w:ilvl="2" w:tentative="true" w:tplc="0409001B">
      <w:lvlJc w:val="right"/>
      <w:lvlText w:val="%3."/>
      <w:numFmt w:val="lowerRoman"/>
      <w:pPr>
        <w:ind w:hanging="180" w:left="2160"/>
      </w:pPr>
      <w:start w:val="1"/>
    </w:lvl>
    <w:lvl w:ilvl="3" w:tentative="true" w:tplc="0409000F">
      <w:lvlJc w:val="left"/>
      <w:lvlText w:val="%4."/>
      <w:numFmt w:val="decimal"/>
      <w:pPr>
        <w:ind w:hanging="360" w:left="2880"/>
      </w:pPr>
      <w:start w:val="1"/>
    </w:lvl>
    <w:lvl w:ilvl="4" w:tentative="true" w:tplc="04090019">
      <w:lvlJc w:val="left"/>
      <w:lvlText w:val="%5."/>
      <w:numFmt w:val="lowerLetter"/>
      <w:pPr>
        <w:ind w:hanging="360" w:left="3600"/>
      </w:pPr>
      <w:start w:val="1"/>
    </w:lvl>
    <w:lvl w:ilvl="5" w:tentative="true" w:tplc="0409001B">
      <w:lvlJc w:val="right"/>
      <w:lvlText w:val="%6."/>
      <w:numFmt w:val="lowerRoman"/>
      <w:pPr>
        <w:ind w:hanging="180" w:left="4320"/>
      </w:pPr>
      <w:start w:val="1"/>
    </w:lvl>
    <w:lvl w:ilvl="6" w:tentative="true" w:tplc="0409000F">
      <w:lvlJc w:val="left"/>
      <w:lvlText w:val="%7."/>
      <w:numFmt w:val="decimal"/>
      <w:pPr>
        <w:ind w:hanging="360" w:left="5040"/>
      </w:pPr>
      <w:start w:val="1"/>
    </w:lvl>
    <w:lvl w:ilvl="7" w:tentative="true" w:tplc="04090019">
      <w:lvlJc w:val="left"/>
      <w:lvlText w:val="%8."/>
      <w:numFmt w:val="lowerLetter"/>
      <w:pPr>
        <w:ind w:hanging="360" w:left="5760"/>
      </w:pPr>
      <w:start w:val="1"/>
    </w:lvl>
    <w:lvl w:ilvl="8" w:tentative="true" w:tplc="0409001B">
      <w:lvlJc w:val="right"/>
      <w:lvlText w:val="%9."/>
      <w:numFmt w:val="lowerRoman"/>
      <w:pPr>
        <w:ind w:hanging="180" w:left="6480"/>
      </w:pPr>
      <w:start w:val="1"/>
    </w:lvl>
  </w:abstractNum>
  <w:abstractNum w:abstractNumId="10">
    <w:multiLevelType w:val="multilevel"/>
    <w:nsid w:val="706C3C0A"/>
    <w:lvl w:ilvl="0">
      <w:lvlJc w:val="left"/>
      <w:lvlText w:val=""/>
      <w:numFmt w:val="bullet"/>
      <w:pPr>
        <w:tabs>
          <w:tab w:val="num" w:pos="720"/>
        </w:tabs>
        <w:ind w:hanging="360" w:left="720"/>
      </w:pPr>
      <w:rPr>
        <w:rFonts w:hint="default" w:ascii="Symbol" w:hAnsi="Symbol"/>
        <w:sz w:val="20"/>
      </w:rPr>
      <w:start w:val="1"/>
    </w:lvl>
    <w:lvl w:ilvl="1" w:tentative="true">
      <w:lvlJc w:val="left"/>
      <w:lvlText w:val="o"/>
      <w:numFmt w:val="bullet"/>
      <w:pPr>
        <w:tabs>
          <w:tab w:val="num" w:pos="1440"/>
        </w:tabs>
        <w:ind w:hanging="360" w:left="1440"/>
      </w:pPr>
      <w:rPr>
        <w:rFonts w:hint="default" w:ascii="Courier New" w:hAnsi="Courier New"/>
        <w:sz w:val="20"/>
      </w:rPr>
      <w:start w:val="1"/>
    </w:lvl>
    <w:lvl w:ilvl="2" w:tentative="true">
      <w:lvlJc w:val="left"/>
      <w:lvlText w:val=""/>
      <w:numFmt w:val="bullet"/>
      <w:pPr>
        <w:tabs>
          <w:tab w:val="num" w:pos="2160"/>
        </w:tabs>
        <w:ind w:hanging="360" w:left="2160"/>
      </w:pPr>
      <w:rPr>
        <w:rFonts w:hint="default" w:ascii="Wingdings" w:hAnsi="Wingdings"/>
        <w:sz w:val="20"/>
      </w:rPr>
      <w:start w:val="1"/>
    </w:lvl>
    <w:lvl w:ilvl="3" w:tentative="true">
      <w:lvlJc w:val="left"/>
      <w:lvlText w:val=""/>
      <w:numFmt w:val="bullet"/>
      <w:pPr>
        <w:tabs>
          <w:tab w:val="num" w:pos="2880"/>
        </w:tabs>
        <w:ind w:hanging="360" w:left="2880"/>
      </w:pPr>
      <w:rPr>
        <w:rFonts w:hint="default" w:ascii="Wingdings" w:hAnsi="Wingdings"/>
        <w:sz w:val="20"/>
      </w:rPr>
      <w:start w:val="1"/>
    </w:lvl>
    <w:lvl w:ilvl="4" w:tentative="true">
      <w:lvlJc w:val="left"/>
      <w:lvlText w:val=""/>
      <w:numFmt w:val="bullet"/>
      <w:pPr>
        <w:tabs>
          <w:tab w:val="num" w:pos="3600"/>
        </w:tabs>
        <w:ind w:hanging="360" w:left="3600"/>
      </w:pPr>
      <w:rPr>
        <w:rFonts w:hint="default" w:ascii="Wingdings" w:hAnsi="Wingdings"/>
        <w:sz w:val="20"/>
      </w:rPr>
      <w:start w:val="1"/>
    </w:lvl>
    <w:lvl w:ilvl="5" w:tentative="true">
      <w:lvlJc w:val="left"/>
      <w:lvlText w:val=""/>
      <w:numFmt w:val="bullet"/>
      <w:pPr>
        <w:tabs>
          <w:tab w:val="num" w:pos="4320"/>
        </w:tabs>
        <w:ind w:hanging="360" w:left="4320"/>
      </w:pPr>
      <w:rPr>
        <w:rFonts w:hint="default" w:ascii="Wingdings" w:hAnsi="Wingdings"/>
        <w:sz w:val="20"/>
      </w:rPr>
      <w:start w:val="1"/>
    </w:lvl>
    <w:lvl w:ilvl="6" w:tentative="true">
      <w:lvlJc w:val="left"/>
      <w:lvlText w:val=""/>
      <w:numFmt w:val="bullet"/>
      <w:pPr>
        <w:tabs>
          <w:tab w:val="num" w:pos="5040"/>
        </w:tabs>
        <w:ind w:hanging="360" w:left="5040"/>
      </w:pPr>
      <w:rPr>
        <w:rFonts w:hint="default" w:ascii="Wingdings" w:hAnsi="Wingdings"/>
        <w:sz w:val="20"/>
      </w:rPr>
      <w:start w:val="1"/>
    </w:lvl>
    <w:lvl w:ilvl="7" w:tentative="true">
      <w:lvlJc w:val="left"/>
      <w:lvlText w:val=""/>
      <w:numFmt w:val="bullet"/>
      <w:pPr>
        <w:tabs>
          <w:tab w:val="num" w:pos="5760"/>
        </w:tabs>
        <w:ind w:hanging="360" w:left="5760"/>
      </w:pPr>
      <w:rPr>
        <w:rFonts w:hint="default" w:ascii="Wingdings" w:hAnsi="Wingdings"/>
        <w:sz w:val="20"/>
      </w:rPr>
      <w:start w:val="1"/>
    </w:lvl>
    <w:lvl w:ilvl="8" w:tentative="true">
      <w:lvlJc w:val="left"/>
      <w:lvlText w:val=""/>
      <w:numFmt w:val="bullet"/>
      <w:pPr>
        <w:tabs>
          <w:tab w:val="num" w:pos="6480"/>
        </w:tabs>
        <w:ind w:hanging="360" w:left="6480"/>
      </w:pPr>
      <w:rPr>
        <w:rFonts w:hint="default" w:ascii="Wingdings" w:hAnsi="Wingdings"/>
        <w:sz w:val="20"/>
      </w:rPr>
      <w:start w:val="1"/>
    </w:lvl>
  </w:abstractNum>
  <w:abstractNum w:abstractNumId="11">
    <w:multiLevelType w:val="hybridMultilevel"/>
    <w:nsid w:val="73DB7778"/>
    <w:lvl w:ilvl="0" w:tplc="0409000F">
      <w:lvlJc w:val="left"/>
      <w:lvlText w:val="%1."/>
      <w:numFmt w:val="decimal"/>
      <w:pPr>
        <w:ind w:hanging="360" w:left="720"/>
      </w:pPr>
      <w:rPr>
        <w:rFonts w:hint="default"/>
      </w:rPr>
      <w:start w:val="1"/>
    </w:lvl>
    <w:lvl w:ilvl="1" w:tentative="true" w:tplc="04090019">
      <w:lvlJc w:val="left"/>
      <w:lvlText w:val="%2."/>
      <w:numFmt w:val="lowerLetter"/>
      <w:pPr>
        <w:ind w:hanging="360" w:left="1440"/>
      </w:pPr>
      <w:start w:val="1"/>
    </w:lvl>
    <w:lvl w:ilvl="2" w:tentative="true" w:tplc="0409001B">
      <w:lvlJc w:val="right"/>
      <w:lvlText w:val="%3."/>
      <w:numFmt w:val="lowerRoman"/>
      <w:pPr>
        <w:ind w:hanging="180" w:left="2160"/>
      </w:pPr>
      <w:start w:val="1"/>
    </w:lvl>
    <w:lvl w:ilvl="3" w:tentative="true" w:tplc="0409000F">
      <w:lvlJc w:val="left"/>
      <w:lvlText w:val="%4."/>
      <w:numFmt w:val="decimal"/>
      <w:pPr>
        <w:ind w:hanging="360" w:left="2880"/>
      </w:pPr>
      <w:start w:val="1"/>
    </w:lvl>
    <w:lvl w:ilvl="4" w:tentative="true" w:tplc="04090019">
      <w:lvlJc w:val="left"/>
      <w:lvlText w:val="%5."/>
      <w:numFmt w:val="lowerLetter"/>
      <w:pPr>
        <w:ind w:hanging="360" w:left="3600"/>
      </w:pPr>
      <w:start w:val="1"/>
    </w:lvl>
    <w:lvl w:ilvl="5" w:tentative="true" w:tplc="0409001B">
      <w:lvlJc w:val="right"/>
      <w:lvlText w:val="%6."/>
      <w:numFmt w:val="lowerRoman"/>
      <w:pPr>
        <w:ind w:hanging="180" w:left="4320"/>
      </w:pPr>
      <w:start w:val="1"/>
    </w:lvl>
    <w:lvl w:ilvl="6" w:tentative="true" w:tplc="0409000F">
      <w:lvlJc w:val="left"/>
      <w:lvlText w:val="%7."/>
      <w:numFmt w:val="decimal"/>
      <w:pPr>
        <w:ind w:hanging="360" w:left="5040"/>
      </w:pPr>
      <w:start w:val="1"/>
    </w:lvl>
    <w:lvl w:ilvl="7" w:tentative="true" w:tplc="04090019">
      <w:lvlJc w:val="left"/>
      <w:lvlText w:val="%8."/>
      <w:numFmt w:val="lowerLetter"/>
      <w:pPr>
        <w:ind w:hanging="360" w:left="5760"/>
      </w:pPr>
      <w:start w:val="1"/>
    </w:lvl>
    <w:lvl w:ilvl="8" w:tentative="true" w:tplc="0409001B">
      <w:lvlJc w:val="right"/>
      <w:lvlText w:val="%9."/>
      <w:numFmt w:val="lowerRoman"/>
      <w:pPr>
        <w:ind w:hanging="180" w:left="6480"/>
      </w:pPr>
      <w:start w:val="1"/>
    </w:lvl>
  </w:abstractNum>
  <w:abstractNum w:abstractNumId="12">
    <w:multiLevelType w:val="hybridMultilevel"/>
    <w:nsid w:val="7F286AB5"/>
    <w:lvl w:ilvl="0" w:tplc="0409000D">
      <w:lvlJc w:val="left"/>
      <w:lvlText w:val=""/>
      <w:numFmt w:val="bullet"/>
      <w:pPr>
        <w:ind w:hanging="360" w:left="720"/>
      </w:pPr>
      <w:rPr>
        <w:rFonts w:hint="default" w:ascii="Wingdings" w:hAnsi="Wingdings"/>
      </w:rPr>
      <w:start w:val="1"/>
    </w:lvl>
    <w:lvl w:ilvl="1" w:tentative="true" w:tplc="04090003">
      <w:lvlJc w:val="left"/>
      <w:lvlText w:val="o"/>
      <w:numFmt w:val="bullet"/>
      <w:pPr>
        <w:ind w:hanging="360" w:left="1440"/>
      </w:pPr>
      <w:rPr>
        <w:rFonts w:hint="default" w:ascii="Courier New" w:hAnsi="Courier New" w:cs="Courier New"/>
      </w:rPr>
      <w:start w:val="1"/>
    </w:lvl>
    <w:lvl w:ilvl="2" w:tentative="true" w:tplc="04090005">
      <w:lvlJc w:val="left"/>
      <w:lvlText w:val=""/>
      <w:numFmt w:val="bullet"/>
      <w:pPr>
        <w:ind w:hanging="360" w:left="2160"/>
      </w:pPr>
      <w:rPr>
        <w:rFonts w:hint="default" w:ascii="Wingdings" w:hAnsi="Wingdings"/>
      </w:rPr>
      <w:start w:val="1"/>
    </w:lvl>
    <w:lvl w:ilvl="3" w:tentative="true" w:tplc="04090001">
      <w:lvlJc w:val="left"/>
      <w:lvlText w:val=""/>
      <w:numFmt w:val="bullet"/>
      <w:pPr>
        <w:ind w:hanging="360" w:left="2880"/>
      </w:pPr>
      <w:rPr>
        <w:rFonts w:hint="default" w:ascii="Symbol" w:hAnsi="Symbol"/>
      </w:rPr>
      <w:start w:val="1"/>
    </w:lvl>
    <w:lvl w:ilvl="4" w:tentative="true" w:tplc="04090003">
      <w:lvlJc w:val="left"/>
      <w:lvlText w:val="o"/>
      <w:numFmt w:val="bullet"/>
      <w:pPr>
        <w:ind w:hanging="360" w:left="3600"/>
      </w:pPr>
      <w:rPr>
        <w:rFonts w:hint="default" w:ascii="Courier New" w:hAnsi="Courier New" w:cs="Courier New"/>
      </w:rPr>
      <w:start w:val="1"/>
    </w:lvl>
    <w:lvl w:ilvl="5" w:tentative="true" w:tplc="04090005">
      <w:lvlJc w:val="left"/>
      <w:lvlText w:val=""/>
      <w:numFmt w:val="bullet"/>
      <w:pPr>
        <w:ind w:hanging="360" w:left="4320"/>
      </w:pPr>
      <w:rPr>
        <w:rFonts w:hint="default" w:ascii="Wingdings" w:hAnsi="Wingdings"/>
      </w:rPr>
      <w:start w:val="1"/>
    </w:lvl>
    <w:lvl w:ilvl="6" w:tentative="true" w:tplc="04090001">
      <w:lvlJc w:val="left"/>
      <w:lvlText w:val=""/>
      <w:numFmt w:val="bullet"/>
      <w:pPr>
        <w:ind w:hanging="360" w:left="5040"/>
      </w:pPr>
      <w:rPr>
        <w:rFonts w:hint="default" w:ascii="Symbol" w:hAnsi="Symbol"/>
      </w:rPr>
      <w:start w:val="1"/>
    </w:lvl>
    <w:lvl w:ilvl="7" w:tentative="true" w:tplc="04090003">
      <w:lvlJc w:val="left"/>
      <w:lvlText w:val="o"/>
      <w:numFmt w:val="bullet"/>
      <w:pPr>
        <w:ind w:hanging="360" w:left="5760"/>
      </w:pPr>
      <w:rPr>
        <w:rFonts w:hint="default" w:ascii="Courier New" w:hAnsi="Courier New" w:cs="Courier New"/>
      </w:rPr>
      <w:start w:val="1"/>
    </w:lvl>
    <w:lvl w:ilvl="8" w:tentative="true" w:tplc="04090005">
      <w:lvlJc w:val="left"/>
      <w:lvlText w:val=""/>
      <w:numFmt w:val="bullet"/>
      <w:pPr>
        <w:ind w:hanging="360" w:left="6480"/>
      </w:pPr>
      <w:rPr>
        <w:rFonts w:hint="default" w:ascii="Wingdings" w:hAnsi="Wingdings"/>
      </w:rPr>
      <w:start w:val="1"/>
    </w:lvl>
  </w:abstractNum>
  <w:num w:numId="1">
    <w:abstractNumId w:val="9"/>
  </w:num>
  <w:num w:numId="2">
    <w:abstractNumId w:val="11"/>
  </w:num>
  <w:num w:numId="3">
    <w:abstractNumId w:val="4"/>
  </w:num>
  <w:num w:numId="4">
    <w:abstractNumId w:val="0"/>
  </w:num>
  <w:num w:numId="5">
    <w:abstractNumId w:val="1"/>
  </w:num>
  <w:num w:numId="6">
    <w:abstractNumId w:val="12"/>
  </w:num>
  <w:num w:numId="7">
    <w:abstractNumId w:val="8"/>
  </w:num>
  <w:num w:numId="8">
    <w:abstractNumId w:val="5"/>
  </w:num>
  <w:num w:numId="9">
    <w:abstractNumId w:val="6"/>
  </w:num>
  <w:num w:numId="10">
    <w:abstractNumId w:val="2"/>
  </w:num>
  <w:num w:numId="11">
    <w:abstractNumId w:val="7"/>
  </w:num>
  <w:num w:numId="12">
    <w:abstractNumId w:val="1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Heading1">
    <w:name w:val="heading 1"/>
    <w:basedOn w:val="Normal"/>
    <w:next w:val="Normal"/>
    <w:link w:val="Heading1Char"/>
    <w:uiPriority w:val="9"/>
    <w:qFormat/>
    <w:pPr>
      <w:keepNext w:val="true"/>
      <w:keepLines w:val="true"/>
      <w:spacing w:after="80" w:before="36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val="true"/>
      <w:keepLines w:val="true"/>
      <w:spacing w:after="80" w:before="16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val="true"/>
      <w:keepLines w:val="true"/>
      <w:spacing w:after="80" w:before="160"/>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val="true"/>
      <w:keepLines w:val="true"/>
      <w:spacing w:after="40" w:before="8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val="true"/>
      <w:keepLines w:val="true"/>
      <w:spacing w:after="40" w:before="8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val="true"/>
      <w:keepLines w:val="true"/>
      <w:spacing w:after="0" w:before="4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val="true"/>
      <w:keepLines w:val="true"/>
      <w:spacing w:after="0" w:before="4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val="true"/>
      <w:keepLines w:val="true"/>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val="true"/>
      <w:keepLines w:val="true"/>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left w:w="108" w:type="dxa"/>
        <w:top w:w="0" w:type="dxa"/>
        <w:right w:w="108" w:type="dxa"/>
        <w:bottom w:w="0"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Pr>
      <w:rFonts w:asciiTheme="minorHAnsi" w:hAnsiTheme="minorHAns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val="true"/>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Pr>
      <w:rFonts w:asciiTheme="minorHAnsi" w:hAnsiTheme="min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QuoteChar" w:customStyle="1">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val="true"/>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IntenseQuoteChar" w:customStyle="1">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customStyle="1">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basedOn w:val="DefaultParagraphFont"/>
    <w:uiPriority w:val="99"/>
    <w:semiHidden/>
    <w:rPr>
      <w:color w:val="666666"/>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hyperlink" Target="http://www.agoa.gov/eligibility/apparel_eligibility.html"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Arial"/>
        <a:cs typeface="Arial"/>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Arial"/>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4BFA39-A49C-40AE-BF84-B70577DFE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12</Pages>
  <Words>2264</Words>
  <Characters>12906</Characters>
  <CharactersWithSpaces>15140</CharactersWithSpaces>
  <Application>ONLYOFFICE/9.2.0.100</Application>
  <DocSecurity>0</DocSecurity>
  <Lines>107</Lines>
  <Paragraphs>30</Paragraphs>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stdk</dc:creator>
  <cp:keywords/>
  <dc:description/>
  <cp:lastModifiedBy>stdk</cp:lastModifiedBy>
  <cp:revision>5</cp:revision>
  <dcterms:created xsi:type="dcterms:W3CDTF">2025-03-01T11:07:00Z</dcterms:created>
  <dcterms:modified xsi:type="dcterms:W3CDTF">2025-03-01T12:27:00Z</dcterms:modified>
</cp:coreProperties>
</file>