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1C516">
      <w:pPr>
        <w:jc w:val="center"/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285750</wp:posOffset>
            </wp:positionH>
            <wp:positionV relativeFrom="page">
              <wp:posOffset>418465</wp:posOffset>
            </wp:positionV>
            <wp:extent cx="5353050" cy="1362075"/>
            <wp:effectExtent l="0" t="0" r="0" b="9525"/>
            <wp:wrapTight wrapText="bothSides">
              <wp:wrapPolygon>
                <wp:start x="0" y="0"/>
                <wp:lineTo x="0" y="21449"/>
                <wp:lineTo x="21523" y="21449"/>
                <wp:lineTo x="21523" y="0"/>
                <wp:lineTo x="0" y="0"/>
              </wp:wrapPolygon>
            </wp:wrapTight>
            <wp:docPr id="2" name="Picture 2" descr="IMG-20221221-WA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21221-WA000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BDF9EC">
      <w:pPr>
        <w:pStyle w:val="11"/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EDUCATION </w:t>
      </w:r>
      <w:r>
        <w:rPr>
          <w:rFonts w:hint="default" w:ascii="Times New Roman" w:hAnsi="Times New Roman" w:cs="Times New Roman"/>
          <w:b/>
          <w:lang w:val="en-US"/>
        </w:rPr>
        <w:t xml:space="preserve">AND TRAINING </w:t>
      </w:r>
      <w:r>
        <w:rPr>
          <w:rFonts w:ascii="Times New Roman" w:hAnsi="Times New Roman" w:cs="Times New Roman"/>
          <w:b/>
        </w:rPr>
        <w:t>DEPARTMENT</w:t>
      </w:r>
    </w:p>
    <w:p w14:paraId="3069772C">
      <w:pPr>
        <w:pStyle w:val="2"/>
        <w:spacing w:line="240" w:lineRule="auto"/>
        <w:rPr>
          <w:rFonts w:ascii="Times New Roman" w:hAnsi="Times New Roman" w:eastAsia="Times New Roman"/>
          <w:b/>
          <w:bCs w:val="0"/>
          <w:sz w:val="24"/>
          <w:szCs w:val="24"/>
          <w:lang w:eastAsia="en-GB"/>
        </w:rPr>
      </w:pPr>
      <w:r>
        <w:rPr>
          <w:rFonts w:hint="default" w:ascii="Times New Roman" w:hAnsi="Times New Roman"/>
          <w:b w:val="0"/>
          <w:bCs w:val="0"/>
          <w:i w:val="0"/>
          <w:sz w:val="24"/>
          <w:lang w:val="en-US"/>
        </w:rPr>
        <w:t>Course Outline</w:t>
      </w:r>
    </w:p>
    <w:p w14:paraId="2BF423C8">
      <w:pPr>
        <w:spacing w:before="100" w:beforeAutospacing="1" w:after="0" w:line="240" w:lineRule="auto"/>
        <w:contextualSpacing/>
        <w:jc w:val="both"/>
        <w:rPr>
          <w:rFonts w:ascii="Times New Roman" w:hAnsi="Times New Roman" w:eastAsia="Times New Roman"/>
          <w:b w:val="0"/>
          <w:bCs/>
          <w:sz w:val="24"/>
          <w:szCs w:val="24"/>
          <w:lang w:eastAsia="en-GB"/>
        </w:rPr>
      </w:pPr>
      <w:r>
        <w:rPr>
          <w:rFonts w:ascii="Times New Roman" w:hAnsi="Times New Roman" w:eastAsia="Times New Roman"/>
          <w:b/>
          <w:bCs w:val="0"/>
          <w:sz w:val="24"/>
          <w:szCs w:val="24"/>
          <w:lang w:eastAsia="en-GB"/>
        </w:rPr>
        <w:t>Q</w:t>
      </w:r>
      <w:r>
        <w:rPr>
          <w:rFonts w:hint="default" w:ascii="Times New Roman" w:hAnsi="Times New Roman" w:eastAsia="Times New Roman"/>
          <w:b/>
          <w:bCs w:val="0"/>
          <w:sz w:val="24"/>
          <w:szCs w:val="24"/>
          <w:lang w:val="en-US" w:eastAsia="en-GB"/>
        </w:rPr>
        <w:t>ualification</w:t>
      </w:r>
      <w:r>
        <w:rPr>
          <w:rFonts w:ascii="Times New Roman" w:hAnsi="Times New Roman" w:eastAsia="Times New Roman"/>
          <w:b/>
          <w:bCs w:val="0"/>
          <w:sz w:val="24"/>
          <w:szCs w:val="24"/>
          <w:lang w:eastAsia="en-GB"/>
        </w:rPr>
        <w:t>:</w:t>
      </w:r>
      <w:r>
        <w:rPr>
          <w:rFonts w:ascii="Times New Roman" w:hAnsi="Times New Roman" w:eastAsia="Times New Roman"/>
          <w:b w:val="0"/>
          <w:bCs/>
          <w:sz w:val="24"/>
          <w:szCs w:val="24"/>
          <w:lang w:eastAsia="en-GB"/>
        </w:rPr>
        <w:t xml:space="preserve"> Professional Technical Trainer Level 6</w:t>
      </w:r>
    </w:p>
    <w:p w14:paraId="6DE155A9">
      <w:pPr>
        <w:pStyle w:val="2"/>
        <w:spacing w:line="240" w:lineRule="auto"/>
        <w:rPr>
          <w:rFonts w:ascii="Times New Roman" w:hAnsi="Times New Roman"/>
          <w:i w:val="0"/>
          <w:sz w:val="24"/>
        </w:rPr>
      </w:pPr>
      <w:r>
        <w:rPr>
          <w:rFonts w:hint="default" w:ascii="Times New Roman" w:hAnsi="Times New Roman"/>
          <w:b/>
          <w:bCs/>
          <w:i w:val="0"/>
          <w:sz w:val="24"/>
          <w:lang w:val="en-US"/>
        </w:rPr>
        <w:t>Unit of competency:</w:t>
      </w:r>
      <w:r>
        <w:rPr>
          <w:rFonts w:hint="default" w:ascii="Times New Roman" w:hAnsi="Times New Roman"/>
          <w:b w:val="0"/>
          <w:bCs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i w:val="0"/>
          <w:sz w:val="24"/>
        </w:rPr>
        <w:t xml:space="preserve">Competency Based Education </w:t>
      </w:r>
      <w:r>
        <w:rPr>
          <w:rFonts w:hint="default" w:ascii="Times New Roman" w:hAnsi="Times New Roman"/>
          <w:b w:val="0"/>
          <w:bCs w:val="0"/>
          <w:i w:val="0"/>
          <w:sz w:val="24"/>
          <w:lang w:val="en-US"/>
        </w:rPr>
        <w:t>a</w:t>
      </w:r>
      <w:r>
        <w:rPr>
          <w:rFonts w:ascii="Times New Roman" w:hAnsi="Times New Roman"/>
          <w:b w:val="0"/>
          <w:bCs w:val="0"/>
          <w:i w:val="0"/>
          <w:sz w:val="24"/>
        </w:rPr>
        <w:t>nd Training Curriculum Development</w:t>
      </w:r>
    </w:p>
    <w:p w14:paraId="390F0548">
      <w:pPr>
        <w:keepNext w:val="0"/>
        <w:keepLines w:val="0"/>
        <w:widowControl/>
        <w:suppressLineNumbers w:val="0"/>
        <w:spacing w:before="0" w:beforeAutospacing="1" w:after="0" w:afterAutospacing="0" w:line="240" w:lineRule="auto"/>
        <w:ind w:left="0" w:right="0"/>
        <w:jc w:val="both"/>
        <w:rPr>
          <w:rFonts w:hint="default" w:ascii="Calibri" w:hAnsi="Calibri" w:eastAsia="Calibri" w:cs="Calibri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Calibri" w:cs="Calibri"/>
          <w:b/>
          <w:bCs w:val="0"/>
          <w:kern w:val="0"/>
          <w:sz w:val="24"/>
          <w:szCs w:val="24"/>
          <w:lang w:val="en-US" w:eastAsia="zh-CN" w:bidi="ar"/>
        </w:rPr>
        <w:t xml:space="preserve">Unit Code: </w:t>
      </w:r>
      <w:r>
        <w:rPr>
          <w:rFonts w:hint="default" w:ascii="Calibri" w:hAnsi="Calibri" w:eastAsia="Calibri" w:cs="Calibri"/>
          <w:b w:val="0"/>
          <w:bCs/>
          <w:kern w:val="0"/>
          <w:sz w:val="24"/>
          <w:szCs w:val="24"/>
          <w:lang w:val="en-US" w:eastAsia="zh-CN" w:bidi="ar"/>
        </w:rPr>
        <w:t>B7102</w:t>
      </w:r>
    </w:p>
    <w:p w14:paraId="0A0EAA90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Duration of Unit:</w:t>
      </w:r>
      <w:r>
        <w:rPr>
          <w:rFonts w:hint="default" w:ascii="Calibri" w:hAnsi="Calibri" w:cs="Calibri"/>
          <w:sz w:val="24"/>
          <w:szCs w:val="24"/>
        </w:rPr>
        <w:t xml:space="preserve"> 30 hours</w:t>
      </w:r>
    </w:p>
    <w:p w14:paraId="1173C150">
      <w:pPr>
        <w:keepNext w:val="0"/>
        <w:keepLines w:val="0"/>
        <w:widowControl/>
        <w:suppressLineNumbers w:val="0"/>
        <w:spacing w:before="0" w:beforeAutospacing="1" w:after="0" w:afterAutospacing="0" w:line="240" w:lineRule="auto"/>
        <w:ind w:left="0" w:right="0"/>
        <w:jc w:val="both"/>
        <w:rPr>
          <w:rFonts w:hint="default" w:ascii="Calibri" w:hAnsi="Calibri" w:eastAsia="Calibri" w:cs="Calibri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cs="Calibri"/>
          <w:b/>
          <w:bCs/>
          <w:i w:val="0"/>
          <w:sz w:val="24"/>
          <w:lang w:val="en-US"/>
        </w:rPr>
        <w:t>Unit Description</w:t>
      </w:r>
      <w:r>
        <w:rPr>
          <w:rFonts w:hint="default" w:ascii="Calibri" w:hAnsi="Calibri" w:cs="Calibri"/>
          <w:i w:val="0"/>
          <w:sz w:val="24"/>
          <w:lang w:val="en-US"/>
        </w:rPr>
        <w:t xml:space="preserve">: </w:t>
      </w:r>
      <w:r>
        <w:rPr>
          <w:rFonts w:hint="default" w:ascii="Calibri" w:hAnsi="Calibri" w:cs="Calibri"/>
          <w:sz w:val="24"/>
          <w:szCs w:val="24"/>
        </w:rPr>
        <w:t>This unit covers the competencies required to de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velop a </w:t>
      </w:r>
      <w:r>
        <w:rPr>
          <w:rFonts w:hint="default" w:ascii="Calibri" w:hAnsi="Calibri" w:cs="Calibri"/>
          <w:sz w:val="24"/>
          <w:szCs w:val="24"/>
        </w:rPr>
        <w:t xml:space="preserve">competence based curriculum . It involves 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applying </w:t>
      </w:r>
      <w:r>
        <w:rPr>
          <w:rFonts w:hint="default" w:ascii="Calibri" w:hAnsi="Calibri" w:cs="Calibri"/>
          <w:sz w:val="24"/>
          <w:szCs w:val="24"/>
        </w:rPr>
        <w:t>curriculum development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concepts</w:t>
      </w:r>
      <w:r>
        <w:rPr>
          <w:rFonts w:hint="default" w:ascii="Calibri" w:hAnsi="Calibri" w:cs="Calibri"/>
          <w:sz w:val="24"/>
          <w:szCs w:val="24"/>
        </w:rPr>
        <w:t>, developing competency-based education and training curriculum and reviewing curriculum. This standard applies in the Technical and Vocational Education and Training sector</w:t>
      </w:r>
    </w:p>
    <w:p w14:paraId="46C978B1">
      <w:pPr>
        <w:pStyle w:val="11"/>
        <w:spacing w:line="240" w:lineRule="auto"/>
        <w:jc w:val="center"/>
        <w:rPr>
          <w:rFonts w:hint="default" w:ascii="Calibri" w:hAnsi="Calibri" w:cs="Calibri"/>
          <w:b/>
        </w:rPr>
      </w:pPr>
    </w:p>
    <w:p w14:paraId="57026918">
      <w:pPr>
        <w:spacing w:line="240" w:lineRule="auto"/>
        <w:rPr>
          <w:rFonts w:hint="default" w:ascii="Calibri" w:hAnsi="Calibri" w:cs="Calibri"/>
          <w:b/>
          <w:sz w:val="24"/>
          <w:szCs w:val="24"/>
          <w:u w:val="single"/>
        </w:rPr>
      </w:pPr>
      <w:r>
        <w:rPr>
          <w:rFonts w:hint="default" w:ascii="Calibri" w:hAnsi="Calibri" w:cs="Calibri"/>
          <w:b/>
          <w:sz w:val="24"/>
          <w:szCs w:val="24"/>
          <w:u w:val="single"/>
        </w:rPr>
        <w:t>Summary of Learning Outcomes</w:t>
      </w:r>
    </w:p>
    <w:p w14:paraId="382B87CB">
      <w:pPr>
        <w:pStyle w:val="9"/>
        <w:numPr>
          <w:ilvl w:val="0"/>
          <w:numId w:val="1"/>
        </w:numPr>
        <w:spacing w:after="0"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>Apply</w:t>
      </w:r>
      <w:r>
        <w:rPr>
          <w:rFonts w:hint="default" w:ascii="Calibri" w:hAnsi="Calibri" w:cs="Calibri"/>
          <w:sz w:val="24"/>
          <w:szCs w:val="24"/>
        </w:rPr>
        <w:t xml:space="preserve"> curriculum 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development </w:t>
      </w:r>
      <w:r>
        <w:rPr>
          <w:rFonts w:hint="default" w:ascii="Calibri" w:hAnsi="Calibri" w:cs="Calibri"/>
          <w:sz w:val="24"/>
          <w:szCs w:val="24"/>
        </w:rPr>
        <w:t>concepts</w:t>
      </w:r>
    </w:p>
    <w:p w14:paraId="0FEEFA45">
      <w:pPr>
        <w:pStyle w:val="9"/>
        <w:numPr>
          <w:ilvl w:val="0"/>
          <w:numId w:val="1"/>
        </w:numPr>
        <w:spacing w:after="0"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Develop competency based education and training curriculum</w:t>
      </w:r>
    </w:p>
    <w:p w14:paraId="7ACF2AAD">
      <w:pPr>
        <w:pStyle w:val="9"/>
        <w:numPr>
          <w:ilvl w:val="0"/>
          <w:numId w:val="1"/>
        </w:numPr>
        <w:spacing w:after="0"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>Review CBET curriculum</w:t>
      </w:r>
    </w:p>
    <w:tbl>
      <w:tblPr>
        <w:tblStyle w:val="8"/>
        <w:tblpPr w:leftFromText="180" w:rightFromText="180" w:vertAnchor="text" w:horzAnchor="page" w:tblpX="1084" w:tblpY="467"/>
        <w:tblOverlap w:val="never"/>
        <w:tblW w:w="89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3603"/>
        <w:gridCol w:w="2571"/>
        <w:gridCol w:w="843"/>
      </w:tblGrid>
      <w:tr w14:paraId="547C6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384D1B4C">
            <w:pPr>
              <w:spacing w:after="0" w:line="240" w:lineRule="auto"/>
              <w:jc w:val="center"/>
              <w:rPr>
                <w:rFonts w:hint="default" w:cs="Times New Roman" w:asciiTheme="minorAscii" w:hAnsiTheme="minorAsci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24"/>
                <w:szCs w:val="24"/>
              </w:rPr>
              <w:t>T</w:t>
            </w:r>
            <w:r>
              <w:rPr>
                <w:rFonts w:hint="default" w:cs="Times New Roman" w:asciiTheme="minorAscii" w:hAnsiTheme="minorAscii"/>
                <w:b/>
                <w:bCs/>
                <w:sz w:val="24"/>
                <w:szCs w:val="24"/>
                <w:lang w:val="en-US"/>
              </w:rPr>
              <w:t>opic</w:t>
            </w:r>
          </w:p>
        </w:tc>
        <w:tc>
          <w:tcPr>
            <w:tcW w:w="3603" w:type="dxa"/>
          </w:tcPr>
          <w:p w14:paraId="4BB6F8DD">
            <w:pPr>
              <w:spacing w:after="0" w:line="240" w:lineRule="auto"/>
              <w:jc w:val="center"/>
              <w:rPr>
                <w:rFonts w:hint="default" w:cs="Times New Roman" w:asciiTheme="minorAscii" w:hAnsiTheme="minorAsci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24"/>
                <w:szCs w:val="24"/>
              </w:rPr>
              <w:t>S</w:t>
            </w:r>
            <w:r>
              <w:rPr>
                <w:rFonts w:hint="default" w:cs="Times New Roman" w:asciiTheme="minorAscii" w:hAnsiTheme="minorAscii"/>
                <w:b/>
                <w:bCs/>
                <w:sz w:val="24"/>
                <w:szCs w:val="24"/>
                <w:lang w:val="en-US"/>
              </w:rPr>
              <w:t>ubtopic</w:t>
            </w:r>
          </w:p>
        </w:tc>
        <w:tc>
          <w:tcPr>
            <w:tcW w:w="2571" w:type="dxa"/>
          </w:tcPr>
          <w:p w14:paraId="12A2528C">
            <w:pPr>
              <w:spacing w:after="0" w:line="360" w:lineRule="auto"/>
              <w:ind w:left="360"/>
              <w:rPr>
                <w:rFonts w:hint="default" w:eastAsia="Calibri" w:cs="Times New Roman" w:asciiTheme="minorAscii" w:hAnsiTheme="minorAscii"/>
                <w:b/>
                <w:sz w:val="24"/>
                <w:szCs w:val="24"/>
                <w:lang w:val="en-ZA"/>
              </w:rPr>
            </w:pPr>
            <w:r>
              <w:rPr>
                <w:rFonts w:hint="default" w:eastAsia="Calibri" w:cs="Times New Roman" w:asciiTheme="minorAscii" w:hAnsiTheme="minorAscii"/>
                <w:b/>
                <w:sz w:val="24"/>
                <w:szCs w:val="24"/>
                <w:lang w:val="en-ZA"/>
              </w:rPr>
              <w:t>Activities</w:t>
            </w:r>
          </w:p>
        </w:tc>
        <w:tc>
          <w:tcPr>
            <w:tcW w:w="843" w:type="dxa"/>
          </w:tcPr>
          <w:p w14:paraId="4A16A32F">
            <w:pPr>
              <w:spacing w:after="0" w:line="240" w:lineRule="auto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TIME (HRS)</w:t>
            </w:r>
          </w:p>
        </w:tc>
      </w:tr>
      <w:tr w14:paraId="59081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5" w:hRule="atLeast"/>
        </w:trPr>
        <w:tc>
          <w:tcPr>
            <w:tcW w:w="1934" w:type="dxa"/>
          </w:tcPr>
          <w:p w14:paraId="51BB004F">
            <w:pPr>
              <w:spacing w:after="0" w:line="240" w:lineRule="auto"/>
              <w:jc w:val="both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 xml:space="preserve">Introduction </w:t>
            </w:r>
          </w:p>
        </w:tc>
        <w:tc>
          <w:tcPr>
            <w:tcW w:w="3603" w:type="dxa"/>
          </w:tcPr>
          <w:p w14:paraId="2A4666C3">
            <w:pPr>
              <w:pStyle w:val="9"/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Terms and concepts</w:t>
            </w:r>
          </w:p>
          <w:p w14:paraId="6B32F5C5">
            <w:pPr>
              <w:pStyle w:val="9"/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 xml:space="preserve">Rationale </w:t>
            </w: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for the study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 xml:space="preserve"> curriculum development</w:t>
            </w:r>
          </w:p>
          <w:p w14:paraId="711743DC">
            <w:pPr>
              <w:pStyle w:val="9"/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Purpose of the curriculum</w:t>
            </w:r>
          </w:p>
          <w:p w14:paraId="2B17AD2B">
            <w:pPr>
              <w:pStyle w:val="9"/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Curriculum Dimensions</w:t>
            </w: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 xml:space="preserve"> - (Formal, informal, non formal, emerging)</w:t>
            </w:r>
          </w:p>
        </w:tc>
        <w:tc>
          <w:tcPr>
            <w:tcW w:w="2571" w:type="dxa"/>
          </w:tcPr>
          <w:p w14:paraId="7F52E11B">
            <w:pPr>
              <w:spacing w:after="0" w:line="360" w:lineRule="auto"/>
              <w:rPr>
                <w:rFonts w:hint="default" w:eastAsia="Calibri" w:cs="Times New Roman" w:asciiTheme="minorAscii" w:hAnsiTheme="minorAsci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eastAsia="Calibri" w:cs="Times New Roman" w:asciiTheme="minorAscii" w:hAnsiTheme="minorAscii"/>
                <w:b w:val="0"/>
                <w:bCs/>
                <w:sz w:val="24"/>
                <w:szCs w:val="24"/>
                <w:lang w:val="en-US"/>
              </w:rPr>
              <w:t>Think pair share</w:t>
            </w:r>
          </w:p>
          <w:p w14:paraId="0078A346">
            <w:pPr>
              <w:spacing w:after="0" w:line="360" w:lineRule="auto"/>
              <w:rPr>
                <w:rFonts w:hint="default" w:eastAsia="Calibri" w:cs="Times New Roman" w:asciiTheme="minorAscii" w:hAnsiTheme="minorAsci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b w:val="0"/>
                <w:bCs/>
                <w:sz w:val="24"/>
                <w:szCs w:val="24"/>
                <w:lang w:val="en-US"/>
              </w:rPr>
              <w:t>Documentary review</w:t>
            </w:r>
          </w:p>
          <w:p w14:paraId="43EA5199">
            <w:pPr>
              <w:spacing w:after="0" w:line="360" w:lineRule="auto"/>
              <w:rPr>
                <w:rFonts w:hint="default" w:eastAsia="Calibri" w:cs="Times New Roman" w:asciiTheme="minorAscii" w:hAnsiTheme="minorAscii"/>
                <w:sz w:val="24"/>
                <w:szCs w:val="24"/>
                <w:lang w:val="en-ZA"/>
              </w:rPr>
            </w:pPr>
            <w:r>
              <w:rPr>
                <w:rFonts w:hint="default" w:eastAsia="Calibri" w:cs="Times New Roman" w:asciiTheme="minorAscii" w:hAnsiTheme="minorAscii"/>
                <w:b w:val="0"/>
                <w:bCs/>
                <w:sz w:val="24"/>
                <w:szCs w:val="24"/>
                <w:lang w:val="en-US"/>
              </w:rPr>
              <w:t>Reverse Socratic questioning</w:t>
            </w:r>
          </w:p>
        </w:tc>
        <w:tc>
          <w:tcPr>
            <w:tcW w:w="843" w:type="dxa"/>
          </w:tcPr>
          <w:p w14:paraId="6B606C97">
            <w:pPr>
              <w:spacing w:after="0" w:line="240" w:lineRule="auto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2</w:t>
            </w:r>
          </w:p>
        </w:tc>
      </w:tr>
      <w:tr w14:paraId="0D85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5E444DF3">
            <w:pPr>
              <w:spacing w:after="0" w:line="240" w:lineRule="auto"/>
              <w:jc w:val="both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Curriculum Elements</w:t>
            </w:r>
          </w:p>
        </w:tc>
        <w:tc>
          <w:tcPr>
            <w:tcW w:w="3603" w:type="dxa"/>
          </w:tcPr>
          <w:p w14:paraId="7FAFDD04">
            <w:pPr>
              <w:pStyle w:val="9"/>
              <w:spacing w:after="0" w:line="240" w:lineRule="auto"/>
              <w:ind w:left="0" w:leftChars="0" w:firstLine="0" w:firstLineChars="0"/>
              <w:jc w:val="both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Objectives</w:t>
            </w:r>
          </w:p>
          <w:p w14:paraId="42DBE8A3">
            <w:pPr>
              <w:pStyle w:val="9"/>
              <w:spacing w:after="0" w:line="240" w:lineRule="auto"/>
              <w:ind w:left="0" w:leftChars="0" w:firstLine="0" w:firstLineChars="0"/>
              <w:jc w:val="both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Learning experiences</w:t>
            </w:r>
          </w:p>
          <w:p w14:paraId="3AECF0DC">
            <w:pPr>
              <w:pStyle w:val="9"/>
              <w:spacing w:after="0" w:line="240" w:lineRule="auto"/>
              <w:ind w:left="0" w:leftChars="0" w:firstLine="0" w:firstLineChars="0"/>
              <w:jc w:val="both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 xml:space="preserve">Content </w:t>
            </w:r>
          </w:p>
          <w:p w14:paraId="0CAB33A4">
            <w:pPr>
              <w:pStyle w:val="9"/>
              <w:spacing w:after="0" w:line="240" w:lineRule="auto"/>
              <w:ind w:left="0" w:leftChars="0" w:firstLine="0" w:firstLineChars="0"/>
              <w:jc w:val="both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Evaluation</w:t>
            </w:r>
          </w:p>
        </w:tc>
        <w:tc>
          <w:tcPr>
            <w:tcW w:w="2571" w:type="dxa"/>
          </w:tcPr>
          <w:p w14:paraId="3E47E2BD">
            <w:pPr>
              <w:spacing w:after="0" w:line="360" w:lineRule="auto"/>
              <w:rPr>
                <w:rFonts w:hint="default" w:eastAsia="Calibri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4"/>
                <w:szCs w:val="24"/>
                <w:lang w:val="en-US"/>
              </w:rPr>
              <w:t xml:space="preserve">Documentary review </w:t>
            </w:r>
          </w:p>
          <w:p w14:paraId="0245D093">
            <w:pPr>
              <w:spacing w:after="0" w:line="360" w:lineRule="auto"/>
              <w:rPr>
                <w:rFonts w:hint="default" w:eastAsia="Calibri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4"/>
                <w:szCs w:val="24"/>
                <w:lang w:val="en-US"/>
              </w:rPr>
              <w:t>Circle of voices</w:t>
            </w:r>
          </w:p>
          <w:p w14:paraId="2A40B10C">
            <w:pPr>
              <w:spacing w:after="0" w:line="360" w:lineRule="auto"/>
              <w:rPr>
                <w:rFonts w:hint="default" w:eastAsia="Calibri" w:cs="Times New Roman" w:asciiTheme="minorAscii" w:hAnsiTheme="minorAscii"/>
                <w:b/>
                <w:sz w:val="24"/>
                <w:szCs w:val="24"/>
                <w:lang w:val="en-ZA"/>
              </w:rPr>
            </w:pPr>
          </w:p>
        </w:tc>
        <w:tc>
          <w:tcPr>
            <w:tcW w:w="843" w:type="dxa"/>
          </w:tcPr>
          <w:p w14:paraId="3F0C6057">
            <w:pPr>
              <w:spacing w:after="0" w:line="240" w:lineRule="auto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2</w:t>
            </w:r>
          </w:p>
        </w:tc>
      </w:tr>
      <w:tr w14:paraId="6C34F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1C56B0B6">
            <w:pPr>
              <w:spacing w:after="0" w:line="240" w:lineRule="auto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Curriculum Development Models</w:t>
            </w:r>
          </w:p>
        </w:tc>
        <w:tc>
          <w:tcPr>
            <w:tcW w:w="3603" w:type="dxa"/>
          </w:tcPr>
          <w:p w14:paraId="3EC6230E">
            <w:pPr>
              <w:pStyle w:val="9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 xml:space="preserve">Curriculum Models </w:t>
            </w:r>
          </w:p>
          <w:p w14:paraId="75F76C2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1080" w:leftChars="0" w:hanging="420" w:firstLineChars="0"/>
              <w:jc w:val="both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Ralph Tyler</w:t>
            </w:r>
          </w:p>
          <w:p w14:paraId="3CB4012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1080" w:leftChars="0" w:hanging="420" w:firstLineChars="0"/>
              <w:jc w:val="both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wheeler</w:t>
            </w:r>
          </w:p>
          <w:p w14:paraId="05F11EB0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1080" w:leftChars="0" w:hanging="420" w:firstLineChars="0"/>
              <w:jc w:val="both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 xml:space="preserve">KICD </w:t>
            </w:r>
          </w:p>
          <w:p w14:paraId="2EA340D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1080" w:leftChars="0" w:hanging="420" w:firstLineChars="0"/>
              <w:jc w:val="both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CBET</w:t>
            </w:r>
          </w:p>
        </w:tc>
        <w:tc>
          <w:tcPr>
            <w:tcW w:w="2571" w:type="dxa"/>
          </w:tcPr>
          <w:p w14:paraId="1A147B2A">
            <w:pPr>
              <w:pStyle w:val="9"/>
              <w:widowControl w:val="0"/>
              <w:numPr>
                <w:ilvl w:val="0"/>
                <w:numId w:val="0"/>
              </w:numPr>
              <w:adjustRightInd w:val="0"/>
              <w:spacing w:after="0" w:line="276" w:lineRule="auto"/>
              <w:textAlignment w:val="baseline"/>
              <w:rPr>
                <w:rFonts w:hint="default" w:eastAsia="Calibri" w:cs="Times New Roman" w:asciiTheme="minorAscii" w:hAnsiTheme="minorAscii"/>
                <w:sz w:val="24"/>
                <w:szCs w:val="24"/>
                <w:lang w:val="en-ZA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Group instructional feedback</w:t>
            </w:r>
          </w:p>
        </w:tc>
        <w:tc>
          <w:tcPr>
            <w:tcW w:w="843" w:type="dxa"/>
          </w:tcPr>
          <w:p w14:paraId="055FC401">
            <w:pPr>
              <w:spacing w:after="0" w:line="240" w:lineRule="auto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2</w:t>
            </w:r>
          </w:p>
        </w:tc>
      </w:tr>
      <w:tr w14:paraId="7815C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14B46EF4">
            <w:pPr>
              <w:spacing w:after="0" w:line="240" w:lineRule="auto"/>
              <w:jc w:val="both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Curriculum Designs</w:t>
            </w:r>
          </w:p>
        </w:tc>
        <w:tc>
          <w:tcPr>
            <w:tcW w:w="3603" w:type="dxa"/>
          </w:tcPr>
          <w:p w14:paraId="62A1FC5A">
            <w:pPr>
              <w:pStyle w:val="9"/>
              <w:numPr>
                <w:ilvl w:val="0"/>
                <w:numId w:val="0"/>
              </w:numPr>
              <w:spacing w:after="0" w:line="240" w:lineRule="auto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Curriculum Designs</w:t>
            </w: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 xml:space="preserve"> (strengths and weaknesses and relevance in CBET Curricum development </w:t>
            </w:r>
          </w:p>
          <w:p w14:paraId="0CCB5BB0">
            <w:pPr>
              <w:pStyle w:val="9"/>
              <w:numPr>
                <w:ilvl w:val="0"/>
                <w:numId w:val="0"/>
              </w:numPr>
              <w:spacing w:after="0" w:line="240" w:lineRule="auto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- Subject centred</w:t>
            </w:r>
          </w:p>
          <w:p w14:paraId="599E5D9C">
            <w:pPr>
              <w:pStyle w:val="9"/>
              <w:numPr>
                <w:ilvl w:val="0"/>
                <w:numId w:val="0"/>
              </w:numPr>
              <w:spacing w:after="0" w:line="240" w:lineRule="auto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- Broad based design</w:t>
            </w:r>
          </w:p>
          <w:p w14:paraId="2A092707">
            <w:pPr>
              <w:pStyle w:val="9"/>
              <w:numPr>
                <w:ilvl w:val="0"/>
                <w:numId w:val="0"/>
              </w:numPr>
              <w:spacing w:after="0" w:line="240" w:lineRule="auto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>Learner centred design</w:t>
            </w:r>
          </w:p>
          <w:p w14:paraId="6896E4C7">
            <w:pPr>
              <w:pStyle w:val="9"/>
              <w:numPr>
                <w:ilvl w:val="0"/>
                <w:numId w:val="0"/>
              </w:numPr>
              <w:spacing w:after="0" w:line="240" w:lineRule="auto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>Activity based design</w:t>
            </w:r>
          </w:p>
          <w:p w14:paraId="4230A6FC">
            <w:pPr>
              <w:pStyle w:val="9"/>
              <w:numPr>
                <w:ilvl w:val="0"/>
                <w:numId w:val="0"/>
              </w:numPr>
              <w:spacing w:after="0" w:line="240" w:lineRule="auto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>Core curricular design</w:t>
            </w:r>
          </w:p>
        </w:tc>
        <w:tc>
          <w:tcPr>
            <w:tcW w:w="2571" w:type="dxa"/>
          </w:tcPr>
          <w:p w14:paraId="189F8234">
            <w:pPr>
              <w:spacing w:after="0" w:line="360" w:lineRule="auto"/>
              <w:rPr>
                <w:rFonts w:hint="default" w:eastAsia="Calibri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4"/>
                <w:szCs w:val="24"/>
                <w:lang w:val="en-ZA"/>
              </w:rPr>
              <w:t xml:space="preserve"> </w:t>
            </w:r>
            <w:r>
              <w:rPr>
                <w:rFonts w:hint="default" w:eastAsia="Calibri" w:cs="Times New Roman" w:asciiTheme="minorAscii" w:hAnsiTheme="minorAscii"/>
                <w:sz w:val="24"/>
                <w:szCs w:val="24"/>
                <w:lang w:val="en-US"/>
              </w:rPr>
              <w:t xml:space="preserve">Peer feedback </w:t>
            </w:r>
          </w:p>
        </w:tc>
        <w:tc>
          <w:tcPr>
            <w:tcW w:w="843" w:type="dxa"/>
          </w:tcPr>
          <w:p w14:paraId="0015DC82">
            <w:pPr>
              <w:spacing w:after="0" w:line="240" w:lineRule="auto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2</w:t>
            </w:r>
          </w:p>
        </w:tc>
      </w:tr>
      <w:tr w14:paraId="12C6F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5891668B">
            <w:pPr>
              <w:spacing w:after="0" w:line="240" w:lineRule="auto"/>
              <w:jc w:val="both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Occupational standard</w:t>
            </w:r>
          </w:p>
        </w:tc>
        <w:tc>
          <w:tcPr>
            <w:tcW w:w="3603" w:type="dxa"/>
          </w:tcPr>
          <w:p w14:paraId="145DB8CE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76" w:lineRule="auto"/>
              <w:ind w:right="0" w:rightChars="0"/>
              <w:rPr>
                <w:rFonts w:hint="default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Steps of developing an Occuaption standard </w:t>
            </w:r>
          </w:p>
          <w:p w14:paraId="00E8DC68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76" w:lineRule="auto"/>
              <w:ind w:right="0" w:rightChars="0"/>
              <w:rPr>
                <w:rFonts w:hint="default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>-     Training Needs assessment</w:t>
            </w:r>
          </w:p>
          <w:p w14:paraId="1842D23F">
            <w:pPr>
              <w:pStyle w:val="9"/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0" w:after="0" w:afterAutospacing="0" w:line="276" w:lineRule="auto"/>
              <w:ind w:left="360" w:leftChars="0" w:right="0" w:firstLineChars="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 xml:space="preserve">Occupation analysis </w:t>
            </w:r>
          </w:p>
          <w:p w14:paraId="0585C922">
            <w:pPr>
              <w:pStyle w:val="9"/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0" w:after="0" w:afterAutospacing="0" w:line="276" w:lineRule="auto"/>
              <w:ind w:left="360" w:leftChars="0" w:right="0" w:firstLineChars="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Task analysis</w:t>
            </w:r>
          </w:p>
          <w:p w14:paraId="5597074A">
            <w:pPr>
              <w:pStyle w:val="9"/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0" w:after="0" w:afterAutospacing="0" w:line="276" w:lineRule="auto"/>
              <w:ind w:left="360" w:leftChars="0" w:right="0" w:firstLineChars="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>Occupational analysis chart</w:t>
            </w:r>
          </w:p>
          <w:p w14:paraId="1F7E0676">
            <w:pPr>
              <w:pStyle w:val="9"/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0" w:after="0" w:afterAutospacing="0" w:line="276" w:lineRule="auto"/>
              <w:ind w:left="360" w:leftChars="0" w:right="0" w:firstLineChars="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Packaging occupational standards</w:t>
            </w:r>
          </w:p>
          <w:p w14:paraId="138BAF9E">
            <w:pPr>
              <w:pStyle w:val="9"/>
              <w:spacing w:after="0" w:line="240" w:lineRule="auto"/>
              <w:ind w:left="1440"/>
              <w:rPr>
                <w:rFonts w:hint="default" w:cs="Times New Roman" w:asciiTheme="minorAscii" w:hAnsiTheme="minorAscii"/>
                <w:sz w:val="24"/>
                <w:szCs w:val="24"/>
              </w:rPr>
            </w:pPr>
          </w:p>
        </w:tc>
        <w:tc>
          <w:tcPr>
            <w:tcW w:w="2571" w:type="dxa"/>
          </w:tcPr>
          <w:p w14:paraId="1C7E8C91">
            <w:pPr>
              <w:spacing w:after="0" w:line="360" w:lineRule="auto"/>
              <w:rPr>
                <w:rFonts w:hint="default" w:eastAsia="Calibri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4"/>
                <w:szCs w:val="24"/>
                <w:lang w:val="en-US"/>
              </w:rPr>
              <w:t>Group tasks and presentation</w:t>
            </w:r>
          </w:p>
        </w:tc>
        <w:tc>
          <w:tcPr>
            <w:tcW w:w="843" w:type="dxa"/>
          </w:tcPr>
          <w:p w14:paraId="4AAD28BF">
            <w:pPr>
              <w:spacing w:after="0" w:line="240" w:lineRule="auto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10</w:t>
            </w:r>
          </w:p>
        </w:tc>
      </w:tr>
      <w:tr w14:paraId="709E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14F6D6E9">
            <w:pPr>
              <w:spacing w:after="0" w:line="240" w:lineRule="auto"/>
              <w:jc w:val="both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 xml:space="preserve">CBET curriculum </w:t>
            </w:r>
          </w:p>
        </w:tc>
        <w:tc>
          <w:tcPr>
            <w:tcW w:w="3603" w:type="dxa"/>
          </w:tcPr>
          <w:p w14:paraId="2663ED4D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76" w:lineRule="auto"/>
              <w:ind w:leftChars="0" w:right="0" w:rightChars="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w:t>Components of a competency based curriculum</w:t>
            </w:r>
          </w:p>
          <w:p w14:paraId="002A865D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76" w:lineRule="auto"/>
              <w:ind w:left="120" w:leftChars="0" w:right="0" w:rightChars="0" w:hanging="120" w:hangingChars="5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Theme="minorAscii" w:hAnsiTheme="minorAscii"/>
                <w:sz w:val="24"/>
                <w:szCs w:val="24"/>
              </w:rPr>
              <w:t>Guidelines for packaging</w:t>
            </w:r>
          </w:p>
          <w:p w14:paraId="41F7AC2E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76" w:lineRule="auto"/>
              <w:ind w:left="120" w:leftChars="0" w:right="0" w:rightChars="0" w:hanging="120" w:hangingChars="5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Theme="minorAscii" w:hAnsiTheme="minorAscii"/>
                <w:sz w:val="24"/>
                <w:szCs w:val="24"/>
              </w:rPr>
              <w:t>competency based curriculum</w:t>
            </w:r>
          </w:p>
          <w:p w14:paraId="3B6F9CD5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76" w:lineRule="auto"/>
              <w:ind w:leftChars="0" w:right="0" w:rightChars="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Theme="minorAscii" w:hAnsiTheme="minorAscii"/>
                <w:sz w:val="24"/>
                <w:szCs w:val="24"/>
              </w:rPr>
              <w:t>Curriculum validation</w:t>
            </w:r>
          </w:p>
          <w:p w14:paraId="23022710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76" w:lineRule="auto"/>
              <w:ind w:leftChars="0" w:right="0" w:rightChars="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>- C</w:t>
            </w:r>
            <w:r>
              <w:rPr>
                <w:rFonts w:hint="default" w:asciiTheme="minorAscii" w:hAnsiTheme="minorAscii"/>
                <w:sz w:val="24"/>
                <w:szCs w:val="24"/>
              </w:rPr>
              <w:t>urriculum evaluation and revision</w:t>
            </w:r>
          </w:p>
          <w:p w14:paraId="4B9E75B7">
            <w:pPr>
              <w:pStyle w:val="9"/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Theme="minorAscii" w:hAnsiTheme="minorAscii"/>
                <w:sz w:val="24"/>
                <w:szCs w:val="24"/>
              </w:rPr>
              <w:t>Curriculum  maintenance</w:t>
            </w:r>
          </w:p>
        </w:tc>
        <w:tc>
          <w:tcPr>
            <w:tcW w:w="2571" w:type="dxa"/>
          </w:tcPr>
          <w:p w14:paraId="630140F5">
            <w:pPr>
              <w:spacing w:after="0" w:line="360" w:lineRule="auto"/>
              <w:rPr>
                <w:rFonts w:hint="default" w:eastAsia="Calibri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4"/>
                <w:szCs w:val="24"/>
                <w:lang w:val="en-US"/>
              </w:rPr>
              <w:t>Group tasks</w:t>
            </w:r>
          </w:p>
        </w:tc>
        <w:tc>
          <w:tcPr>
            <w:tcW w:w="843" w:type="dxa"/>
          </w:tcPr>
          <w:p w14:paraId="639063C1">
            <w:pPr>
              <w:spacing w:after="0" w:line="240" w:lineRule="auto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10</w:t>
            </w:r>
          </w:p>
        </w:tc>
      </w:tr>
      <w:tr w14:paraId="594C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3E8779D3">
            <w:pPr>
              <w:spacing w:after="0" w:line="240" w:lineRule="auto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Curriculum Change and Innovation</w:t>
            </w:r>
          </w:p>
        </w:tc>
        <w:tc>
          <w:tcPr>
            <w:tcW w:w="3603" w:type="dxa"/>
          </w:tcPr>
          <w:p w14:paraId="69DB7A88">
            <w:pPr>
              <w:pStyle w:val="9"/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Types of curriculum change and innovation</w:t>
            </w:r>
          </w:p>
          <w:p w14:paraId="227E35D9">
            <w:pPr>
              <w:pStyle w:val="9"/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Factors influencing curriculum change and innovation</w:t>
            </w:r>
          </w:p>
          <w:p w14:paraId="6BD58537">
            <w:pPr>
              <w:pStyle w:val="9"/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Curriculum change and innovation process</w:t>
            </w:r>
          </w:p>
          <w:p w14:paraId="51EA335C">
            <w:pPr>
              <w:pStyle w:val="9"/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Criteria for judging change and innovation</w:t>
            </w:r>
          </w:p>
        </w:tc>
        <w:tc>
          <w:tcPr>
            <w:tcW w:w="2571" w:type="dxa"/>
          </w:tcPr>
          <w:p w14:paraId="79721852">
            <w:pPr>
              <w:spacing w:after="0" w:line="360" w:lineRule="auto"/>
              <w:rPr>
                <w:rFonts w:hint="default" w:eastAsia="Calibri" w:cs="Times New Roman" w:asciiTheme="minorAscii" w:hAnsiTheme="minorAscii"/>
                <w:sz w:val="24"/>
                <w:szCs w:val="24"/>
                <w:lang w:val="en-ZA"/>
              </w:rPr>
            </w:pPr>
            <w:r>
              <w:rPr>
                <w:rFonts w:hint="default" w:eastAsia="Calibri" w:cs="Times New Roman" w:asciiTheme="minorAscii" w:hAnsiTheme="minorAscii"/>
                <w:sz w:val="24"/>
                <w:szCs w:val="24"/>
                <w:lang w:val="en-ZA"/>
              </w:rPr>
              <w:t>Video clip on curriculum change</w:t>
            </w:r>
          </w:p>
          <w:p w14:paraId="4E392929">
            <w:pPr>
              <w:spacing w:after="0" w:line="360" w:lineRule="auto"/>
              <w:rPr>
                <w:rFonts w:hint="default" w:eastAsia="Calibri" w:cs="Times New Roman" w:asciiTheme="minorAscii" w:hAnsiTheme="minorAscii"/>
                <w:sz w:val="24"/>
                <w:szCs w:val="24"/>
                <w:lang w:val="en-ZA"/>
              </w:rPr>
            </w:pPr>
          </w:p>
        </w:tc>
        <w:tc>
          <w:tcPr>
            <w:tcW w:w="843" w:type="dxa"/>
          </w:tcPr>
          <w:p w14:paraId="4280FC52">
            <w:pPr>
              <w:spacing w:after="0" w:line="240" w:lineRule="auto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en-US"/>
              </w:rPr>
              <w:t>2</w:t>
            </w:r>
          </w:p>
        </w:tc>
      </w:tr>
    </w:tbl>
    <w:p w14:paraId="2D98E1CF">
      <w:pPr>
        <w:rPr>
          <w:rFonts w:ascii="Times New Roman" w:hAnsi="Times New Roman" w:cs="Times New Roman"/>
          <w:b/>
          <w:sz w:val="24"/>
          <w:szCs w:val="24"/>
        </w:rPr>
      </w:pPr>
    </w:p>
    <w:p w14:paraId="4EEB884B">
      <w:pPr>
        <w:rPr>
          <w:rFonts w:ascii="Times New Roman" w:hAnsi="Times New Roman" w:cs="Times New Roman"/>
          <w:b/>
          <w:sz w:val="24"/>
          <w:szCs w:val="24"/>
        </w:rPr>
      </w:pPr>
    </w:p>
    <w:p w14:paraId="7ED40E18">
      <w:pPr>
        <w:rPr>
          <w:rFonts w:ascii="Times New Roman" w:hAnsi="Times New Roman" w:cs="Times New Roman"/>
          <w:b/>
          <w:sz w:val="24"/>
          <w:szCs w:val="24"/>
        </w:rPr>
      </w:pPr>
    </w:p>
    <w:p w14:paraId="0E9C3561">
      <w:pPr>
        <w:rPr>
          <w:rFonts w:ascii="Times New Roman" w:hAnsi="Times New Roman" w:cs="Times New Roman"/>
          <w:b/>
          <w:sz w:val="24"/>
          <w:szCs w:val="24"/>
        </w:rPr>
      </w:pPr>
    </w:p>
    <w:p w14:paraId="7E7B211E">
      <w:pPr>
        <w:rPr>
          <w:rFonts w:ascii="Times New Roman" w:hAnsi="Times New Roman" w:cs="Times New Roman"/>
          <w:b/>
          <w:sz w:val="24"/>
          <w:szCs w:val="24"/>
        </w:rPr>
      </w:pPr>
    </w:p>
    <w:p w14:paraId="2737E11C">
      <w:pPr>
        <w:rPr>
          <w:rFonts w:ascii="Times New Roman" w:hAnsi="Times New Roman" w:cs="Times New Roman"/>
          <w:b/>
          <w:sz w:val="24"/>
          <w:szCs w:val="24"/>
        </w:rPr>
      </w:pPr>
    </w:p>
    <w:p w14:paraId="22096426">
      <w:pPr>
        <w:rPr>
          <w:rFonts w:ascii="Times New Roman" w:hAnsi="Times New Roman" w:cs="Times New Roman"/>
          <w:b/>
          <w:sz w:val="24"/>
          <w:szCs w:val="24"/>
        </w:rPr>
      </w:pPr>
    </w:p>
    <w:p w14:paraId="5CCC4503">
      <w:pPr>
        <w:rPr>
          <w:rFonts w:ascii="Times New Roman" w:hAnsi="Times New Roman" w:cs="Times New Roman"/>
          <w:b/>
          <w:sz w:val="24"/>
          <w:szCs w:val="24"/>
        </w:rPr>
      </w:pPr>
    </w:p>
    <w:p w14:paraId="62C37307">
      <w:pPr>
        <w:rPr>
          <w:rFonts w:ascii="Times New Roman" w:hAnsi="Times New Roman" w:cs="Times New Roman"/>
          <w:b/>
          <w:sz w:val="24"/>
          <w:szCs w:val="24"/>
        </w:rPr>
      </w:pPr>
    </w:p>
    <w:p w14:paraId="55FC2B03">
      <w:pPr>
        <w:rPr>
          <w:rFonts w:ascii="Times New Roman" w:hAnsi="Times New Roman" w:cs="Times New Roman"/>
          <w:b/>
          <w:sz w:val="24"/>
          <w:szCs w:val="24"/>
        </w:rPr>
      </w:pPr>
    </w:p>
    <w:p w14:paraId="78C2316A">
      <w:pPr>
        <w:rPr>
          <w:rFonts w:ascii="Times New Roman" w:hAnsi="Times New Roman" w:cs="Times New Roman"/>
          <w:b/>
          <w:sz w:val="24"/>
          <w:szCs w:val="24"/>
        </w:rPr>
      </w:pPr>
    </w:p>
    <w:p w14:paraId="5937B15C">
      <w:pPr>
        <w:rPr>
          <w:rFonts w:ascii="Times New Roman" w:hAnsi="Times New Roman" w:cs="Times New Roman"/>
          <w:b/>
          <w:sz w:val="24"/>
          <w:szCs w:val="24"/>
        </w:rPr>
      </w:pPr>
    </w:p>
    <w:p w14:paraId="1270B6E3">
      <w:pPr>
        <w:rPr>
          <w:rFonts w:ascii="Times New Roman" w:hAnsi="Times New Roman" w:cs="Times New Roman"/>
          <w:b/>
          <w:sz w:val="24"/>
          <w:szCs w:val="24"/>
        </w:rPr>
      </w:pPr>
    </w:p>
    <w:p w14:paraId="43BE9CAD">
      <w:pPr>
        <w:rPr>
          <w:rFonts w:ascii="Times New Roman" w:hAnsi="Times New Roman" w:cs="Times New Roman"/>
          <w:b/>
          <w:sz w:val="24"/>
          <w:szCs w:val="24"/>
        </w:rPr>
      </w:pPr>
    </w:p>
    <w:p w14:paraId="104A33E5">
      <w:pPr>
        <w:rPr>
          <w:rFonts w:ascii="Times New Roman" w:hAnsi="Times New Roman" w:cs="Times New Roman"/>
          <w:b/>
          <w:sz w:val="24"/>
          <w:szCs w:val="24"/>
        </w:rPr>
      </w:pPr>
    </w:p>
    <w:p w14:paraId="2DE45B2D">
      <w:pPr>
        <w:rPr>
          <w:rFonts w:ascii="Times New Roman" w:hAnsi="Times New Roman" w:cs="Times New Roman"/>
          <w:b/>
          <w:sz w:val="24"/>
          <w:szCs w:val="24"/>
        </w:rPr>
      </w:pPr>
    </w:p>
    <w:p w14:paraId="3E2A099F">
      <w:pPr>
        <w:rPr>
          <w:rFonts w:ascii="Times New Roman" w:hAnsi="Times New Roman" w:cs="Times New Roman"/>
          <w:b/>
          <w:sz w:val="24"/>
          <w:szCs w:val="24"/>
        </w:rPr>
      </w:pPr>
    </w:p>
    <w:p w14:paraId="3F2F52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Unit Evaluation</w:t>
      </w:r>
    </w:p>
    <w:p w14:paraId="458A7891">
      <w:pPr>
        <w:pStyle w:val="7"/>
        <w:shd w:val="clear" w:color="auto" w:fill="FFFFFF"/>
        <w:spacing w:before="0" w:beforeAutospacing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</w:t>
      </w:r>
      <w:r>
        <w:rPr>
          <w:rFonts w:hint="default" w:cs="Times New Roman"/>
          <w:sz w:val="24"/>
          <w:szCs w:val="24"/>
          <w:lang w:val="en-US"/>
        </w:rPr>
        <w:t xml:space="preserve"> - Project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cs="Times New Roman"/>
          <w:sz w:val="24"/>
          <w:szCs w:val="24"/>
          <w:lang w:val="en-US"/>
        </w:rPr>
        <w:t>comprising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i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i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i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</w:p>
    <w:p w14:paraId="62E33FFE">
      <w:pPr>
        <w:pStyle w:val="7"/>
        <w:numPr>
          <w:ilvl w:val="0"/>
          <w:numId w:val="4"/>
        </w:numPr>
        <w:shd w:val="clear" w:color="auto" w:fill="FFFFFF"/>
        <w:spacing w:before="0" w:beforeAutospacing="0"/>
        <w:ind w:left="420" w:leftChars="0" w:hanging="420" w:firstLine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Occupational/Job Analysis Chart-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10 marks</w:t>
      </w:r>
    </w:p>
    <w:p w14:paraId="550015AE">
      <w:pPr>
        <w:pStyle w:val="7"/>
        <w:numPr>
          <w:ilvl w:val="0"/>
          <w:numId w:val="4"/>
        </w:numPr>
        <w:shd w:val="clear" w:color="auto" w:fill="FFFFFF"/>
        <w:spacing w:before="0" w:beforeAutospacing="0"/>
        <w:ind w:left="420" w:leftChars="0" w:hanging="420" w:firstLine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Task analysis -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20marks</w:t>
      </w:r>
    </w:p>
    <w:p w14:paraId="3EA3D5C9">
      <w:pPr>
        <w:pStyle w:val="7"/>
        <w:numPr>
          <w:ilvl w:val="0"/>
          <w:numId w:val="4"/>
        </w:numPr>
        <w:shd w:val="clear" w:color="auto" w:fill="FFFFFF"/>
        <w:spacing w:before="0" w:beforeAutospacing="0"/>
        <w:ind w:left="420" w:leftChars="0" w:hanging="420" w:firstLine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Occupation standard developed from Occupational analysis and task analysis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40marks</w:t>
      </w:r>
    </w:p>
    <w:p w14:paraId="5822208B">
      <w:pPr>
        <w:pStyle w:val="7"/>
        <w:numPr>
          <w:ilvl w:val="0"/>
          <w:numId w:val="4"/>
        </w:numPr>
        <w:shd w:val="clear" w:color="auto" w:fill="FFFFFF"/>
        <w:spacing w:before="0" w:beforeAutospacing="0"/>
        <w:ind w:left="420" w:leftChars="0" w:hanging="420" w:firstLine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Curriculum from occupational standard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30 marks</w:t>
      </w:r>
    </w:p>
    <w:p w14:paraId="420C6A50">
      <w:pPr>
        <w:pStyle w:val="7"/>
        <w:shd w:val="clear" w:color="auto" w:fill="FFFFFF"/>
        <w:spacing w:before="0" w:beforeAutospacing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Total marks </w:t>
      </w:r>
    </w:p>
    <w:p w14:paraId="206C52DA">
      <w:pPr>
        <w:pStyle w:val="7"/>
        <w:shd w:val="clear" w:color="auto" w:fill="FFFFFF"/>
        <w:spacing w:before="0" w:beforeAutospacing="0"/>
        <w:ind w:left="720" w:leftChars="0" w:firstLine="720" w:firstLine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Cat 1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  <w:t xml:space="preserve">40+30=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70marks</w:t>
      </w:r>
    </w:p>
    <w:p w14:paraId="7523C678">
      <w:pPr>
        <w:pStyle w:val="7"/>
        <w:shd w:val="clear" w:color="auto" w:fill="FFFFFF"/>
        <w:spacing w:before="0" w:beforeAutospacing="0"/>
        <w:ind w:left="720" w:leftChars="0" w:firstLine="720" w:firstLine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Cat 2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10+20=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  <w:t>30 marks</w:t>
      </w:r>
    </w:p>
    <w:p w14:paraId="23321D54">
      <w:pPr>
        <w:pStyle w:val="7"/>
        <w:shd w:val="clear" w:color="auto" w:fill="FFFFFF"/>
        <w:spacing w:before="0" w:beforeAutospacing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Total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100%</w:t>
      </w:r>
    </w:p>
    <w:p w14:paraId="1B79478B"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Final examination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100%</w:t>
      </w:r>
    </w:p>
    <w:p w14:paraId="6764F62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References </w:t>
      </w:r>
    </w:p>
    <w:p w14:paraId="6704F9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TVETA - Competence-Based Education, Training and Assessment Standards &amp; Guidelines (CBETA STANDARDS AND GUIDELINES)</w:t>
      </w:r>
    </w:p>
    <w:p w14:paraId="559EFDD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Kelly A. V. (1989) The Curriculum: Theory and Practice. (3rd edition) London: Paul Chapman         . Publishing Ltd.</w:t>
      </w:r>
    </w:p>
    <w:p w14:paraId="008F75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Kerr, J. F. (1968) Changing the Curriculum. London: University of London Press. </w:t>
      </w:r>
    </w:p>
    <w:p w14:paraId="7C6FB2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Oluoch, G.P. ( 1982) Essentials of Curriculum Development </w:t>
      </w:r>
    </w:p>
    <w:p w14:paraId="602D4B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Saylor, J. et al (1974) Planning Curriculum for Schools, New York: Holt, Rinehart and Winston, Inc. </w:t>
      </w:r>
    </w:p>
    <w:p w14:paraId="77003E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Shiundu, J. S. Omulando, S. J. (1992) Curriculum Theory and Practice in Kenya Nairobi: Oxford   University Press. </w:t>
      </w:r>
    </w:p>
    <w:p w14:paraId="152E7E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Tyler, Ralph W. (1949) Basic Principles of Curriculum and Instruction. Chicago: The University of Chicago Press.</w:t>
      </w:r>
    </w:p>
    <w:sectPr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5A1BAB"/>
    <w:multiLevelType w:val="multilevel"/>
    <w:tmpl w:val="0B5A1BAB"/>
    <w:lvl w:ilvl="0" w:tentative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entative="0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26791BDB"/>
    <w:multiLevelType w:val="multilevel"/>
    <w:tmpl w:val="26791BDB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4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Calibri" w:cs="Times New Roman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506ABC23"/>
    <w:multiLevelType w:val="singleLevel"/>
    <w:tmpl w:val="506ABC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E3328C3"/>
    <w:multiLevelType w:val="singleLevel"/>
    <w:tmpl w:val="5E3328C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CCD"/>
    <w:rsid w:val="000C2A14"/>
    <w:rsid w:val="00140EE8"/>
    <w:rsid w:val="001A5D3D"/>
    <w:rsid w:val="001C74DD"/>
    <w:rsid w:val="002646B0"/>
    <w:rsid w:val="0042286D"/>
    <w:rsid w:val="005318AA"/>
    <w:rsid w:val="005C0326"/>
    <w:rsid w:val="0064008E"/>
    <w:rsid w:val="00640613"/>
    <w:rsid w:val="006414FD"/>
    <w:rsid w:val="0068327C"/>
    <w:rsid w:val="006874C8"/>
    <w:rsid w:val="00687F2D"/>
    <w:rsid w:val="0078117E"/>
    <w:rsid w:val="007B4AC5"/>
    <w:rsid w:val="007C3BD5"/>
    <w:rsid w:val="007F00B6"/>
    <w:rsid w:val="00834DEE"/>
    <w:rsid w:val="00885D78"/>
    <w:rsid w:val="008C2BF9"/>
    <w:rsid w:val="0094713A"/>
    <w:rsid w:val="00977CCD"/>
    <w:rsid w:val="009E2441"/>
    <w:rsid w:val="00A21F0E"/>
    <w:rsid w:val="00A66CCE"/>
    <w:rsid w:val="00A86E23"/>
    <w:rsid w:val="00A87FD2"/>
    <w:rsid w:val="00AB43FD"/>
    <w:rsid w:val="00B932F6"/>
    <w:rsid w:val="00BE01BA"/>
    <w:rsid w:val="00C2491A"/>
    <w:rsid w:val="00C4595D"/>
    <w:rsid w:val="00C776C3"/>
    <w:rsid w:val="00C97A9B"/>
    <w:rsid w:val="00CA7B84"/>
    <w:rsid w:val="00D24859"/>
    <w:rsid w:val="00D5469D"/>
    <w:rsid w:val="00D800CC"/>
    <w:rsid w:val="00D911E4"/>
    <w:rsid w:val="00DE663A"/>
    <w:rsid w:val="00E13E5B"/>
    <w:rsid w:val="00E42FE8"/>
    <w:rsid w:val="00E45275"/>
    <w:rsid w:val="00F36040"/>
    <w:rsid w:val="00F56CDA"/>
    <w:rsid w:val="00F60617"/>
    <w:rsid w:val="00F92B9F"/>
    <w:rsid w:val="00FB5248"/>
    <w:rsid w:val="128827FD"/>
    <w:rsid w:val="1E322CD4"/>
    <w:rsid w:val="1EAD21BF"/>
    <w:rsid w:val="57422E7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libri Light" w:hAnsi="Calibri Light" w:eastAsia="Times New Roman"/>
      <w:b/>
      <w:bCs/>
      <w:i/>
      <w:i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8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3</Pages>
  <Words>546</Words>
  <Characters>3113</Characters>
  <Lines>25</Lines>
  <Paragraphs>7</Paragraphs>
  <TotalTime>45</TotalTime>
  <ScaleCrop>false</ScaleCrop>
  <LinksUpToDate>false</LinksUpToDate>
  <CharactersWithSpaces>3652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2023-01-12T05:54:00Z</dcterms:created>
  <dc:creator>Bmwancha</dc:creator>
  <cp:lastModifiedBy>jeanstella Wawira</cp:lastModifiedBy>
  <dcterms:modified xsi:type="dcterms:W3CDTF">2025-01-17T07:58:51Z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F03BC16BF35346E298650CFF81D2871F_13</vt:lpwstr>
  </property>
</Properties>
</file>