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Calibri" w:hAnsi="Calibri"/>
          <w:b/>
          <w:i w:val="false"/>
          <w:color w:val="1A376C"/>
          <w:sz w:val="40"/>
        </w:rPr>
        <w:t>CASE STUDIES AS AN ACTIVE LEARNING STRATEGY</w:t>
      </w:r>
    </w:p>
    <w:p>
      <w:pPr>
        <w:pStyle w:val="Normal"/>
        <w:spacing w:before="0" w:after="40"/>
        <w:jc w:val="center"/>
        <w:rPr/>
      </w:pPr>
      <w:r>
        <w:rPr>
          <w:rFonts w:ascii="Calibri" w:hAnsi="Calibri"/>
          <w:b w:val="false"/>
          <w:i w:val="false"/>
          <w:color w:val="1F5C99"/>
          <w:sz w:val="26"/>
        </w:rPr>
        <w:t>Learner Activity Workbook</w:t>
      </w:r>
    </w:p>
    <w:p>
      <w:pPr>
        <w:pStyle w:val="Normal"/>
        <w:spacing w:before="0" w:after="280"/>
        <w:jc w:val="center"/>
        <w:rPr/>
      </w:pPr>
      <w:r>
        <w:rPr>
          <w:rFonts w:ascii="Calibri" w:hAnsi="Calibri"/>
          <w:b w:val="false"/>
          <w:i/>
          <w:color w:val="555555"/>
          <w:sz w:val="20"/>
        </w:rPr>
        <w:t>Course: Training Methodologies  |  Framework: CBET  |  Subject: Economics</w:t>
      </w:r>
    </w:p>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1: THE CASE — The Collapse of Toys R Us</w:t>
      </w:r>
    </w:p>
    <w:p>
      <w:pPr>
        <w:pStyle w:val="Normal"/>
        <w:spacing w:before="0" w:after="160"/>
        <w:jc w:val="start"/>
        <w:rPr/>
      </w:pPr>
      <w:r>
        <w:rPr>
          <w:rFonts w:ascii="Calibri" w:hAnsi="Calibri"/>
          <w:b w:val="false"/>
          <w:i/>
          <w:color w:val="444444"/>
          <w:sz w:val="22"/>
        </w:rPr>
        <w:t>Read the following case carefully before attempting any analysis. Highlight key facts, decisions, and turning points as you read.</w:t>
      </w:r>
    </w:p>
    <w:tbl>
      <w:tblPr>
        <w:tblW w:w="9406" w:type="dxa"/>
        <w:jc w:val="start"/>
        <w:tblInd w:w="108"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F0F4FA" w:val="clear"/>
          </w:tcPr>
          <w:p>
            <w:pPr>
              <w:pStyle w:val="Normal"/>
              <w:spacing w:before="80" w:after="60"/>
              <w:rPr/>
            </w:pPr>
            <w:r>
              <w:rPr>
                <w:rFonts w:ascii="Calibri" w:hAnsi="Calibri"/>
                <w:b/>
                <w:color w:val="1A376C"/>
                <w:sz w:val="22"/>
              </w:rPr>
              <w:t>Background</w:t>
            </w:r>
          </w:p>
          <w:p>
            <w:pPr>
              <w:pStyle w:val="Normal"/>
              <w:spacing w:before="80" w:after="60"/>
              <w:rPr/>
            </w:pPr>
            <w:r>
              <w:rPr>
                <w:rFonts w:ascii="Calibri" w:hAnsi="Calibri"/>
                <w:b w:val="false"/>
                <w:color w:val="1A1A2E"/>
                <w:sz w:val="22"/>
              </w:rPr>
              <w:t>Toys R Us was founded in 1948 and grew to become the world's largest dedicated toy retailer, operating more than 1,500 stores across 35 countries at its peak. For decades it was the destination for toy shopping — a brand synonymous with childhood.</w:t>
            </w:r>
          </w:p>
          <w:p>
            <w:pPr>
              <w:pStyle w:val="Normal"/>
              <w:spacing w:before="80" w:after="60"/>
              <w:rPr/>
            </w:pPr>
            <w:r>
              <w:rPr>
                <w:rFonts w:ascii="Calibri" w:hAnsi="Calibri"/>
                <w:b/>
                <w:color w:val="1A376C"/>
                <w:sz w:val="22"/>
              </w:rPr>
              <w:t>The Leveraged Buyout (2005)</w:t>
            </w:r>
          </w:p>
          <w:p>
            <w:pPr>
              <w:pStyle w:val="Normal"/>
              <w:spacing w:before="80" w:after="60"/>
              <w:rPr/>
            </w:pPr>
            <w:r>
              <w:rPr>
                <w:rFonts w:ascii="Calibri" w:hAnsi="Calibri"/>
                <w:b w:val="false"/>
                <w:color w:val="1A1A2E"/>
                <w:sz w:val="22"/>
              </w:rPr>
              <w:t>In 2005, private equity firms KKR, Bain Capital, and Vornado Realty Trust took Toys R Us private in a leveraged buyout (LBO) valued at approximately $6.6 billion. The deal loaded the company with more than $5 billion in debt. From that point forward, the majority of the company's operating cash flow was consumed by debt repayments and interest — leaving little capital available for strategic investment.</w:t>
            </w:r>
          </w:p>
          <w:p>
            <w:pPr>
              <w:pStyle w:val="Normal"/>
              <w:spacing w:before="80" w:after="60"/>
              <w:rPr/>
            </w:pPr>
            <w:r>
              <w:rPr>
                <w:rFonts w:ascii="Calibri" w:hAnsi="Calibri"/>
                <w:b/>
                <w:color w:val="1A376C"/>
                <w:sz w:val="22"/>
              </w:rPr>
              <w:t>The Digital Threat</w:t>
            </w:r>
          </w:p>
          <w:p>
            <w:pPr>
              <w:pStyle w:val="Normal"/>
              <w:spacing w:before="80" w:after="60"/>
              <w:rPr/>
            </w:pPr>
            <w:r>
              <w:rPr>
                <w:rFonts w:ascii="Calibri" w:hAnsi="Calibri"/>
                <w:b w:val="false"/>
                <w:color w:val="1A1A2E"/>
                <w:sz w:val="22"/>
              </w:rPr>
              <w:t>Between 2005 and 2015, e-commerce transformed the retail landscape. Amazon aggressively expanded its toy category, offering lower prices, vast selection, and the convenience of home delivery. Walmart similarly invested heavily in its online platform. Toys R Us, constrained by its debt burden, failed to build a competitive e-commerce presence. A 2000 partnership with Amazon — in which Toys R Us paid Amazon to be the exclusive toy seller on the platform — actually prevented Toys R Us from developing its own online capabilities for years.</w:t>
            </w:r>
          </w:p>
          <w:p>
            <w:pPr>
              <w:pStyle w:val="Normal"/>
              <w:spacing w:before="80" w:after="60"/>
              <w:rPr/>
            </w:pPr>
            <w:r>
              <w:rPr>
                <w:rFonts w:ascii="Calibri" w:hAnsi="Calibri"/>
                <w:b/>
                <w:color w:val="1A376C"/>
                <w:sz w:val="22"/>
              </w:rPr>
              <w:t>Bankruptcy and Collapse (2017–2018)</w:t>
            </w:r>
          </w:p>
          <w:p>
            <w:pPr>
              <w:pStyle w:val="Normal"/>
              <w:spacing w:before="80" w:after="60"/>
              <w:rPr/>
            </w:pPr>
            <w:r>
              <w:rPr>
                <w:rFonts w:ascii="Calibri" w:hAnsi="Calibri"/>
                <w:b w:val="false"/>
                <w:color w:val="1A1A2E"/>
                <w:sz w:val="22"/>
              </w:rPr>
              <w:t>In September 2017, Toys R Us filed for Chapter 11 bankruptcy protection in the United States, citing $5 billion in long-term debt and an inability to invest in store upgrades and digital infrastructure. Attempts to restructure failed. In March 2018, the company announced the liquidation of all 735 remaining US stores. Approximately 33,000 employees lost their jobs. International operations in the UK, Australia, and other markets followed with closures or sales to local operators.</w:t>
            </w:r>
          </w:p>
          <w:p>
            <w:pPr>
              <w:pStyle w:val="Normal"/>
              <w:spacing w:before="80" w:after="60"/>
              <w:rPr/>
            </w:pPr>
            <w:r>
              <w:rPr>
                <w:rFonts w:ascii="Calibri" w:hAnsi="Calibri"/>
                <w:b/>
                <w:color w:val="1A376C"/>
                <w:sz w:val="22"/>
              </w:rPr>
              <w:t>The Central Question</w:t>
            </w:r>
          </w:p>
          <w:p>
            <w:pPr>
              <w:pStyle w:val="Normal"/>
              <w:spacing w:before="80" w:after="60"/>
              <w:rPr/>
            </w:pPr>
            <w:r>
              <w:rPr>
                <w:rFonts w:ascii="Calibri" w:hAnsi="Calibri"/>
                <w:b w:val="false"/>
                <w:color w:val="1A1A2E"/>
                <w:sz w:val="22"/>
              </w:rPr>
              <w:t>Was the collapse of Toys R Us inevitable — a victim of unstoppable market forces — or was it the result of avoidable strategic and financial decisions? Could the company have survived with different choices?</w:t>
            </w:r>
          </w:p>
        </w:tc>
      </w:tr>
    </w:tbl>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2: CASE STUDY ANALYSIS FRAMEWORK</w:t>
      </w:r>
    </w:p>
    <w:p>
      <w:pPr>
        <w:pStyle w:val="Normal"/>
        <w:spacing w:before="0" w:after="200"/>
        <w:jc w:val="start"/>
        <w:rPr/>
      </w:pPr>
      <w:r>
        <w:rPr>
          <w:rFonts w:ascii="Calibri" w:hAnsi="Calibri"/>
          <w:b w:val="false"/>
          <w:i/>
          <w:color w:val="444444"/>
          <w:sz w:val="22"/>
        </w:rPr>
        <w:t>Use the framework below to guide your analysis. Work through each section in order. You may work individually or in your assigned group. Write your responses in the spaces provided.</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1.  SITUATION</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Summarise the background context of the case. Who is involved? What is the setting? What were the conditions leading up to the problem?</w:t>
              <w:br/>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2.  PROBLEM</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Identify the core issue or challenge. What is the root cause of the problem? Distinguish between symptoms (what you can see) and the underlying cause.</w:t>
              <w:br/>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3.  STAKEHOLDERS</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Who is affected by this situation and how? Consider all parties: employees, owners, customers, suppliers, competitors, government, and the broader community.</w:t>
              <w:br/>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4.  OPTIONS &amp; PROS/CONS</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Identify at least two possible courses of action. For each option, list the advantages (pros) and disadvantages (cons). Consider trade-offs carefully.</w:t>
              <w:br/>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5.  RECOMMENDATION</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Based on your analysis, what should have been done? Justify your recommendation with evidence from the case and reasoning from economic or business theory.</w:t>
              <w:br/>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A376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4"/>
                <w:szCs w:val="22"/>
                <w:lang w:val="en-US" w:eastAsia="en-US" w:bidi="ar-SA"/>
              </w:rPr>
              <w:t xml:space="preserve">  </w:t>
            </w:r>
            <w:r>
              <w:rPr>
                <w:rFonts w:eastAsia="ＭＳ 明朝" w:cs="" w:ascii="Calibri" w:hAnsi="Calibri"/>
                <w:b/>
                <w:color w:val="FFFFFF"/>
                <w:kern w:val="0"/>
                <w:sz w:val="24"/>
                <w:szCs w:val="22"/>
                <w:lang w:val="en-US" w:eastAsia="en-US" w:bidi="ar-SA"/>
              </w:rPr>
              <w:t>6.  THEORY LINK</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Which concepts, models, or theories from your course does this case illustrate? Explain how the case connects to the theory — where does the theory help explain what happened?</w:t>
              <w:br/>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2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3: PROS &amp; CONS ANALYSIS — Two Strategic Options</w:t>
      </w:r>
    </w:p>
    <w:p>
      <w:pPr>
        <w:pStyle w:val="Normal"/>
        <w:spacing w:before="0" w:after="160"/>
        <w:jc w:val="start"/>
        <w:rPr/>
      </w:pPr>
      <w:r>
        <w:rPr>
          <w:rFonts w:ascii="Calibri" w:hAnsi="Calibri"/>
          <w:b w:val="false"/>
          <w:i/>
          <w:color w:val="444444"/>
          <w:sz w:val="22"/>
        </w:rPr>
        <w:t>The table below presents two strategic options that Toys R Us could have pursued. Complete the empty rows by adding additional pros and cons you identify from your reading and group discussion.</w:t>
      </w:r>
    </w:p>
    <w:tbl>
      <w:tblPr>
        <w:tblStyle w:val="TableGrid"/>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shd w:color="auto" w:fill="1A376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1A376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OPTION A: Digital Transformation</w:t>
            </w:r>
          </w:p>
        </w:tc>
        <w:tc>
          <w:tcPr>
            <w:tcW w:w="3135" w:type="dxa"/>
            <w:tcBorders/>
            <w:shd w:color="auto" w:fill="1A376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OPTION B: Cost-Cutting &amp; Store Optimisation</w:t>
            </w:r>
          </w:p>
        </w:tc>
      </w:tr>
      <w:tr>
        <w:trPr/>
        <w:tc>
          <w:tcPr>
            <w:tcW w:w="3135" w:type="dxa"/>
            <w:tcBorders/>
            <w:shd w:color="auto" w:fill="EBF2FA"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1A376C"/>
                <w:kern w:val="0"/>
                <w:sz w:val="20"/>
                <w:szCs w:val="22"/>
                <w:lang w:val="en-US" w:eastAsia="en-US" w:bidi="ar-SA"/>
              </w:rPr>
              <w:t>PROS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color w:val="1A1A2E"/>
                <w:kern w:val="0"/>
                <w:sz w:val="20"/>
                <w:szCs w:val="22"/>
                <w:lang w:val="en-US" w:eastAsia="en-US" w:bidi="ar-SA"/>
              </w:rPr>
              <w:t xml:space="preserve">• </w:t>
            </w:r>
            <w:r>
              <w:rPr>
                <w:rFonts w:eastAsia="ＭＳ 明朝" w:cs="" w:ascii="Calibri" w:hAnsi="Calibri"/>
                <w:color w:val="1A1A2E"/>
                <w:kern w:val="0"/>
                <w:sz w:val="20"/>
                <w:szCs w:val="22"/>
                <w:lang w:val="en-US" w:eastAsia="en-US" w:bidi="ar-SA"/>
              </w:rPr>
              <w:t>Addresses the root competitive threat</w:t>
              <w:br/>
              <w:t>• Long-term revenue growth potential</w:t>
              <w:br/>
              <w:t>• Rebuilds brand relevance with digital consumers</w:t>
              <w:br/>
              <w:t>• ___________________________</w:t>
              <w:br/>
              <w:t>• ___________________________</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color w:val="1A1A2E"/>
                <w:kern w:val="0"/>
                <w:sz w:val="20"/>
                <w:szCs w:val="22"/>
                <w:lang w:val="en-US" w:eastAsia="en-US" w:bidi="ar-SA"/>
              </w:rPr>
              <w:t xml:space="preserve">• </w:t>
            </w:r>
            <w:r>
              <w:rPr>
                <w:rFonts w:eastAsia="ＭＳ 明朝" w:cs="" w:ascii="Calibri" w:hAnsi="Calibri"/>
                <w:color w:val="1A1A2E"/>
                <w:kern w:val="0"/>
                <w:sz w:val="20"/>
                <w:szCs w:val="22"/>
                <w:lang w:val="en-US" w:eastAsia="en-US" w:bidi="ar-SA"/>
              </w:rPr>
              <w:t>Frees up cash to service debt</w:t>
              <w:br/>
              <w:t>• Reduces operating costs quickly</w:t>
              <w:br/>
              <w:t>• Focuses resources on best-performing stores</w:t>
              <w:br/>
              <w:t>• ___________________________</w:t>
              <w:br/>
              <w:t>• ___________________________</w:t>
            </w:r>
          </w:p>
        </w:tc>
      </w:tr>
      <w:tr>
        <w:trPr/>
        <w:tc>
          <w:tcPr>
            <w:tcW w:w="3135" w:type="dxa"/>
            <w:tcBorders/>
            <w:shd w:color="auto" w:fill="EBF2FA"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1A376C"/>
                <w:kern w:val="0"/>
                <w:sz w:val="20"/>
                <w:szCs w:val="22"/>
                <w:lang w:val="en-US" w:eastAsia="en-US" w:bidi="ar-SA"/>
              </w:rPr>
              <w:t>CONS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color w:val="1A1A2E"/>
                <w:kern w:val="0"/>
                <w:sz w:val="20"/>
                <w:szCs w:val="22"/>
                <w:lang w:val="en-US" w:eastAsia="en-US" w:bidi="ar-SA"/>
              </w:rPr>
              <w:t xml:space="preserve">• </w:t>
            </w:r>
            <w:r>
              <w:rPr>
                <w:rFonts w:eastAsia="ＭＳ 明朝" w:cs="" w:ascii="Calibri" w:hAnsi="Calibri"/>
                <w:color w:val="1A1A2E"/>
                <w:kern w:val="0"/>
                <w:sz w:val="20"/>
                <w:szCs w:val="22"/>
                <w:lang w:val="en-US" w:eastAsia="en-US" w:bidi="ar-SA"/>
              </w:rPr>
              <w:t>Requires massive capital investment</w:t>
              <w:br/>
              <w:t>• Debt burden makes financing extremely difficult</w:t>
              <w:br/>
              <w:t>• Takes years to build — time the company may not have</w:t>
              <w:br/>
              <w:t>• ___________________________</w:t>
              <w:br/>
              <w:t>• ___________________________</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color w:val="1A1A2E"/>
                <w:kern w:val="0"/>
                <w:sz w:val="20"/>
                <w:szCs w:val="22"/>
                <w:lang w:val="en-US" w:eastAsia="en-US" w:bidi="ar-SA"/>
              </w:rPr>
              <w:t xml:space="preserve">• </w:t>
            </w:r>
            <w:r>
              <w:rPr>
                <w:rFonts w:eastAsia="ＭＳ 明朝" w:cs="" w:ascii="Calibri" w:hAnsi="Calibri"/>
                <w:color w:val="1A1A2E"/>
                <w:kern w:val="0"/>
                <w:sz w:val="20"/>
                <w:szCs w:val="22"/>
                <w:lang w:val="en-US" w:eastAsia="en-US" w:bidi="ar-SA"/>
              </w:rPr>
              <w:t>Does not solve the digital competitiveness gap</w:t>
              <w:br/>
              <w:t>• Shrinks the business — fewer stores, less revenue</w:t>
              <w:br/>
              <w:t>• May accelerate customer loss to online competitors</w:t>
              <w:br/>
              <w:t>• ___________________________</w:t>
              <w:br/>
              <w:t>• ___________________________</w:t>
            </w:r>
          </w:p>
        </w:tc>
      </w:tr>
      <w:tr>
        <w:trPr/>
        <w:tc>
          <w:tcPr>
            <w:tcW w:w="3135" w:type="dxa"/>
            <w:tcBorders/>
            <w:shd w:color="auto" w:fill="EBF2FA"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1A376C"/>
                <w:kern w:val="0"/>
                <w:sz w:val="20"/>
                <w:szCs w:val="22"/>
                <w:lang w:val="en-US" w:eastAsia="en-US" w:bidi="ar-SA"/>
              </w:rPr>
              <w:t>YOUR VERDICT</w:t>
              <w:br/>
              <w:t>(circle one)</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color w:val="1A1A2E"/>
                <w:kern w:val="0"/>
                <w:sz w:val="20"/>
                <w:szCs w:val="22"/>
                <w:lang w:val="en-US" w:eastAsia="en-US" w:bidi="ar-SA"/>
              </w:rPr>
              <w:t>Would this have saved the company?</w:t>
              <w:br/>
              <w:t>YES  /  NO  /  POSSIBLY</w:t>
              <w:br/>
              <w:br/>
              <w:t>Reason: ___________________________</w:t>
              <w:br/>
              <w:t>___________________________</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color w:val="1A1A2E"/>
                <w:kern w:val="0"/>
                <w:sz w:val="20"/>
                <w:szCs w:val="22"/>
                <w:lang w:val="en-US" w:eastAsia="en-US" w:bidi="ar-SA"/>
              </w:rPr>
              <w:t>Would this have saved the company?</w:t>
              <w:br/>
              <w:t>YES  /  NO  /  POSSIBLY</w:t>
              <w:br/>
              <w:br/>
              <w:t>Reason: ___________________________</w:t>
              <w:br/>
              <w:t>___________________________</w:t>
            </w:r>
          </w:p>
        </w:tc>
      </w:tr>
    </w:tbl>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4: CONNECTING THE CASE TO THEORY</w:t>
      </w:r>
    </w:p>
    <w:p>
      <w:pPr>
        <w:pStyle w:val="Normal"/>
        <w:spacing w:before="0" w:after="160"/>
        <w:jc w:val="start"/>
        <w:rPr/>
      </w:pPr>
      <w:r>
        <w:rPr>
          <w:rFonts w:ascii="Calibri" w:hAnsi="Calibri"/>
          <w:b w:val="false"/>
          <w:i/>
          <w:color w:val="444444"/>
          <w:sz w:val="22"/>
        </w:rPr>
        <w:t>For each theoretical concept below, explain how the Toys R Us case illustrates it. Use specific evidence from the case to support your explanation.</w:t>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 xml:space="preserve">  </w:t>
            </w:r>
            <w:r>
              <w:rPr>
                <w:rFonts w:eastAsia="ＭＳ 明朝" w:cs="" w:ascii="Calibri" w:hAnsi="Calibri"/>
                <w:b/>
                <w:color w:val="FFFFFF"/>
                <w:kern w:val="0"/>
                <w:sz w:val="22"/>
                <w:szCs w:val="22"/>
                <w:lang w:val="en-US" w:eastAsia="en-US" w:bidi="ar-SA"/>
              </w:rPr>
              <w:t>Porter's Competitive Forces</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How do the forces of competitive rivalry and the threat of substitutes explain Toys R Us's decline?</w:t>
              <w:br/>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 xml:space="preserve">  </w:t>
            </w:r>
            <w:r>
              <w:rPr>
                <w:rFonts w:eastAsia="ＭＳ 明朝" w:cs="" w:ascii="Calibri" w:hAnsi="Calibri"/>
                <w:b/>
                <w:color w:val="FFFFFF"/>
                <w:kern w:val="0"/>
                <w:sz w:val="22"/>
                <w:szCs w:val="22"/>
                <w:lang w:val="en-US" w:eastAsia="en-US" w:bidi="ar-SA"/>
              </w:rPr>
              <w:t>Creative Destruction (Schumpeter)</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How does the rise of e-commerce illustrate the concept of creative destruction in the retail industry?</w:t>
              <w:br/>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 xml:space="preserve">  </w:t>
            </w:r>
            <w:r>
              <w:rPr>
                <w:rFonts w:eastAsia="ＭＳ 明朝" w:cs="" w:ascii="Calibri" w:hAnsi="Calibri"/>
                <w:b/>
                <w:color w:val="FFFFFF"/>
                <w:kern w:val="0"/>
                <w:sz w:val="22"/>
                <w:szCs w:val="22"/>
                <w:lang w:val="en-US" w:eastAsia="en-US" w:bidi="ar-SA"/>
              </w:rPr>
              <w:t>Market Forces — Supply &amp; Demand</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How did a shift in consumer demand (toward online shopping) affect Toys R Us's market position?</w:t>
              <w:br/>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 xml:space="preserve">  </w:t>
            </w:r>
            <w:r>
              <w:rPr>
                <w:rFonts w:eastAsia="ＭＳ 明朝" w:cs="" w:ascii="Calibri" w:hAnsi="Calibri"/>
                <w:b/>
                <w:color w:val="FFFFFF"/>
                <w:kern w:val="0"/>
                <w:sz w:val="22"/>
                <w:szCs w:val="22"/>
                <w:lang w:val="en-US" w:eastAsia="en-US" w:bidi="ar-SA"/>
              </w:rPr>
              <w:t>Financial Strategy — Leveraged Buyouts</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What does this case reveal about the risks of debt-financed acquisitions for a company's long-term strategy?</w:t>
              <w:br/>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tbl>
      <w:tblPr>
        <w:tblStyle w:val="TableGrid"/>
        <w:tblW w:w="940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06"/>
      </w:tblGrid>
      <w:tr>
        <w:trPr/>
        <w:tc>
          <w:tcPr>
            <w:tcW w:w="9406" w:type="dxa"/>
            <w:tcBorders/>
            <w:shd w:color="auto" w:fill="1F5C99"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color w:val="FFFFFF"/>
                <w:kern w:val="0"/>
                <w:sz w:val="22"/>
                <w:szCs w:val="22"/>
                <w:lang w:val="en-US" w:eastAsia="en-US" w:bidi="ar-SA"/>
              </w:rPr>
              <w:t xml:space="preserve">  </w:t>
            </w:r>
            <w:r>
              <w:rPr>
                <w:rFonts w:eastAsia="ＭＳ 明朝" w:cs="" w:ascii="Calibri" w:hAnsi="Calibri"/>
                <w:b/>
                <w:color w:val="FFFFFF"/>
                <w:kern w:val="0"/>
                <w:sz w:val="22"/>
                <w:szCs w:val="22"/>
                <w:lang w:val="en-US" w:eastAsia="en-US" w:bidi="ar-SA"/>
              </w:rPr>
              <w:t>Competitive Advantage</w:t>
            </w:r>
          </w:p>
        </w:tc>
      </w:tr>
      <w:tr>
        <w:trPr/>
        <w:tc>
          <w:tcPr>
            <w:tcW w:w="9406"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i/>
                <w:color w:val="444444"/>
                <w:kern w:val="0"/>
                <w:sz w:val="20"/>
                <w:szCs w:val="22"/>
                <w:lang w:val="en-US" w:eastAsia="en-US" w:bidi="ar-SA"/>
              </w:rPr>
              <w:t>What was Toys R Us's competitive advantage before 2005, and why did it erode?</w:t>
              <w:br/>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p>
            <w:pPr>
              <w:pStyle w:val="Normal"/>
              <w:widowControl/>
              <w:spacing w:lineRule="auto" w:line="240" w:before="100" w:after="0"/>
              <w:jc w:val="start"/>
              <w:rPr>
                <w:rFonts w:ascii="Cambria" w:hAnsi="Cambria" w:eastAsia="ＭＳ 明朝" w:cs=""/>
                <w:kern w:val="0"/>
                <w:sz w:val="22"/>
                <w:szCs w:val="22"/>
                <w:lang w:val="en-US" w:eastAsia="en-US" w:bidi="ar-SA"/>
              </w:rPr>
            </w:pPr>
            <w:r>
              <w:rPr>
                <w:rFonts w:eastAsia="ＭＳ 明朝" w:cs="" w:ascii="Calibri" w:hAnsi="Calibri"/>
                <w:color w:val="BBBBBB"/>
                <w:kern w:val="0"/>
                <w:sz w:val="18"/>
                <w:szCs w:val="22"/>
                <w:lang w:val="en-US" w:eastAsia="en-US" w:bidi="ar-SA"/>
              </w:rPr>
              <w:t>_______________________________________________________________________________________________</w:t>
            </w:r>
          </w:p>
        </w:tc>
      </w:tr>
    </w:tbl>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5: GROUP PRESENTATION GUIDE</w:t>
      </w:r>
    </w:p>
    <w:p>
      <w:pPr>
        <w:pStyle w:val="Normal"/>
        <w:spacing w:before="0" w:after="160"/>
        <w:jc w:val="start"/>
        <w:rPr/>
      </w:pPr>
      <w:r>
        <w:rPr>
          <w:rFonts w:ascii="Calibri" w:hAnsi="Calibri"/>
          <w:b w:val="false"/>
          <w:i/>
          <w:color w:val="444444"/>
          <w:sz w:val="22"/>
        </w:rPr>
        <w:t>Each group will present their analysis to the class. Use the checklist below to prepare your presentation. You have 3–5 minutes per group.</w:t>
      </w:r>
    </w:p>
    <w:p>
      <w:pPr>
        <w:pStyle w:val="ListBullet"/>
        <w:numPr>
          <w:ilvl w:val="0"/>
          <w:numId w:val="1"/>
        </w:numPr>
        <w:spacing w:before="0" w:after="80"/>
        <w:ind w:hanging="360" w:start="283"/>
        <w:contextualSpacing/>
        <w:rPr/>
      </w:pPr>
      <w:r>
        <w:rPr>
          <w:rFonts w:ascii="Calibri" w:hAnsi="Calibri"/>
          <w:color w:val="1A1A2E"/>
          <w:sz w:val="22"/>
        </w:rPr>
        <w:t xml:space="preserve">☐  </w:t>
      </w:r>
      <w:r>
        <w:rPr>
          <w:rFonts w:ascii="Calibri" w:hAnsi="Calibri"/>
          <w:color w:val="1A1A2E"/>
          <w:sz w:val="22"/>
        </w:rPr>
        <w:t>Briefly summarise the case (Situation &amp; Problem) — 30 seconds</w:t>
      </w:r>
    </w:p>
    <w:p>
      <w:pPr>
        <w:pStyle w:val="ListBullet"/>
        <w:numPr>
          <w:ilvl w:val="0"/>
          <w:numId w:val="1"/>
        </w:numPr>
        <w:spacing w:before="0" w:after="80"/>
        <w:ind w:hanging="360" w:start="283"/>
        <w:contextualSpacing/>
        <w:rPr/>
      </w:pPr>
      <w:r>
        <w:rPr>
          <w:rFonts w:ascii="Calibri" w:hAnsi="Calibri"/>
          <w:color w:val="1A1A2E"/>
          <w:sz w:val="22"/>
        </w:rPr>
        <w:t xml:space="preserve">☐  </w:t>
      </w:r>
      <w:r>
        <w:rPr>
          <w:rFonts w:ascii="Calibri" w:hAnsi="Calibri"/>
          <w:color w:val="1A1A2E"/>
          <w:sz w:val="22"/>
        </w:rPr>
        <w:t>Identify the key stakeholders and how they were affected — 30 seconds</w:t>
      </w:r>
    </w:p>
    <w:p>
      <w:pPr>
        <w:pStyle w:val="ListBullet"/>
        <w:numPr>
          <w:ilvl w:val="0"/>
          <w:numId w:val="1"/>
        </w:numPr>
        <w:spacing w:before="0" w:after="80"/>
        <w:ind w:hanging="360" w:start="283"/>
        <w:contextualSpacing/>
        <w:rPr/>
      </w:pPr>
      <w:r>
        <w:rPr>
          <w:rFonts w:ascii="Calibri" w:hAnsi="Calibri"/>
          <w:color w:val="1A1A2E"/>
          <w:sz w:val="22"/>
        </w:rPr>
        <w:t xml:space="preserve">☐  </w:t>
      </w:r>
      <w:r>
        <w:rPr>
          <w:rFonts w:ascii="Calibri" w:hAnsi="Calibri"/>
          <w:color w:val="1A1A2E"/>
          <w:sz w:val="22"/>
        </w:rPr>
        <w:t>Present your Pros &amp; Cons for both options — 1 minute</w:t>
      </w:r>
    </w:p>
    <w:p>
      <w:pPr>
        <w:pStyle w:val="ListBullet"/>
        <w:numPr>
          <w:ilvl w:val="0"/>
          <w:numId w:val="1"/>
        </w:numPr>
        <w:spacing w:before="0" w:after="80"/>
        <w:ind w:hanging="360" w:start="283"/>
        <w:contextualSpacing/>
        <w:rPr/>
      </w:pPr>
      <w:r>
        <w:rPr>
          <w:rFonts w:ascii="Calibri" w:hAnsi="Calibri"/>
          <w:color w:val="1A1A2E"/>
          <w:sz w:val="22"/>
        </w:rPr>
        <w:t xml:space="preserve">☐  </w:t>
      </w:r>
      <w:r>
        <w:rPr>
          <w:rFonts w:ascii="Calibri" w:hAnsi="Calibri"/>
          <w:color w:val="1A1A2E"/>
          <w:sz w:val="22"/>
        </w:rPr>
        <w:t>State your Recommendation and justify it with evidence — 1 minute</w:t>
      </w:r>
    </w:p>
    <w:p>
      <w:pPr>
        <w:pStyle w:val="ListBullet"/>
        <w:numPr>
          <w:ilvl w:val="0"/>
          <w:numId w:val="1"/>
        </w:numPr>
        <w:spacing w:before="0" w:after="80"/>
        <w:ind w:hanging="360" w:start="283"/>
        <w:contextualSpacing/>
        <w:rPr/>
      </w:pPr>
      <w:r>
        <w:rPr>
          <w:rFonts w:ascii="Calibri" w:hAnsi="Calibri"/>
          <w:color w:val="1A1A2E"/>
          <w:sz w:val="22"/>
        </w:rPr>
        <w:t xml:space="preserve">☐  </w:t>
      </w:r>
      <w:r>
        <w:rPr>
          <w:rFonts w:ascii="Calibri" w:hAnsi="Calibri"/>
          <w:color w:val="1A1A2E"/>
          <w:sz w:val="22"/>
        </w:rPr>
        <w:t>Explain which course theory or concept the case illustrates and how — 1 minute</w:t>
      </w:r>
    </w:p>
    <w:p>
      <w:pPr>
        <w:pStyle w:val="ListBullet"/>
        <w:numPr>
          <w:ilvl w:val="0"/>
          <w:numId w:val="1"/>
        </w:numPr>
        <w:spacing w:before="0" w:after="80"/>
        <w:ind w:hanging="360" w:start="283"/>
        <w:contextualSpacing/>
        <w:rPr/>
      </w:pPr>
      <w:r>
        <w:rPr>
          <w:rFonts w:ascii="Calibri" w:hAnsi="Calibri"/>
          <w:color w:val="1A1A2E"/>
          <w:sz w:val="22"/>
        </w:rPr>
        <w:t xml:space="preserve">☐  </w:t>
      </w:r>
      <w:r>
        <w:rPr>
          <w:rFonts w:ascii="Calibri" w:hAnsi="Calibri"/>
          <w:color w:val="1A1A2E"/>
          <w:sz w:val="22"/>
        </w:rPr>
        <w:t>Invite questions from the class and respond using evidence from the case</w:t>
      </w:r>
    </w:p>
    <w:p>
      <w:pPr>
        <w:pStyle w:val="Normal"/>
        <w:rPr/>
      </w:pPr>
      <w:r>
        <w:rPr/>
      </w:r>
    </w:p>
    <w:p>
      <w:pPr>
        <w:pStyle w:val="Normal"/>
        <w:spacing w:before="120" w:after="120"/>
        <w:jc w:val="start"/>
        <w:rPr/>
      </w:pPr>
      <w:r>
        <w:rPr>
          <w:rFonts w:ascii="Calibri" w:hAnsi="Calibri"/>
          <w:b/>
          <w:i w:val="false"/>
          <w:color w:val="1A376C"/>
          <w:sz w:val="22"/>
        </w:rPr>
        <w:t>Peer Feedback — While other groups present, complete the table below:</w:t>
      </w:r>
    </w:p>
    <w:tbl>
      <w:tblPr>
        <w:tblStyle w:val="TableGrid"/>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tc>
          <w:tcPr>
            <w:tcW w:w="3135" w:type="dxa"/>
            <w:tcBorders/>
            <w:shd w:color="auto" w:fill="1A376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Group</w:t>
            </w:r>
          </w:p>
        </w:tc>
        <w:tc>
          <w:tcPr>
            <w:tcW w:w="3135" w:type="dxa"/>
            <w:tcBorders/>
            <w:shd w:color="auto" w:fill="1A376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One thing they did well</w:t>
            </w:r>
          </w:p>
        </w:tc>
        <w:tc>
          <w:tcPr>
            <w:tcW w:w="3135" w:type="dxa"/>
            <w:tcBorders/>
            <w:shd w:color="auto" w:fill="1A376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One question or challenge for them</w:t>
            </w:r>
          </w:p>
        </w:tc>
      </w:tr>
      <w:tr>
        <w:trPr/>
        <w:tc>
          <w:tcPr>
            <w:tcW w:w="3135"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135"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F7F9F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3135"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3135" w:type="dxa"/>
            <w:tcBorders/>
            <w:shd w:color="auto" w:fill="FFFFF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Normal"/>
        <w:rPr/>
      </w:pPr>
      <w:r>
        <w:rPr/>
      </w:r>
    </w:p>
    <w:p>
      <w:pPr>
        <w:pStyle w:val="Normal"/>
        <w:pBdr>
          <w:bottom w:val="single" w:sz="6" w:space="1" w:color="1A376C"/>
        </w:pBdr>
        <w:spacing w:before="240" w:after="80"/>
        <w:jc w:val="start"/>
        <w:rPr/>
      </w:pPr>
      <w:r>
        <w:rPr>
          <w:rFonts w:ascii="Calibri" w:hAnsi="Calibri"/>
          <w:b/>
          <w:i w:val="false"/>
          <w:color w:val="1A376C"/>
          <w:sz w:val="32"/>
        </w:rPr>
        <w:t>PART 6: INDIVIDUAL REFLECTION</w:t>
      </w:r>
    </w:p>
    <w:p>
      <w:pPr>
        <w:pStyle w:val="Normal"/>
        <w:spacing w:before="0" w:after="160"/>
        <w:jc w:val="start"/>
        <w:rPr/>
      </w:pPr>
      <w:r>
        <w:rPr>
          <w:rFonts w:ascii="Calibri" w:hAnsi="Calibri"/>
          <w:b w:val="false"/>
          <w:i/>
          <w:color w:val="444444"/>
          <w:sz w:val="22"/>
        </w:rPr>
        <w:t>After all groups have presented and the class discussion is complete, answer the following questions individually. You have 5 minutes.</w:t>
      </w:r>
    </w:p>
    <w:p>
      <w:pPr>
        <w:pStyle w:val="Normal"/>
        <w:spacing w:before="160" w:after="80"/>
        <w:jc w:val="start"/>
        <w:rPr/>
      </w:pPr>
      <w:r>
        <w:rPr>
          <w:rFonts w:ascii="Calibri" w:hAnsi="Calibri"/>
          <w:b/>
          <w:i w:val="false"/>
          <w:color w:val="1A376C"/>
          <w:sz w:val="22"/>
        </w:rPr>
        <w:t>What is the single most important lesson you take from the Toys R Us case?</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60" w:after="80"/>
        <w:jc w:val="start"/>
        <w:rPr/>
      </w:pPr>
      <w:r>
        <w:rPr>
          <w:rFonts w:ascii="Calibri" w:hAnsi="Calibri"/>
          <w:b/>
          <w:i w:val="false"/>
          <w:color w:val="1A376C"/>
          <w:sz w:val="22"/>
        </w:rPr>
        <w:t>Which economic or business theory did this case help you understand better, and why?</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60" w:after="80"/>
        <w:jc w:val="start"/>
        <w:rPr/>
      </w:pPr>
      <w:r>
        <w:rPr>
          <w:rFonts w:ascii="Calibri" w:hAnsi="Calibri"/>
          <w:b/>
          <w:i w:val="false"/>
          <w:color w:val="1A376C"/>
          <w:sz w:val="22"/>
        </w:rPr>
        <w:t>How could a similar situation occur in a South African business context? Give one example.</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60" w:after="80"/>
        <w:jc w:val="start"/>
        <w:rPr/>
      </w:pPr>
      <w:r>
        <w:rPr>
          <w:rFonts w:ascii="Calibri" w:hAnsi="Calibri"/>
          <w:b/>
          <w:i w:val="false"/>
          <w:color w:val="1A376C"/>
          <w:sz w:val="22"/>
        </w:rPr>
        <w:t>What would you do differently if you were advising the Toys R Us board in 2010?</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spacing w:before="100" w:after="0"/>
        <w:rPr/>
      </w:pPr>
      <w:r>
        <w:rPr>
          <w:rFonts w:ascii="Calibri" w:hAnsi="Calibri"/>
          <w:color w:val="BBBBBB"/>
          <w:sz w:val="18"/>
        </w:rPr>
        <w:t>____________________________________________________________________________________________________</w:t>
      </w:r>
    </w:p>
    <w:p>
      <w:pPr>
        <w:pStyle w:val="Normal"/>
        <w:rPr/>
      </w:pPr>
      <w:r>
        <w:rPr/>
      </w:r>
    </w:p>
    <w:p>
      <w:pPr>
        <w:pStyle w:val="Normal"/>
        <w:spacing w:before="240" w:after="0"/>
        <w:jc w:val="center"/>
        <w:rPr/>
      </w:pPr>
      <w:r>
        <w:rPr>
          <w:rFonts w:ascii="Calibri" w:hAnsi="Calibri"/>
          <w:b w:val="false"/>
          <w:i/>
          <w:color w:val="888888"/>
          <w:sz w:val="18"/>
        </w:rPr>
        <w:t>Case Studies | Active Learning Strategy | CBET Training Methodologies</w:t>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3</Pages>
  <Words>1153</Words>
  <Characters>12311</Characters>
  <CharactersWithSpaces>13395</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