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F76D2" w14:textId="555B7C5C" w:rsidR="005A4BF7" w:rsidRPr="00A22E9D" w:rsidRDefault="007A743A" w:rsidP="00CA4B8F">
      <w:pPr>
        <w:spacing w:line="480" w:lineRule="auto"/>
        <w:jc w:val="center"/>
        <w:rPr>
          <w:rFonts w:ascii="Times New Roman" w:hAnsi="Times New Roman" w:cs="Times New Roman"/>
          <w:b/>
          <w:bCs/>
          <w:sz w:val="28"/>
          <w:szCs w:val="28"/>
        </w:rPr>
      </w:pPr>
      <w:r w:rsidRPr="00A22E9D">
        <w:rPr>
          <w:rFonts w:ascii="Times New Roman" w:hAnsi="Times New Roman" w:cs="Times New Roman"/>
          <w:b/>
          <w:bCs/>
          <w:sz w:val="28"/>
          <w:szCs w:val="28"/>
        </w:rPr>
        <w:t xml:space="preserve">IN-VIVO AND IN-SILICO STUDY ON </w:t>
      </w:r>
      <w:r w:rsidR="00A8106C" w:rsidRPr="00A22E9D">
        <w:rPr>
          <w:rFonts w:ascii="Times New Roman" w:hAnsi="Times New Roman" w:cs="Times New Roman"/>
          <w:b/>
          <w:bCs/>
          <w:sz w:val="28"/>
          <w:szCs w:val="28"/>
        </w:rPr>
        <w:t xml:space="preserve">THE EFFECTS OF ARYLIDENE HYDRAZINYL INDENOIMIDAZOLES ON </w:t>
      </w:r>
      <w:r w:rsidR="00EF7682" w:rsidRPr="00EF7682">
        <w:rPr>
          <w:rFonts w:ascii="Times New Roman" w:hAnsi="Times New Roman" w:cs="Times New Roman"/>
          <w:b/>
          <w:bCs/>
          <w:i/>
          <w:iCs/>
          <w:sz w:val="28"/>
          <w:szCs w:val="28"/>
        </w:rPr>
        <w:t xml:space="preserve">Plasmodium </w:t>
      </w:r>
      <w:proofErr w:type="spellStart"/>
      <w:r w:rsidR="00EF7682">
        <w:rPr>
          <w:rFonts w:ascii="Times New Roman" w:hAnsi="Times New Roman" w:cs="Times New Roman"/>
          <w:b/>
          <w:bCs/>
          <w:i/>
          <w:iCs/>
          <w:sz w:val="28"/>
          <w:szCs w:val="28"/>
        </w:rPr>
        <w:t>b</w:t>
      </w:r>
      <w:r w:rsidR="00EF7682" w:rsidRPr="00EF7682">
        <w:rPr>
          <w:rFonts w:ascii="Times New Roman" w:hAnsi="Times New Roman" w:cs="Times New Roman"/>
          <w:b/>
          <w:bCs/>
          <w:i/>
          <w:iCs/>
          <w:sz w:val="28"/>
          <w:szCs w:val="28"/>
        </w:rPr>
        <w:t>erghei</w:t>
      </w:r>
      <w:proofErr w:type="spellEnd"/>
      <w:r w:rsidR="00EF7682" w:rsidRPr="00A22E9D">
        <w:rPr>
          <w:rFonts w:ascii="Times New Roman" w:hAnsi="Times New Roman" w:cs="Times New Roman"/>
          <w:b/>
          <w:bCs/>
          <w:sz w:val="28"/>
          <w:szCs w:val="28"/>
        </w:rPr>
        <w:t xml:space="preserve"> </w:t>
      </w:r>
      <w:r w:rsidR="00A8106C" w:rsidRPr="00A22E9D">
        <w:rPr>
          <w:rFonts w:ascii="Times New Roman" w:hAnsi="Times New Roman" w:cs="Times New Roman"/>
          <w:b/>
          <w:bCs/>
          <w:sz w:val="28"/>
          <w:szCs w:val="28"/>
        </w:rPr>
        <w:t>INFECTED RED BLOOD CELLS.</w:t>
      </w:r>
    </w:p>
    <w:p w14:paraId="3EF9EF51" w14:textId="77777777" w:rsidR="00064F62" w:rsidRPr="00A22E9D" w:rsidRDefault="00064F62" w:rsidP="00CA4B8F">
      <w:pPr>
        <w:spacing w:line="480" w:lineRule="auto"/>
        <w:jc w:val="center"/>
        <w:rPr>
          <w:rFonts w:ascii="Times New Roman" w:hAnsi="Times New Roman" w:cs="Times New Roman"/>
          <w:b/>
          <w:bCs/>
          <w:sz w:val="28"/>
          <w:szCs w:val="28"/>
        </w:rPr>
      </w:pPr>
    </w:p>
    <w:p w14:paraId="399BD0EA" w14:textId="70857C97" w:rsidR="00A8106C" w:rsidRPr="00A22E9D" w:rsidRDefault="001245CE" w:rsidP="00CA4B8F">
      <w:pPr>
        <w:spacing w:line="480" w:lineRule="auto"/>
        <w:jc w:val="center"/>
        <w:rPr>
          <w:rFonts w:ascii="Times New Roman" w:hAnsi="Times New Roman" w:cs="Times New Roman"/>
          <w:b/>
          <w:bCs/>
          <w:sz w:val="28"/>
          <w:szCs w:val="28"/>
        </w:rPr>
      </w:pPr>
      <w:r w:rsidRPr="00A22E9D">
        <w:rPr>
          <w:rFonts w:ascii="Times New Roman" w:hAnsi="Times New Roman" w:cs="Times New Roman"/>
          <w:b/>
          <w:bCs/>
          <w:sz w:val="28"/>
          <w:szCs w:val="28"/>
        </w:rPr>
        <w:t>BY</w:t>
      </w:r>
    </w:p>
    <w:p w14:paraId="4C0998E7" w14:textId="77777777" w:rsidR="00064F62" w:rsidRPr="00A22E9D" w:rsidRDefault="00064F62" w:rsidP="00CA4B8F">
      <w:pPr>
        <w:spacing w:line="480" w:lineRule="auto"/>
        <w:jc w:val="center"/>
        <w:rPr>
          <w:rFonts w:ascii="Times New Roman" w:hAnsi="Times New Roman" w:cs="Times New Roman"/>
          <w:b/>
          <w:bCs/>
          <w:sz w:val="28"/>
          <w:szCs w:val="28"/>
        </w:rPr>
      </w:pPr>
    </w:p>
    <w:p w14:paraId="4E157A65" w14:textId="0FC953AD" w:rsidR="00CB203D" w:rsidRPr="00A22E9D" w:rsidRDefault="00CB203D" w:rsidP="00CA4B8F">
      <w:pPr>
        <w:spacing w:line="480" w:lineRule="auto"/>
        <w:jc w:val="center"/>
        <w:rPr>
          <w:rFonts w:ascii="Times New Roman" w:hAnsi="Times New Roman" w:cs="Times New Roman"/>
          <w:b/>
          <w:bCs/>
          <w:sz w:val="28"/>
          <w:szCs w:val="28"/>
        </w:rPr>
      </w:pPr>
      <w:r w:rsidRPr="00A22E9D">
        <w:rPr>
          <w:rFonts w:ascii="Times New Roman" w:hAnsi="Times New Roman" w:cs="Times New Roman"/>
          <w:b/>
          <w:bCs/>
          <w:sz w:val="28"/>
          <w:szCs w:val="28"/>
        </w:rPr>
        <w:t>OMONIJO BUKOLA ADEOLA</w:t>
      </w:r>
    </w:p>
    <w:p w14:paraId="500A7C15" w14:textId="155ECA59" w:rsidR="00064F62" w:rsidRPr="00A22E9D" w:rsidRDefault="001245CE" w:rsidP="00CA4B8F">
      <w:pPr>
        <w:spacing w:line="480" w:lineRule="auto"/>
        <w:jc w:val="center"/>
        <w:rPr>
          <w:rFonts w:ascii="Times New Roman" w:hAnsi="Times New Roman" w:cs="Times New Roman"/>
          <w:b/>
          <w:bCs/>
          <w:sz w:val="28"/>
          <w:szCs w:val="28"/>
        </w:rPr>
      </w:pPr>
      <w:r w:rsidRPr="00A22E9D">
        <w:rPr>
          <w:rFonts w:ascii="Times New Roman" w:hAnsi="Times New Roman" w:cs="Times New Roman"/>
          <w:b/>
          <w:bCs/>
          <w:sz w:val="28"/>
          <w:szCs w:val="28"/>
        </w:rPr>
        <w:t>MATRIC NUMBER: 1</w:t>
      </w:r>
      <w:r w:rsidR="00CB203D" w:rsidRPr="00A22E9D">
        <w:rPr>
          <w:rFonts w:ascii="Times New Roman" w:hAnsi="Times New Roman" w:cs="Times New Roman"/>
          <w:b/>
          <w:bCs/>
          <w:sz w:val="28"/>
          <w:szCs w:val="28"/>
        </w:rPr>
        <w:t>70026</w:t>
      </w:r>
    </w:p>
    <w:p w14:paraId="68BB15D5" w14:textId="77777777" w:rsidR="00064F62" w:rsidRPr="00A22E9D" w:rsidRDefault="00064F62" w:rsidP="00CA4B8F">
      <w:pPr>
        <w:spacing w:line="480" w:lineRule="auto"/>
        <w:jc w:val="center"/>
        <w:rPr>
          <w:rFonts w:ascii="Times New Roman" w:hAnsi="Times New Roman" w:cs="Times New Roman"/>
          <w:b/>
          <w:bCs/>
          <w:sz w:val="28"/>
          <w:szCs w:val="28"/>
        </w:rPr>
      </w:pPr>
    </w:p>
    <w:p w14:paraId="0083F2CA" w14:textId="3D73B283" w:rsidR="00064F62" w:rsidRPr="00A22E9D" w:rsidRDefault="001245CE" w:rsidP="00CA4B8F">
      <w:pPr>
        <w:spacing w:line="480" w:lineRule="auto"/>
        <w:jc w:val="center"/>
        <w:rPr>
          <w:rFonts w:ascii="Times New Roman" w:hAnsi="Times New Roman" w:cs="Times New Roman"/>
          <w:b/>
          <w:bCs/>
          <w:sz w:val="28"/>
          <w:szCs w:val="28"/>
        </w:rPr>
      </w:pPr>
      <w:r w:rsidRPr="00A22E9D">
        <w:rPr>
          <w:rFonts w:ascii="Times New Roman" w:hAnsi="Times New Roman" w:cs="Times New Roman"/>
          <w:b/>
          <w:bCs/>
          <w:sz w:val="28"/>
          <w:szCs w:val="28"/>
        </w:rPr>
        <w:t>BEING A PROJECT SUBMITTED TO THE DEPARTMENT OF</w:t>
      </w:r>
      <w:r w:rsidR="000E0CCE" w:rsidRPr="00A22E9D">
        <w:rPr>
          <w:rFonts w:ascii="Times New Roman" w:hAnsi="Times New Roman" w:cs="Times New Roman"/>
          <w:b/>
          <w:bCs/>
          <w:sz w:val="28"/>
          <w:szCs w:val="28"/>
        </w:rPr>
        <w:t xml:space="preserve"> </w:t>
      </w:r>
      <w:r w:rsidRPr="00A22E9D">
        <w:rPr>
          <w:rFonts w:ascii="Times New Roman" w:hAnsi="Times New Roman" w:cs="Times New Roman"/>
          <w:b/>
          <w:bCs/>
          <w:sz w:val="28"/>
          <w:szCs w:val="28"/>
        </w:rPr>
        <w:t>MEDICAL LABORATORY SCIENCE, FACULTY OF BASIC</w:t>
      </w:r>
      <w:r w:rsidR="000E0CCE" w:rsidRPr="00A22E9D">
        <w:rPr>
          <w:rFonts w:ascii="Times New Roman" w:hAnsi="Times New Roman" w:cs="Times New Roman"/>
          <w:b/>
          <w:bCs/>
          <w:sz w:val="28"/>
          <w:szCs w:val="28"/>
        </w:rPr>
        <w:t xml:space="preserve"> </w:t>
      </w:r>
      <w:r w:rsidRPr="00A22E9D">
        <w:rPr>
          <w:rFonts w:ascii="Times New Roman" w:hAnsi="Times New Roman" w:cs="Times New Roman"/>
          <w:b/>
          <w:bCs/>
          <w:sz w:val="28"/>
          <w:szCs w:val="28"/>
        </w:rPr>
        <w:t>MEDICAL SCIENCES, COLLEGE OF HEALTH SCIENCES,</w:t>
      </w:r>
      <w:r w:rsidR="000E0CCE" w:rsidRPr="00A22E9D">
        <w:rPr>
          <w:rFonts w:ascii="Times New Roman" w:hAnsi="Times New Roman" w:cs="Times New Roman"/>
          <w:b/>
          <w:bCs/>
          <w:sz w:val="28"/>
          <w:szCs w:val="28"/>
        </w:rPr>
        <w:t xml:space="preserve"> </w:t>
      </w:r>
      <w:r w:rsidRPr="00A22E9D">
        <w:rPr>
          <w:rFonts w:ascii="Times New Roman" w:hAnsi="Times New Roman" w:cs="Times New Roman"/>
          <w:b/>
          <w:bCs/>
          <w:sz w:val="28"/>
          <w:szCs w:val="28"/>
        </w:rPr>
        <w:t>LADOKE AKINTOLA UNIVERSITY OF TECHNOLOGY,</w:t>
      </w:r>
      <w:r w:rsidR="000E0CCE" w:rsidRPr="00A22E9D">
        <w:rPr>
          <w:rFonts w:ascii="Times New Roman" w:hAnsi="Times New Roman" w:cs="Times New Roman"/>
          <w:b/>
          <w:bCs/>
          <w:sz w:val="28"/>
          <w:szCs w:val="28"/>
        </w:rPr>
        <w:t xml:space="preserve"> </w:t>
      </w:r>
      <w:r w:rsidRPr="00A22E9D">
        <w:rPr>
          <w:rFonts w:ascii="Times New Roman" w:hAnsi="Times New Roman" w:cs="Times New Roman"/>
          <w:b/>
          <w:bCs/>
          <w:sz w:val="28"/>
          <w:szCs w:val="28"/>
        </w:rPr>
        <w:t>OGBOMOSO</w:t>
      </w:r>
      <w:r w:rsidR="00064F62" w:rsidRPr="00A22E9D">
        <w:rPr>
          <w:rFonts w:ascii="Times New Roman" w:hAnsi="Times New Roman" w:cs="Times New Roman"/>
          <w:b/>
          <w:bCs/>
          <w:sz w:val="28"/>
          <w:szCs w:val="28"/>
        </w:rPr>
        <w:t>.</w:t>
      </w:r>
    </w:p>
    <w:p w14:paraId="3C18E9DC" w14:textId="77777777" w:rsidR="00064F62" w:rsidRPr="00A22E9D" w:rsidRDefault="00064F62" w:rsidP="00CA4B8F">
      <w:pPr>
        <w:spacing w:line="480" w:lineRule="auto"/>
        <w:jc w:val="center"/>
        <w:rPr>
          <w:rFonts w:ascii="Times New Roman" w:hAnsi="Times New Roman" w:cs="Times New Roman"/>
          <w:b/>
          <w:bCs/>
          <w:sz w:val="28"/>
          <w:szCs w:val="28"/>
        </w:rPr>
      </w:pPr>
    </w:p>
    <w:p w14:paraId="065727CC" w14:textId="151D65AE" w:rsidR="0018385F" w:rsidRPr="00A22E9D" w:rsidRDefault="001245CE" w:rsidP="00CA4B8F">
      <w:pPr>
        <w:spacing w:line="480" w:lineRule="auto"/>
        <w:jc w:val="center"/>
        <w:rPr>
          <w:rFonts w:ascii="Times New Roman" w:hAnsi="Times New Roman" w:cs="Times New Roman"/>
          <w:b/>
          <w:bCs/>
          <w:sz w:val="28"/>
          <w:szCs w:val="28"/>
        </w:rPr>
      </w:pPr>
      <w:r w:rsidRPr="00A22E9D">
        <w:rPr>
          <w:rFonts w:ascii="Times New Roman" w:hAnsi="Times New Roman" w:cs="Times New Roman"/>
          <w:b/>
          <w:bCs/>
          <w:sz w:val="28"/>
          <w:szCs w:val="28"/>
        </w:rPr>
        <w:t>IN PARTIAL FULFILMENT OF THE</w:t>
      </w:r>
      <w:r w:rsidR="000E0CCE" w:rsidRPr="00A22E9D">
        <w:rPr>
          <w:rFonts w:ascii="Times New Roman" w:hAnsi="Times New Roman" w:cs="Times New Roman"/>
          <w:b/>
          <w:bCs/>
          <w:sz w:val="28"/>
          <w:szCs w:val="28"/>
        </w:rPr>
        <w:t xml:space="preserve"> </w:t>
      </w:r>
      <w:r w:rsidRPr="00A22E9D">
        <w:rPr>
          <w:rFonts w:ascii="Times New Roman" w:hAnsi="Times New Roman" w:cs="Times New Roman"/>
          <w:b/>
          <w:bCs/>
          <w:sz w:val="28"/>
          <w:szCs w:val="28"/>
        </w:rPr>
        <w:t>REQUIREMENT FOR THE AWARD OF BACHELOR OF MEDICAL LABORATORY SCIENCE (B.MLS) DEGREE.</w:t>
      </w:r>
    </w:p>
    <w:p w14:paraId="0C72D54B" w14:textId="094BBAA7" w:rsidR="00367B93" w:rsidRPr="00A22E9D" w:rsidRDefault="00D85B8F" w:rsidP="00CA4B8F">
      <w:pPr>
        <w:spacing w:line="480" w:lineRule="auto"/>
        <w:jc w:val="center"/>
        <w:rPr>
          <w:rFonts w:ascii="Times New Roman" w:hAnsi="Times New Roman" w:cs="Times New Roman"/>
          <w:sz w:val="24"/>
          <w:szCs w:val="24"/>
        </w:rPr>
      </w:pPr>
      <w:r>
        <w:rPr>
          <w:rFonts w:ascii="Times New Roman" w:hAnsi="Times New Roman" w:cs="Times New Roman"/>
          <w:b/>
          <w:bCs/>
          <w:sz w:val="28"/>
          <w:szCs w:val="28"/>
        </w:rPr>
        <w:t>SEPTEMBER</w:t>
      </w:r>
      <w:r w:rsidR="007A743A" w:rsidRPr="00A22E9D">
        <w:rPr>
          <w:rFonts w:ascii="Times New Roman" w:hAnsi="Times New Roman" w:cs="Times New Roman"/>
          <w:b/>
          <w:bCs/>
          <w:sz w:val="28"/>
          <w:szCs w:val="28"/>
        </w:rPr>
        <w:t>, 2023</w:t>
      </w:r>
      <w:r w:rsidR="00367B93" w:rsidRPr="00A22E9D">
        <w:rPr>
          <w:rFonts w:ascii="Times New Roman" w:hAnsi="Times New Roman" w:cs="Times New Roman"/>
          <w:sz w:val="24"/>
          <w:szCs w:val="24"/>
        </w:rPr>
        <w:br w:type="page"/>
      </w:r>
    </w:p>
    <w:p w14:paraId="06D8604C" w14:textId="77777777" w:rsidR="00893CD0" w:rsidRPr="00A22E9D" w:rsidRDefault="00893CD0" w:rsidP="00CA4B8F">
      <w:pPr>
        <w:pStyle w:val="Heading1"/>
        <w:spacing w:line="480" w:lineRule="auto"/>
        <w:rPr>
          <w:rFonts w:eastAsia="Times New Roman" w:cs="Times New Roman"/>
        </w:rPr>
      </w:pPr>
      <w:bookmarkStart w:id="0" w:name="_Toc145500359"/>
      <w:r w:rsidRPr="00A22E9D">
        <w:rPr>
          <w:rFonts w:eastAsia="Times New Roman" w:cs="Times New Roman"/>
        </w:rPr>
        <w:lastRenderedPageBreak/>
        <w:t>CERTIFICATION</w:t>
      </w:r>
      <w:bookmarkEnd w:id="0"/>
    </w:p>
    <w:p w14:paraId="35F3009A" w14:textId="77777777" w:rsidR="00893CD0" w:rsidRPr="00A22E9D" w:rsidRDefault="00893CD0" w:rsidP="00CA4B8F">
      <w:pPr>
        <w:spacing w:after="0" w:line="480" w:lineRule="auto"/>
        <w:jc w:val="both"/>
        <w:rPr>
          <w:rFonts w:ascii="Times New Roman" w:eastAsia="Times New Roman" w:hAnsi="Times New Roman" w:cs="Times New Roman"/>
          <w:b/>
          <w:bCs/>
          <w:color w:val="000000"/>
          <w:sz w:val="28"/>
          <w:szCs w:val="28"/>
          <w:lang w:val="en-US"/>
        </w:rPr>
      </w:pPr>
    </w:p>
    <w:p w14:paraId="466AE83D" w14:textId="557478DB" w:rsidR="00893CD0" w:rsidRPr="00A22E9D" w:rsidRDefault="00893CD0" w:rsidP="00CA4B8F">
      <w:pPr>
        <w:spacing w:after="292" w:line="480" w:lineRule="auto"/>
        <w:ind w:left="218"/>
        <w:jc w:val="both"/>
        <w:rPr>
          <w:rFonts w:ascii="Times New Roman" w:eastAsia="Times New Roman" w:hAnsi="Times New Roman" w:cs="Times New Roman"/>
          <w:color w:val="000000"/>
          <w:sz w:val="24"/>
          <w:szCs w:val="24"/>
          <w:lang w:val="en-US"/>
        </w:rPr>
      </w:pPr>
      <w:r w:rsidRPr="00A22E9D">
        <w:rPr>
          <w:rFonts w:ascii="Times New Roman" w:eastAsia="Times New Roman" w:hAnsi="Times New Roman" w:cs="Times New Roman"/>
          <w:color w:val="000000"/>
          <w:sz w:val="24"/>
          <w:szCs w:val="24"/>
          <w:lang w:val="en-US"/>
        </w:rPr>
        <w:t xml:space="preserve">I hereby certify that this project work was carried out by </w:t>
      </w:r>
      <w:r w:rsidR="0095499F" w:rsidRPr="00A22E9D">
        <w:rPr>
          <w:rFonts w:ascii="Times New Roman" w:eastAsia="Times New Roman" w:hAnsi="Times New Roman" w:cs="Times New Roman"/>
          <w:color w:val="000000"/>
          <w:sz w:val="24"/>
          <w:szCs w:val="24"/>
          <w:lang w:val="en-US"/>
        </w:rPr>
        <w:t xml:space="preserve">OMONIJO BUKOLA ADEOLA </w:t>
      </w:r>
      <w:r w:rsidRPr="00A22E9D">
        <w:rPr>
          <w:rFonts w:ascii="Times New Roman" w:eastAsia="Times New Roman" w:hAnsi="Times New Roman" w:cs="Times New Roman"/>
          <w:color w:val="000000"/>
          <w:sz w:val="24"/>
          <w:szCs w:val="24"/>
          <w:lang w:val="en-US"/>
        </w:rPr>
        <w:t xml:space="preserve">with matric no: </w:t>
      </w:r>
      <w:r w:rsidR="0095499F" w:rsidRPr="00A22E9D">
        <w:rPr>
          <w:rFonts w:ascii="Times New Roman" w:eastAsia="Times New Roman" w:hAnsi="Times New Roman" w:cs="Times New Roman"/>
          <w:color w:val="000000"/>
          <w:sz w:val="24"/>
          <w:szCs w:val="24"/>
          <w:lang w:val="en-US"/>
        </w:rPr>
        <w:t xml:space="preserve">170026 </w:t>
      </w:r>
      <w:r w:rsidRPr="00A22E9D">
        <w:rPr>
          <w:rFonts w:ascii="Times New Roman" w:eastAsia="Times New Roman" w:hAnsi="Times New Roman" w:cs="Times New Roman"/>
          <w:color w:val="000000"/>
          <w:sz w:val="24"/>
          <w:szCs w:val="24"/>
          <w:lang w:val="en-US"/>
        </w:rPr>
        <w:t xml:space="preserve">of the department of Medical Laboratory Science, Faculty of Basic Medical Sciences, </w:t>
      </w:r>
      <w:r w:rsidR="00C443AD" w:rsidRPr="00A22E9D">
        <w:rPr>
          <w:rFonts w:ascii="Times New Roman" w:eastAsia="Times New Roman" w:hAnsi="Times New Roman" w:cs="Times New Roman"/>
          <w:color w:val="000000"/>
          <w:sz w:val="24"/>
          <w:szCs w:val="24"/>
          <w:lang w:val="en-US"/>
        </w:rPr>
        <w:t>Ladoke Akintola University of Technology</w:t>
      </w:r>
      <w:r w:rsidRPr="00A22E9D">
        <w:rPr>
          <w:rFonts w:ascii="Times New Roman" w:eastAsia="Times New Roman" w:hAnsi="Times New Roman" w:cs="Times New Roman"/>
          <w:color w:val="000000"/>
          <w:sz w:val="24"/>
          <w:szCs w:val="24"/>
          <w:lang w:val="en-US"/>
        </w:rPr>
        <w:t>, Ogbomosho</w:t>
      </w:r>
      <w:r w:rsidR="00C443AD" w:rsidRPr="00A22E9D">
        <w:rPr>
          <w:rFonts w:ascii="Times New Roman" w:eastAsia="Times New Roman" w:hAnsi="Times New Roman" w:cs="Times New Roman"/>
          <w:color w:val="000000"/>
          <w:sz w:val="24"/>
          <w:szCs w:val="24"/>
          <w:lang w:val="en-US"/>
        </w:rPr>
        <w:t>, Oyo State, Nigeria</w:t>
      </w:r>
      <w:r w:rsidRPr="00A22E9D">
        <w:rPr>
          <w:rFonts w:ascii="Times New Roman" w:eastAsia="Times New Roman" w:hAnsi="Times New Roman" w:cs="Times New Roman"/>
          <w:color w:val="000000"/>
          <w:sz w:val="24"/>
          <w:szCs w:val="24"/>
          <w:lang w:val="en-US"/>
        </w:rPr>
        <w:t>.</w:t>
      </w:r>
    </w:p>
    <w:p w14:paraId="0E5C5344" w14:textId="77777777" w:rsidR="00893CD0" w:rsidRPr="00A22E9D" w:rsidRDefault="00893CD0" w:rsidP="00CA4B8F">
      <w:pPr>
        <w:spacing w:after="453" w:line="480" w:lineRule="auto"/>
        <w:ind w:left="8"/>
        <w:jc w:val="both"/>
        <w:rPr>
          <w:rFonts w:ascii="Times New Roman" w:eastAsia="Times New Roman" w:hAnsi="Times New Roman" w:cs="Times New Roman"/>
          <w:color w:val="000000"/>
          <w:sz w:val="24"/>
          <w:lang w:val="en-US"/>
        </w:rPr>
      </w:pPr>
      <w:r w:rsidRPr="00A22E9D">
        <w:rPr>
          <w:rFonts w:ascii="Times New Roman" w:eastAsia="Times New Roman" w:hAnsi="Times New Roman" w:cs="Times New Roman"/>
          <w:color w:val="000000"/>
          <w:sz w:val="28"/>
          <w:lang w:val="en-US"/>
        </w:rPr>
        <w:t xml:space="preserve"> </w:t>
      </w:r>
    </w:p>
    <w:p w14:paraId="06F308C9" w14:textId="77777777" w:rsidR="00893CD0" w:rsidRPr="00A22E9D" w:rsidRDefault="00893CD0" w:rsidP="00CA4B8F">
      <w:pPr>
        <w:spacing w:after="106" w:line="480" w:lineRule="auto"/>
        <w:ind w:left="8"/>
        <w:jc w:val="both"/>
        <w:rPr>
          <w:rFonts w:ascii="Times New Roman" w:eastAsia="Times New Roman" w:hAnsi="Times New Roman" w:cs="Times New Roman"/>
          <w:color w:val="000000"/>
          <w:sz w:val="24"/>
          <w:lang w:val="en-US"/>
        </w:rPr>
      </w:pPr>
      <w:r w:rsidRPr="00A22E9D">
        <w:rPr>
          <w:rFonts w:ascii="Times New Roman" w:eastAsia="Times New Roman" w:hAnsi="Times New Roman" w:cs="Times New Roman"/>
          <w:color w:val="000000"/>
          <w:sz w:val="28"/>
          <w:lang w:val="en-US"/>
        </w:rPr>
        <w:t xml:space="preserve"> </w:t>
      </w:r>
    </w:p>
    <w:p w14:paraId="34A4B986" w14:textId="77777777" w:rsidR="00893CD0" w:rsidRPr="00A22E9D" w:rsidRDefault="00893CD0" w:rsidP="00CA4B8F">
      <w:pPr>
        <w:spacing w:after="37" w:line="480" w:lineRule="auto"/>
        <w:ind w:left="60" w:right="-287"/>
        <w:jc w:val="both"/>
        <w:rPr>
          <w:rFonts w:ascii="Times New Roman" w:eastAsia="Times New Roman" w:hAnsi="Times New Roman" w:cs="Times New Roman"/>
          <w:color w:val="000000"/>
          <w:sz w:val="24"/>
          <w:lang w:val="en-US"/>
        </w:rPr>
      </w:pPr>
      <w:r w:rsidRPr="00A22E9D">
        <w:rPr>
          <w:rFonts w:ascii="Times New Roman" w:eastAsia="Calibri" w:hAnsi="Times New Roman" w:cs="Times New Roman"/>
          <w:noProof/>
          <w:color w:val="000000"/>
          <w:lang w:val="en-US"/>
        </w:rPr>
        <mc:AlternateContent>
          <mc:Choice Requires="wpg">
            <w:drawing>
              <wp:inline distT="0" distB="0" distL="0" distR="0" wp14:anchorId="64945604" wp14:editId="29B4D350">
                <wp:extent cx="5915025" cy="6350"/>
                <wp:effectExtent l="0" t="0" r="0" b="0"/>
                <wp:docPr id="28119" name="Group 28119"/>
                <wp:cNvGraphicFramePr/>
                <a:graphic xmlns:a="http://schemas.openxmlformats.org/drawingml/2006/main">
                  <a:graphicData uri="http://schemas.microsoft.com/office/word/2010/wordprocessingGroup">
                    <wpg:wgp>
                      <wpg:cNvGrpSpPr/>
                      <wpg:grpSpPr>
                        <a:xfrm>
                          <a:off x="0" y="0"/>
                          <a:ext cx="5915025" cy="6350"/>
                          <a:chOff x="0" y="0"/>
                          <a:chExt cx="5915025" cy="6350"/>
                        </a:xfrm>
                      </wpg:grpSpPr>
                      <wps:wsp>
                        <wps:cNvPr id="92" name="Shape 92"/>
                        <wps:cNvSpPr/>
                        <wps:spPr>
                          <a:xfrm>
                            <a:off x="0" y="0"/>
                            <a:ext cx="1638300" cy="0"/>
                          </a:xfrm>
                          <a:custGeom>
                            <a:avLst/>
                            <a:gdLst/>
                            <a:ahLst/>
                            <a:cxnLst/>
                            <a:rect l="0" t="0" r="0" b="0"/>
                            <a:pathLst>
                              <a:path w="1638300">
                                <a:moveTo>
                                  <a:pt x="0" y="0"/>
                                </a:moveTo>
                                <a:lnTo>
                                  <a:pt x="1638300" y="0"/>
                                </a:lnTo>
                              </a:path>
                            </a:pathLst>
                          </a:custGeom>
                          <a:noFill/>
                          <a:ln w="6350" cap="flat" cmpd="sng" algn="ctr">
                            <a:solidFill>
                              <a:srgbClr val="000000"/>
                            </a:solidFill>
                            <a:prstDash val="solid"/>
                            <a:miter lim="127000"/>
                          </a:ln>
                          <a:effectLst/>
                        </wps:spPr>
                        <wps:bodyPr/>
                      </wps:wsp>
                      <wps:wsp>
                        <wps:cNvPr id="93" name="Shape 93"/>
                        <wps:cNvSpPr/>
                        <wps:spPr>
                          <a:xfrm>
                            <a:off x="4276725" y="0"/>
                            <a:ext cx="1638300" cy="0"/>
                          </a:xfrm>
                          <a:custGeom>
                            <a:avLst/>
                            <a:gdLst/>
                            <a:ahLst/>
                            <a:cxnLst/>
                            <a:rect l="0" t="0" r="0" b="0"/>
                            <a:pathLst>
                              <a:path w="1638300">
                                <a:moveTo>
                                  <a:pt x="0" y="0"/>
                                </a:moveTo>
                                <a:lnTo>
                                  <a:pt x="1638300" y="0"/>
                                </a:lnTo>
                              </a:path>
                            </a:pathLst>
                          </a:custGeom>
                          <a:noFill/>
                          <a:ln w="6350" cap="flat" cmpd="sng" algn="ctr">
                            <a:solidFill>
                              <a:srgbClr val="000000"/>
                            </a:solidFill>
                            <a:prstDash val="solid"/>
                            <a:miter lim="127000"/>
                          </a:ln>
                          <a:effectLst/>
                        </wps:spPr>
                        <wps:bodyPr/>
                      </wps:wsp>
                    </wpg:wgp>
                  </a:graphicData>
                </a:graphic>
              </wp:inline>
            </w:drawing>
          </mc:Choice>
          <mc:Fallback>
            <w:pict>
              <v:group w14:anchorId="624E8358" id="Group 28119" o:spid="_x0000_s1026" style="width:465.75pt;height:.5pt;mso-position-horizontal-relative:char;mso-position-vertical-relative:line" coordsize="591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">
                <v:shape id="Shape 92" o:spid="_x0000_s1027" style="position:absolute;width:16383;height:0;visibility:visible;mso-wrap-style:square;v-text-anchor:top" coordsize="1638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" path="m,l1638300,e" filled="f" strokeweight=".5pt">
                  <v:stroke miterlimit="83231f" joinstyle="miter"/>
                  <v:path arrowok="t" textboxrect="0,0,1638300,0"/>
                </v:shape>
                <v:shape id="Shape 93" o:spid="_x0000_s1028" style="position:absolute;left:42767;width:16383;height:0;visibility:visible;mso-wrap-style:square;v-text-anchor:top" coordsize="1638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" path="m,l1638300,e" filled="f" strokeweight=".5pt">
                  <v:stroke miterlimit="83231f" joinstyle="miter"/>
                  <v:path arrowok="t" textboxrect="0,0,1638300,0"/>
                </v:shape>
                <w10:anchorlock/>
              </v:group>
            </w:pict>
          </mc:Fallback>
        </mc:AlternateContent>
      </w:r>
    </w:p>
    <w:p w14:paraId="2E6E0D7E" w14:textId="77777777" w:rsidR="00893CD0" w:rsidRPr="00A22E9D" w:rsidRDefault="00893CD0" w:rsidP="00CA4B8F">
      <w:pPr>
        <w:spacing w:after="128" w:line="480" w:lineRule="auto"/>
        <w:ind w:left="14" w:right="10"/>
        <w:jc w:val="both"/>
        <w:rPr>
          <w:rFonts w:ascii="Times New Roman" w:eastAsia="Times New Roman" w:hAnsi="Times New Roman" w:cs="Times New Roman"/>
          <w:color w:val="000000"/>
          <w:sz w:val="24"/>
          <w:lang w:val="en-US"/>
        </w:rPr>
      </w:pPr>
      <w:r w:rsidRPr="00A22E9D">
        <w:rPr>
          <w:rFonts w:ascii="Times New Roman" w:eastAsia="Times New Roman" w:hAnsi="Times New Roman" w:cs="Times New Roman"/>
          <w:color w:val="000000"/>
          <w:sz w:val="24"/>
          <w:lang w:val="en-US"/>
        </w:rPr>
        <w:t xml:space="preserve">PROJECT SUPERVISOR                                                                                        DATE </w:t>
      </w:r>
    </w:p>
    <w:p w14:paraId="0EE50573" w14:textId="4A09DAC2" w:rsidR="00893CD0" w:rsidRPr="00A22E9D" w:rsidRDefault="0027709F" w:rsidP="00CA4B8F">
      <w:pPr>
        <w:spacing w:after="171" w:line="480" w:lineRule="auto"/>
        <w:ind w:left="14" w:right="10"/>
        <w:jc w:val="both"/>
        <w:rPr>
          <w:rFonts w:ascii="Times New Roman" w:eastAsia="Times New Roman" w:hAnsi="Times New Roman" w:cs="Times New Roman"/>
          <w:color w:val="000000"/>
          <w:sz w:val="24"/>
          <w:lang w:val="en-US"/>
        </w:rPr>
      </w:pPr>
      <w:r>
        <w:rPr>
          <w:rFonts w:ascii="Times New Roman" w:eastAsia="Times New Roman" w:hAnsi="Times New Roman" w:cs="Times New Roman"/>
          <w:color w:val="000000"/>
          <w:sz w:val="24"/>
          <w:lang w:val="en-US"/>
        </w:rPr>
        <w:t>PROF</w:t>
      </w:r>
      <w:r w:rsidR="00893CD0" w:rsidRPr="00A22E9D">
        <w:rPr>
          <w:rFonts w:ascii="Times New Roman" w:eastAsia="Times New Roman" w:hAnsi="Times New Roman" w:cs="Times New Roman"/>
          <w:color w:val="000000"/>
          <w:sz w:val="24"/>
          <w:lang w:val="en-US"/>
        </w:rPr>
        <w:t xml:space="preserve"> LEO EHIGI</w:t>
      </w:r>
      <w:r>
        <w:rPr>
          <w:rFonts w:ascii="Times New Roman" w:eastAsia="Times New Roman" w:hAnsi="Times New Roman" w:cs="Times New Roman"/>
          <w:color w:val="000000"/>
          <w:sz w:val="24"/>
          <w:lang w:val="en-US"/>
        </w:rPr>
        <w:t>E</w:t>
      </w:r>
    </w:p>
    <w:p w14:paraId="030EB997" w14:textId="77777777" w:rsidR="00893CD0" w:rsidRPr="00A22E9D" w:rsidRDefault="00893CD0" w:rsidP="00CA4B8F">
      <w:pPr>
        <w:spacing w:after="453" w:line="480" w:lineRule="auto"/>
        <w:jc w:val="both"/>
        <w:rPr>
          <w:rFonts w:ascii="Times New Roman" w:eastAsia="Times New Roman" w:hAnsi="Times New Roman" w:cs="Times New Roman"/>
          <w:color w:val="000000"/>
          <w:sz w:val="24"/>
          <w:lang w:val="en-US"/>
        </w:rPr>
      </w:pPr>
      <w:r w:rsidRPr="00A22E9D">
        <w:rPr>
          <w:rFonts w:ascii="Times New Roman" w:eastAsia="Times New Roman" w:hAnsi="Times New Roman" w:cs="Times New Roman"/>
          <w:b/>
          <w:color w:val="000000"/>
          <w:sz w:val="28"/>
          <w:lang w:val="en-US"/>
        </w:rPr>
        <w:t xml:space="preserve"> </w:t>
      </w:r>
    </w:p>
    <w:p w14:paraId="66F27ACB" w14:textId="77777777" w:rsidR="00893CD0" w:rsidRPr="00A22E9D" w:rsidRDefault="00893CD0" w:rsidP="00CA4B8F">
      <w:pPr>
        <w:spacing w:after="73" w:line="480" w:lineRule="auto"/>
        <w:jc w:val="both"/>
        <w:rPr>
          <w:rFonts w:ascii="Times New Roman" w:eastAsia="Times New Roman" w:hAnsi="Times New Roman" w:cs="Times New Roman"/>
          <w:color w:val="000000"/>
          <w:sz w:val="24"/>
          <w:lang w:val="en-US"/>
        </w:rPr>
      </w:pPr>
      <w:r w:rsidRPr="00A22E9D">
        <w:rPr>
          <w:rFonts w:ascii="Times New Roman" w:eastAsia="Times New Roman" w:hAnsi="Times New Roman" w:cs="Times New Roman"/>
          <w:b/>
          <w:color w:val="000000"/>
          <w:sz w:val="28"/>
          <w:lang w:val="en-US"/>
        </w:rPr>
        <w:t xml:space="preserve"> </w:t>
      </w:r>
    </w:p>
    <w:p w14:paraId="7F5DACA4" w14:textId="77777777" w:rsidR="00893CD0" w:rsidRPr="00A22E9D" w:rsidRDefault="00893CD0" w:rsidP="00CA4B8F">
      <w:pPr>
        <w:spacing w:after="64" w:line="480" w:lineRule="auto"/>
        <w:ind w:left="59" w:right="-197"/>
        <w:jc w:val="both"/>
        <w:rPr>
          <w:rFonts w:ascii="Times New Roman" w:eastAsia="Times New Roman" w:hAnsi="Times New Roman" w:cs="Times New Roman"/>
          <w:color w:val="000000"/>
          <w:sz w:val="24"/>
          <w:lang w:val="en-US"/>
        </w:rPr>
      </w:pPr>
      <w:r w:rsidRPr="00A22E9D">
        <w:rPr>
          <w:rFonts w:ascii="Times New Roman" w:eastAsia="Calibri" w:hAnsi="Times New Roman" w:cs="Times New Roman"/>
          <w:noProof/>
          <w:color w:val="000000"/>
          <w:lang w:val="en-US"/>
        </w:rPr>
        <mc:AlternateContent>
          <mc:Choice Requires="wpg">
            <w:drawing>
              <wp:inline distT="0" distB="0" distL="0" distR="0" wp14:anchorId="191B6135" wp14:editId="4A6CEA1F">
                <wp:extent cx="5858510" cy="6350"/>
                <wp:effectExtent l="0" t="0" r="0" b="0"/>
                <wp:docPr id="28122" name="Group 28122"/>
                <wp:cNvGraphicFramePr/>
                <a:graphic xmlns:a="http://schemas.openxmlformats.org/drawingml/2006/main">
                  <a:graphicData uri="http://schemas.microsoft.com/office/word/2010/wordprocessingGroup">
                    <wpg:wgp>
                      <wpg:cNvGrpSpPr/>
                      <wpg:grpSpPr>
                        <a:xfrm>
                          <a:off x="0" y="0"/>
                          <a:ext cx="5858510" cy="6350"/>
                          <a:chOff x="0" y="0"/>
                          <a:chExt cx="5858510" cy="6350"/>
                        </a:xfrm>
                      </wpg:grpSpPr>
                      <wps:wsp>
                        <wps:cNvPr id="94" name="Shape 94"/>
                        <wps:cNvSpPr/>
                        <wps:spPr>
                          <a:xfrm>
                            <a:off x="0" y="0"/>
                            <a:ext cx="1704975" cy="0"/>
                          </a:xfrm>
                          <a:custGeom>
                            <a:avLst/>
                            <a:gdLst/>
                            <a:ahLst/>
                            <a:cxnLst/>
                            <a:rect l="0" t="0" r="0" b="0"/>
                            <a:pathLst>
                              <a:path w="1704975">
                                <a:moveTo>
                                  <a:pt x="0" y="0"/>
                                </a:moveTo>
                                <a:lnTo>
                                  <a:pt x="1704975" y="0"/>
                                </a:lnTo>
                              </a:path>
                            </a:pathLst>
                          </a:custGeom>
                          <a:noFill/>
                          <a:ln w="6350" cap="flat" cmpd="sng" algn="ctr">
                            <a:solidFill>
                              <a:srgbClr val="000000"/>
                            </a:solidFill>
                            <a:prstDash val="solid"/>
                            <a:miter lim="127000"/>
                          </a:ln>
                          <a:effectLst/>
                        </wps:spPr>
                        <wps:bodyPr/>
                      </wps:wsp>
                      <wps:wsp>
                        <wps:cNvPr id="95" name="Shape 95"/>
                        <wps:cNvSpPr/>
                        <wps:spPr>
                          <a:xfrm>
                            <a:off x="4372610" y="0"/>
                            <a:ext cx="1485900" cy="0"/>
                          </a:xfrm>
                          <a:custGeom>
                            <a:avLst/>
                            <a:gdLst/>
                            <a:ahLst/>
                            <a:cxnLst/>
                            <a:rect l="0" t="0" r="0" b="0"/>
                            <a:pathLst>
                              <a:path w="1485900">
                                <a:moveTo>
                                  <a:pt x="0" y="0"/>
                                </a:moveTo>
                                <a:lnTo>
                                  <a:pt x="1485900" y="0"/>
                                </a:lnTo>
                              </a:path>
                            </a:pathLst>
                          </a:custGeom>
                          <a:noFill/>
                          <a:ln w="6350" cap="flat" cmpd="sng" algn="ctr">
                            <a:solidFill>
                              <a:srgbClr val="000000"/>
                            </a:solidFill>
                            <a:prstDash val="solid"/>
                            <a:miter lim="127000"/>
                          </a:ln>
                          <a:effectLst/>
                        </wps:spPr>
                        <wps:bodyPr/>
                      </wps:wsp>
                    </wpg:wgp>
                  </a:graphicData>
                </a:graphic>
              </wp:inline>
            </w:drawing>
          </mc:Choice>
          <mc:Fallback>
            <w:pict>
              <v:group w14:anchorId="4236BF6A" id="Group 28122" o:spid="_x0000_s1026" style="width:461.3pt;height:.5pt;mso-position-horizontal-relative:char;mso-position-vertical-relative:line" coordsize="585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">
                <v:shape id="Shape 94" o:spid="_x0000_s1027" style="position:absolute;width:17049;height:0;visibility:visible;mso-wrap-style:square;v-text-anchor:top" coordsize="1704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" path="m,l1704975,e" filled="f" strokeweight=".5pt">
                  <v:stroke miterlimit="83231f" joinstyle="miter"/>
                  <v:path arrowok="t" textboxrect="0,0,1704975,0"/>
                </v:shape>
                <v:shape id="Shape 95" o:spid="_x0000_s1028" style="position:absolute;left:43726;width:14859;height:0;visibility:visible;mso-wrap-style:square;v-text-anchor:top" coordsize="148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" path="m,l1485900,e" filled="f" strokeweight=".5pt">
                  <v:stroke miterlimit="83231f" joinstyle="miter"/>
                  <v:path arrowok="t" textboxrect="0,0,1485900,0"/>
                </v:shape>
                <w10:anchorlock/>
              </v:group>
            </w:pict>
          </mc:Fallback>
        </mc:AlternateContent>
      </w:r>
    </w:p>
    <w:p w14:paraId="47B4F9D4" w14:textId="77777777" w:rsidR="00893CD0" w:rsidRPr="00A22E9D" w:rsidRDefault="00893CD0" w:rsidP="00CA4B8F">
      <w:pPr>
        <w:spacing w:after="130" w:line="480" w:lineRule="auto"/>
        <w:ind w:left="14" w:right="10"/>
        <w:jc w:val="both"/>
        <w:rPr>
          <w:rFonts w:ascii="Times New Roman" w:eastAsia="Times New Roman" w:hAnsi="Times New Roman" w:cs="Times New Roman"/>
          <w:color w:val="000000"/>
          <w:sz w:val="24"/>
          <w:lang w:val="en-US"/>
        </w:rPr>
      </w:pPr>
      <w:r w:rsidRPr="00A22E9D">
        <w:rPr>
          <w:rFonts w:ascii="Times New Roman" w:eastAsia="Times New Roman" w:hAnsi="Times New Roman" w:cs="Times New Roman"/>
          <w:color w:val="000000"/>
          <w:sz w:val="24"/>
          <w:lang w:val="en-US"/>
        </w:rPr>
        <w:t xml:space="preserve">HEAD OF DEPARTMENT                                                                                   DATE </w:t>
      </w:r>
    </w:p>
    <w:p w14:paraId="0E48AB56" w14:textId="454E9E11" w:rsidR="00893CD0" w:rsidRPr="00A22E9D" w:rsidRDefault="00893CD0" w:rsidP="00CA4B8F">
      <w:pPr>
        <w:spacing w:after="129" w:line="480" w:lineRule="auto"/>
        <w:ind w:left="14" w:right="10"/>
        <w:jc w:val="both"/>
        <w:rPr>
          <w:rFonts w:ascii="Times New Roman" w:eastAsia="Times New Roman" w:hAnsi="Times New Roman" w:cs="Times New Roman"/>
          <w:color w:val="000000"/>
          <w:sz w:val="24"/>
          <w:lang w:val="en-US"/>
        </w:rPr>
      </w:pPr>
      <w:r w:rsidRPr="00A22E9D">
        <w:rPr>
          <w:rFonts w:ascii="Times New Roman" w:eastAsia="Times New Roman" w:hAnsi="Times New Roman" w:cs="Times New Roman"/>
          <w:color w:val="000000"/>
          <w:sz w:val="24"/>
          <w:lang w:val="en-US"/>
        </w:rPr>
        <w:t xml:space="preserve">PROF CHRIS IGBENEGHU </w:t>
      </w:r>
    </w:p>
    <w:p w14:paraId="14E1C6A8" w14:textId="77777777" w:rsidR="00893CD0" w:rsidRPr="00A22E9D" w:rsidRDefault="00893CD0" w:rsidP="00CA4B8F">
      <w:pPr>
        <w:spacing w:after="0" w:line="480" w:lineRule="auto"/>
        <w:jc w:val="both"/>
        <w:rPr>
          <w:rFonts w:ascii="Times New Roman" w:eastAsia="Times New Roman" w:hAnsi="Times New Roman" w:cs="Times New Roman"/>
          <w:color w:val="000000"/>
          <w:sz w:val="24"/>
          <w:lang w:val="en-US"/>
        </w:rPr>
      </w:pPr>
      <w:r w:rsidRPr="00A22E9D">
        <w:rPr>
          <w:rFonts w:ascii="Times New Roman" w:eastAsia="Times New Roman" w:hAnsi="Times New Roman" w:cs="Times New Roman"/>
          <w:color w:val="000000"/>
          <w:sz w:val="24"/>
          <w:lang w:val="en-US"/>
        </w:rPr>
        <w:t xml:space="preserve"> </w:t>
      </w:r>
    </w:p>
    <w:p w14:paraId="348EC84A" w14:textId="77777777" w:rsidR="00893CD0" w:rsidRPr="00A22E9D" w:rsidRDefault="00893CD0" w:rsidP="00CA4B8F">
      <w:pPr>
        <w:spacing w:after="42" w:line="480" w:lineRule="auto"/>
        <w:ind w:left="-75" w:right="-376"/>
        <w:jc w:val="both"/>
        <w:rPr>
          <w:rFonts w:ascii="Times New Roman" w:eastAsia="Times New Roman" w:hAnsi="Times New Roman" w:cs="Times New Roman"/>
          <w:color w:val="000000"/>
          <w:sz w:val="24"/>
          <w:lang w:val="en-US"/>
        </w:rPr>
      </w:pPr>
      <w:r w:rsidRPr="00A22E9D">
        <w:rPr>
          <w:rFonts w:ascii="Times New Roman" w:eastAsia="Calibri" w:hAnsi="Times New Roman" w:cs="Times New Roman"/>
          <w:noProof/>
          <w:color w:val="000000"/>
          <w:lang w:val="en-US"/>
        </w:rPr>
        <mc:AlternateContent>
          <mc:Choice Requires="wpg">
            <w:drawing>
              <wp:inline distT="0" distB="0" distL="0" distR="0" wp14:anchorId="4F5E861F" wp14:editId="784C2B73">
                <wp:extent cx="6057265" cy="6350"/>
                <wp:effectExtent l="0" t="0" r="0" b="0"/>
                <wp:docPr id="28125" name="Group 28125"/>
                <wp:cNvGraphicFramePr/>
                <a:graphic xmlns:a="http://schemas.openxmlformats.org/drawingml/2006/main">
                  <a:graphicData uri="http://schemas.microsoft.com/office/word/2010/wordprocessingGroup">
                    <wpg:wgp>
                      <wpg:cNvGrpSpPr/>
                      <wpg:grpSpPr>
                        <a:xfrm>
                          <a:off x="0" y="0"/>
                          <a:ext cx="6057265" cy="6350"/>
                          <a:chOff x="0" y="0"/>
                          <a:chExt cx="6057265" cy="6350"/>
                        </a:xfrm>
                      </wpg:grpSpPr>
                      <wps:wsp>
                        <wps:cNvPr id="96" name="Shape 96"/>
                        <wps:cNvSpPr/>
                        <wps:spPr>
                          <a:xfrm>
                            <a:off x="0" y="0"/>
                            <a:ext cx="1724025" cy="0"/>
                          </a:xfrm>
                          <a:custGeom>
                            <a:avLst/>
                            <a:gdLst/>
                            <a:ahLst/>
                            <a:cxnLst/>
                            <a:rect l="0" t="0" r="0" b="0"/>
                            <a:pathLst>
                              <a:path w="1724025">
                                <a:moveTo>
                                  <a:pt x="0" y="0"/>
                                </a:moveTo>
                                <a:lnTo>
                                  <a:pt x="1724025" y="0"/>
                                </a:lnTo>
                              </a:path>
                            </a:pathLst>
                          </a:custGeom>
                          <a:noFill/>
                          <a:ln w="6350" cap="flat" cmpd="sng" algn="ctr">
                            <a:solidFill>
                              <a:srgbClr val="000000"/>
                            </a:solidFill>
                            <a:prstDash val="solid"/>
                            <a:miter lim="127000"/>
                          </a:ln>
                          <a:effectLst/>
                        </wps:spPr>
                        <wps:bodyPr/>
                      </wps:wsp>
                      <wps:wsp>
                        <wps:cNvPr id="97" name="Shape 97"/>
                        <wps:cNvSpPr/>
                        <wps:spPr>
                          <a:xfrm>
                            <a:off x="4542790" y="0"/>
                            <a:ext cx="1514475" cy="0"/>
                          </a:xfrm>
                          <a:custGeom>
                            <a:avLst/>
                            <a:gdLst/>
                            <a:ahLst/>
                            <a:cxnLst/>
                            <a:rect l="0" t="0" r="0" b="0"/>
                            <a:pathLst>
                              <a:path w="1514475">
                                <a:moveTo>
                                  <a:pt x="0" y="0"/>
                                </a:moveTo>
                                <a:lnTo>
                                  <a:pt x="1514475" y="0"/>
                                </a:lnTo>
                              </a:path>
                            </a:pathLst>
                          </a:custGeom>
                          <a:noFill/>
                          <a:ln w="6350" cap="flat" cmpd="sng" algn="ctr">
                            <a:solidFill>
                              <a:srgbClr val="000000"/>
                            </a:solidFill>
                            <a:prstDash val="solid"/>
                            <a:miter lim="127000"/>
                          </a:ln>
                          <a:effectLst/>
                        </wps:spPr>
                        <wps:bodyPr/>
                      </wps:wsp>
                    </wpg:wgp>
                  </a:graphicData>
                </a:graphic>
              </wp:inline>
            </w:drawing>
          </mc:Choice>
          <mc:Fallback>
            <w:pict>
              <v:group w14:anchorId="16206554" id="Group 28125" o:spid="_x0000_s1026" style="width:476.95pt;height:.5pt;mso-position-horizontal-relative:char;mso-position-vertical-relative:line" coordsize="605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">
                <v:shape id="Shape 96" o:spid="_x0000_s1027" style="position:absolute;width:17240;height:0;visibility:visible;mso-wrap-style:square;v-text-anchor:top" coordsize="1724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" path="m,l1724025,e" filled="f" strokeweight=".5pt">
                  <v:stroke miterlimit="83231f" joinstyle="miter"/>
                  <v:path arrowok="t" textboxrect="0,0,1724025,0"/>
                </v:shape>
                <v:shape id="Shape 97" o:spid="_x0000_s1028" style="position:absolute;left:45427;width:15145;height:0;visibility:visible;mso-wrap-style:square;v-text-anchor:top" coordsize="1514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" path="m,l1514475,e" filled="f" strokeweight=".5pt">
                  <v:stroke miterlimit="83231f" joinstyle="miter"/>
                  <v:path arrowok="t" textboxrect="0,0,1514475,0"/>
                </v:shape>
                <w10:anchorlock/>
              </v:group>
            </w:pict>
          </mc:Fallback>
        </mc:AlternateContent>
      </w:r>
    </w:p>
    <w:p w14:paraId="7FCCD908" w14:textId="7A7DD358" w:rsidR="0004085E" w:rsidRPr="00A22E9D" w:rsidRDefault="00893CD0" w:rsidP="00CA4B8F">
      <w:pPr>
        <w:spacing w:after="131" w:line="480" w:lineRule="auto"/>
        <w:ind w:left="14" w:right="10"/>
        <w:jc w:val="both"/>
        <w:rPr>
          <w:rFonts w:ascii="Times New Roman" w:eastAsia="Times New Roman" w:hAnsi="Times New Roman" w:cs="Times New Roman"/>
          <w:color w:val="000000"/>
          <w:sz w:val="24"/>
          <w:lang w:val="en-US"/>
        </w:rPr>
      </w:pPr>
      <w:r w:rsidRPr="00A22E9D">
        <w:rPr>
          <w:rFonts w:ascii="Times New Roman" w:eastAsia="Times New Roman" w:hAnsi="Times New Roman" w:cs="Times New Roman"/>
          <w:color w:val="000000"/>
          <w:sz w:val="24"/>
          <w:lang w:val="en-US"/>
        </w:rPr>
        <w:t>EXTERNAL EXAMINER                                                                                        DATE</w:t>
      </w:r>
    </w:p>
    <w:p w14:paraId="54D2AA1C" w14:textId="77777777" w:rsidR="00893CD0" w:rsidRPr="00A22E9D" w:rsidRDefault="00893CD0"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br w:type="page"/>
      </w:r>
    </w:p>
    <w:p w14:paraId="71604E69" w14:textId="77777777" w:rsidR="001A58B2" w:rsidRPr="00A22E9D" w:rsidRDefault="001A58B2" w:rsidP="00CA4B8F">
      <w:pPr>
        <w:pStyle w:val="Heading1"/>
        <w:spacing w:line="480" w:lineRule="auto"/>
        <w:rPr>
          <w:rFonts w:cs="Times New Roman"/>
        </w:rPr>
      </w:pPr>
      <w:bookmarkStart w:id="1" w:name="_Toc145500360"/>
      <w:r w:rsidRPr="00A22E9D">
        <w:rPr>
          <w:rFonts w:cs="Times New Roman"/>
        </w:rPr>
        <w:lastRenderedPageBreak/>
        <w:t>DEDICATION</w:t>
      </w:r>
      <w:bookmarkEnd w:id="1"/>
    </w:p>
    <w:p w14:paraId="16AD017E" w14:textId="7DED3270" w:rsidR="001A58B2" w:rsidRPr="00A22E9D" w:rsidRDefault="001A58B2" w:rsidP="00CA4B8F">
      <w:pPr>
        <w:spacing w:line="480" w:lineRule="auto"/>
        <w:ind w:left="137" w:right="131" w:hanging="10"/>
        <w:jc w:val="both"/>
        <w:rPr>
          <w:rFonts w:ascii="Times New Roman" w:hAnsi="Times New Roman" w:cs="Times New Roman"/>
          <w:sz w:val="24"/>
          <w:szCs w:val="24"/>
        </w:rPr>
      </w:pPr>
      <w:r w:rsidRPr="00A22E9D">
        <w:rPr>
          <w:rFonts w:ascii="Times New Roman" w:hAnsi="Times New Roman" w:cs="Times New Roman"/>
          <w:sz w:val="24"/>
          <w:szCs w:val="24"/>
        </w:rPr>
        <w:t xml:space="preserve">This project is dedicated to </w:t>
      </w:r>
      <w:r w:rsidR="00572C0C" w:rsidRPr="00A22E9D">
        <w:rPr>
          <w:rFonts w:ascii="Times New Roman" w:hAnsi="Times New Roman" w:cs="Times New Roman"/>
          <w:sz w:val="24"/>
          <w:szCs w:val="24"/>
        </w:rPr>
        <w:t xml:space="preserve">the </w:t>
      </w:r>
      <w:r w:rsidRPr="00A22E9D">
        <w:rPr>
          <w:rFonts w:ascii="Times New Roman" w:hAnsi="Times New Roman" w:cs="Times New Roman"/>
          <w:sz w:val="24"/>
          <w:szCs w:val="24"/>
        </w:rPr>
        <w:t xml:space="preserve">Almighty God, the giver of </w:t>
      </w:r>
      <w:r w:rsidR="00572C0C" w:rsidRPr="00A22E9D">
        <w:rPr>
          <w:rFonts w:ascii="Times New Roman" w:hAnsi="Times New Roman" w:cs="Times New Roman"/>
          <w:sz w:val="24"/>
          <w:szCs w:val="24"/>
        </w:rPr>
        <w:t xml:space="preserve">life, for his mercies over my life throughout the course of my academic journey and this </w:t>
      </w:r>
      <w:r w:rsidR="00087C7E" w:rsidRPr="00A22E9D">
        <w:rPr>
          <w:rFonts w:ascii="Times New Roman" w:hAnsi="Times New Roman" w:cs="Times New Roman"/>
          <w:sz w:val="24"/>
          <w:szCs w:val="24"/>
        </w:rPr>
        <w:t>research study.</w:t>
      </w:r>
    </w:p>
    <w:p w14:paraId="0FB94D14" w14:textId="2CFB9413" w:rsidR="006678B5" w:rsidRPr="00A22E9D" w:rsidRDefault="001A58B2"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br w:type="page"/>
      </w:r>
    </w:p>
    <w:p w14:paraId="440F96DB" w14:textId="77777777" w:rsidR="00854513" w:rsidRPr="00A22E9D" w:rsidRDefault="00854513" w:rsidP="00CA4B8F">
      <w:pPr>
        <w:pStyle w:val="Heading1"/>
        <w:spacing w:line="480" w:lineRule="auto"/>
        <w:rPr>
          <w:rFonts w:cs="Times New Roman"/>
        </w:rPr>
      </w:pPr>
      <w:bookmarkStart w:id="2" w:name="_Toc145500361"/>
      <w:r w:rsidRPr="00A22E9D">
        <w:rPr>
          <w:rFonts w:cs="Times New Roman"/>
        </w:rPr>
        <w:lastRenderedPageBreak/>
        <w:t>ACKNOWLEDGEMENT</w:t>
      </w:r>
      <w:bookmarkEnd w:id="2"/>
    </w:p>
    <w:p w14:paraId="52CEA718" w14:textId="3768A1AF" w:rsidR="006678B5" w:rsidRPr="00A22E9D" w:rsidRDefault="006678B5" w:rsidP="00CA4B8F">
      <w:pPr>
        <w:pStyle w:val="NoSpacing"/>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All thanks to God Almighty, the king of glory for his love and divine grace in my life all through my academic journey.</w:t>
      </w:r>
    </w:p>
    <w:p w14:paraId="5CED31B6" w14:textId="77777777" w:rsidR="006678B5" w:rsidRPr="00A22E9D" w:rsidRDefault="006678B5" w:rsidP="00CA4B8F">
      <w:pPr>
        <w:pStyle w:val="NoSpacing"/>
        <w:spacing w:line="480" w:lineRule="auto"/>
        <w:jc w:val="both"/>
        <w:rPr>
          <w:rFonts w:ascii="Times New Roman" w:hAnsi="Times New Roman" w:cs="Times New Roman"/>
          <w:sz w:val="24"/>
          <w:szCs w:val="24"/>
        </w:rPr>
      </w:pPr>
    </w:p>
    <w:p w14:paraId="003BA43A" w14:textId="5D4A2E8B" w:rsidR="006678B5" w:rsidRPr="00A22E9D" w:rsidRDefault="006678B5" w:rsidP="00CA4B8F">
      <w:pPr>
        <w:pStyle w:val="NoSpacing"/>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My gratitude goes to my supervisor, </w:t>
      </w:r>
      <w:r w:rsidR="0027709F">
        <w:rPr>
          <w:rFonts w:ascii="Times New Roman" w:hAnsi="Times New Roman" w:cs="Times New Roman"/>
          <w:sz w:val="24"/>
          <w:szCs w:val="24"/>
        </w:rPr>
        <w:t>Prof</w:t>
      </w:r>
      <w:r w:rsidRPr="00A22E9D">
        <w:rPr>
          <w:rFonts w:ascii="Times New Roman" w:hAnsi="Times New Roman" w:cs="Times New Roman"/>
          <w:sz w:val="24"/>
          <w:szCs w:val="24"/>
        </w:rPr>
        <w:t xml:space="preserve">. L.O </w:t>
      </w:r>
      <w:proofErr w:type="spellStart"/>
      <w:r w:rsidRPr="00A22E9D">
        <w:rPr>
          <w:rFonts w:ascii="Times New Roman" w:hAnsi="Times New Roman" w:cs="Times New Roman"/>
          <w:sz w:val="24"/>
          <w:szCs w:val="24"/>
        </w:rPr>
        <w:t>Ehigie</w:t>
      </w:r>
      <w:proofErr w:type="spellEnd"/>
      <w:r w:rsidRPr="00A22E9D">
        <w:rPr>
          <w:rFonts w:ascii="Times New Roman" w:hAnsi="Times New Roman" w:cs="Times New Roman"/>
          <w:sz w:val="24"/>
          <w:szCs w:val="24"/>
        </w:rPr>
        <w:t xml:space="preserve"> for his support, encouragement, and patience during the course of th</w:t>
      </w:r>
      <w:r w:rsidR="007C5C1B" w:rsidRPr="00A22E9D">
        <w:rPr>
          <w:rFonts w:ascii="Times New Roman" w:hAnsi="Times New Roman" w:cs="Times New Roman"/>
          <w:sz w:val="24"/>
          <w:szCs w:val="24"/>
        </w:rPr>
        <w:t>is</w:t>
      </w:r>
      <w:r w:rsidRPr="00A22E9D">
        <w:rPr>
          <w:rFonts w:ascii="Times New Roman" w:hAnsi="Times New Roman" w:cs="Times New Roman"/>
          <w:sz w:val="24"/>
          <w:szCs w:val="24"/>
        </w:rPr>
        <w:t xml:space="preserve"> project work.</w:t>
      </w:r>
      <w:r w:rsidR="00BF395A"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I also appreciate the major help received from Mr. Fiyinfoluwa </w:t>
      </w:r>
      <w:proofErr w:type="spellStart"/>
      <w:r w:rsidRPr="00A22E9D">
        <w:rPr>
          <w:rFonts w:ascii="Times New Roman" w:hAnsi="Times New Roman" w:cs="Times New Roman"/>
          <w:sz w:val="24"/>
          <w:szCs w:val="24"/>
        </w:rPr>
        <w:t>Ojeniyi</w:t>
      </w:r>
      <w:proofErr w:type="spellEnd"/>
      <w:r w:rsidRPr="00A22E9D">
        <w:rPr>
          <w:rFonts w:ascii="Times New Roman" w:hAnsi="Times New Roman" w:cs="Times New Roman"/>
          <w:sz w:val="24"/>
          <w:szCs w:val="24"/>
        </w:rPr>
        <w:t xml:space="preserve"> who took his time to guide me through </w:t>
      </w:r>
      <w:r w:rsidR="00BF395A" w:rsidRPr="00A22E9D">
        <w:rPr>
          <w:rFonts w:ascii="Times New Roman" w:hAnsi="Times New Roman" w:cs="Times New Roman"/>
          <w:sz w:val="24"/>
          <w:szCs w:val="24"/>
        </w:rPr>
        <w:t xml:space="preserve">the course of </w:t>
      </w:r>
      <w:r w:rsidRPr="00A22E9D">
        <w:rPr>
          <w:rFonts w:ascii="Times New Roman" w:hAnsi="Times New Roman" w:cs="Times New Roman"/>
          <w:sz w:val="24"/>
          <w:szCs w:val="24"/>
        </w:rPr>
        <w:t>this project</w:t>
      </w:r>
      <w:r w:rsidR="00DE00A6" w:rsidRPr="00A22E9D">
        <w:rPr>
          <w:rFonts w:ascii="Times New Roman" w:hAnsi="Times New Roman" w:cs="Times New Roman"/>
          <w:sz w:val="24"/>
          <w:szCs w:val="24"/>
        </w:rPr>
        <w:t>.</w:t>
      </w:r>
    </w:p>
    <w:p w14:paraId="294D0B66" w14:textId="77777777" w:rsidR="00BF395A" w:rsidRPr="00A22E9D" w:rsidRDefault="00BF395A" w:rsidP="00CA4B8F">
      <w:pPr>
        <w:pStyle w:val="NoSpacing"/>
        <w:spacing w:line="480" w:lineRule="auto"/>
        <w:jc w:val="both"/>
        <w:rPr>
          <w:rFonts w:ascii="Times New Roman" w:hAnsi="Times New Roman" w:cs="Times New Roman"/>
          <w:sz w:val="24"/>
          <w:szCs w:val="24"/>
        </w:rPr>
      </w:pPr>
    </w:p>
    <w:p w14:paraId="3A07A031" w14:textId="4130DB18" w:rsidR="00BF395A" w:rsidRPr="00A22E9D" w:rsidRDefault="00BF395A" w:rsidP="00CA4B8F">
      <w:pPr>
        <w:pStyle w:val="NoSpacing"/>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To the Head of the </w:t>
      </w:r>
      <w:r w:rsidR="00DC5C5D">
        <w:rPr>
          <w:rFonts w:ascii="Times New Roman" w:hAnsi="Times New Roman" w:cs="Times New Roman"/>
          <w:sz w:val="24"/>
          <w:szCs w:val="24"/>
        </w:rPr>
        <w:t>D</w:t>
      </w:r>
      <w:r w:rsidRPr="00A22E9D">
        <w:rPr>
          <w:rFonts w:ascii="Times New Roman" w:hAnsi="Times New Roman" w:cs="Times New Roman"/>
          <w:sz w:val="24"/>
          <w:szCs w:val="24"/>
        </w:rPr>
        <w:t xml:space="preserve">epartment of Medical Laboratory science, Prof. Chris </w:t>
      </w:r>
      <w:proofErr w:type="spellStart"/>
      <w:r w:rsidRPr="00A22E9D">
        <w:rPr>
          <w:rFonts w:ascii="Times New Roman" w:eastAsia="Times New Roman" w:hAnsi="Times New Roman" w:cs="Times New Roman"/>
          <w:color w:val="000000"/>
          <w:sz w:val="24"/>
        </w:rPr>
        <w:t>Igbeneghu</w:t>
      </w:r>
      <w:proofErr w:type="spellEnd"/>
      <w:r w:rsidRPr="00A22E9D">
        <w:rPr>
          <w:rFonts w:ascii="Times New Roman" w:hAnsi="Times New Roman" w:cs="Times New Roman"/>
          <w:sz w:val="24"/>
          <w:szCs w:val="24"/>
        </w:rPr>
        <w:t xml:space="preserve"> and other members of staff of the department, I say thanks to you all.</w:t>
      </w:r>
    </w:p>
    <w:p w14:paraId="0B1804C3" w14:textId="77777777" w:rsidR="006678B5" w:rsidRPr="00A22E9D" w:rsidRDefault="006678B5" w:rsidP="00CA4B8F">
      <w:pPr>
        <w:pStyle w:val="NoSpacing"/>
        <w:spacing w:line="480" w:lineRule="auto"/>
        <w:jc w:val="both"/>
        <w:rPr>
          <w:rFonts w:ascii="Times New Roman" w:hAnsi="Times New Roman" w:cs="Times New Roman"/>
          <w:sz w:val="24"/>
          <w:szCs w:val="24"/>
        </w:rPr>
      </w:pPr>
    </w:p>
    <w:p w14:paraId="17BB4766" w14:textId="074B5DF4" w:rsidR="006678B5" w:rsidRPr="00A22E9D" w:rsidRDefault="006678B5" w:rsidP="00CA4B8F">
      <w:pPr>
        <w:pStyle w:val="NoSpacing"/>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My sincere appreciation goes to my p</w:t>
      </w:r>
      <w:r w:rsidR="00CD7B43" w:rsidRPr="00A22E9D">
        <w:rPr>
          <w:rFonts w:ascii="Times New Roman" w:hAnsi="Times New Roman" w:cs="Times New Roman"/>
          <w:sz w:val="24"/>
          <w:szCs w:val="24"/>
        </w:rPr>
        <w:t>arents</w:t>
      </w:r>
      <w:r w:rsidRPr="00A22E9D">
        <w:rPr>
          <w:rFonts w:ascii="Times New Roman" w:hAnsi="Times New Roman" w:cs="Times New Roman"/>
          <w:sz w:val="24"/>
          <w:szCs w:val="24"/>
        </w:rPr>
        <w:t>, who ha</w:t>
      </w:r>
      <w:r w:rsidR="00CD7B43" w:rsidRPr="00A22E9D">
        <w:rPr>
          <w:rFonts w:ascii="Times New Roman" w:hAnsi="Times New Roman" w:cs="Times New Roman"/>
          <w:sz w:val="24"/>
          <w:szCs w:val="24"/>
        </w:rPr>
        <w:t>ve</w:t>
      </w:r>
      <w:r w:rsidRPr="00A22E9D">
        <w:rPr>
          <w:rFonts w:ascii="Times New Roman" w:hAnsi="Times New Roman" w:cs="Times New Roman"/>
          <w:sz w:val="24"/>
          <w:szCs w:val="24"/>
        </w:rPr>
        <w:t xml:space="preserve"> sacrificed</w:t>
      </w:r>
      <w:r w:rsidR="00CD7B43" w:rsidRPr="00A22E9D">
        <w:rPr>
          <w:rFonts w:ascii="Times New Roman" w:hAnsi="Times New Roman" w:cs="Times New Roman"/>
          <w:sz w:val="24"/>
          <w:szCs w:val="24"/>
        </w:rPr>
        <w:t xml:space="preserve"> their</w:t>
      </w:r>
      <w:r w:rsidRPr="00A22E9D">
        <w:rPr>
          <w:rFonts w:ascii="Times New Roman" w:hAnsi="Times New Roman" w:cs="Times New Roman"/>
          <w:sz w:val="24"/>
          <w:szCs w:val="24"/>
        </w:rPr>
        <w:t xml:space="preserve"> resources</w:t>
      </w:r>
      <w:r w:rsidR="00CD7B43" w:rsidRPr="00A22E9D">
        <w:rPr>
          <w:rFonts w:ascii="Times New Roman" w:hAnsi="Times New Roman" w:cs="Times New Roman"/>
          <w:sz w:val="24"/>
          <w:szCs w:val="24"/>
        </w:rPr>
        <w:t xml:space="preserve"> towards my academics and </w:t>
      </w:r>
      <w:r w:rsidRPr="00A22E9D">
        <w:rPr>
          <w:rFonts w:ascii="Times New Roman" w:hAnsi="Times New Roman" w:cs="Times New Roman"/>
          <w:sz w:val="24"/>
          <w:szCs w:val="24"/>
        </w:rPr>
        <w:t xml:space="preserve">continually encouraging me to </w:t>
      </w:r>
      <w:r w:rsidR="00CD7B43" w:rsidRPr="00A22E9D">
        <w:rPr>
          <w:rFonts w:ascii="Times New Roman" w:hAnsi="Times New Roman" w:cs="Times New Roman"/>
          <w:sz w:val="24"/>
          <w:szCs w:val="24"/>
        </w:rPr>
        <w:t>be better</w:t>
      </w:r>
      <w:r w:rsidRPr="00A22E9D">
        <w:rPr>
          <w:rFonts w:ascii="Times New Roman" w:hAnsi="Times New Roman" w:cs="Times New Roman"/>
          <w:sz w:val="24"/>
          <w:szCs w:val="24"/>
        </w:rPr>
        <w:t xml:space="preserve">. </w:t>
      </w:r>
      <w:r w:rsidR="00CD7B43" w:rsidRPr="00A22E9D">
        <w:rPr>
          <w:rFonts w:ascii="Times New Roman" w:hAnsi="Times New Roman" w:cs="Times New Roman"/>
          <w:sz w:val="24"/>
          <w:szCs w:val="24"/>
        </w:rPr>
        <w:t>Also,</w:t>
      </w:r>
      <w:r w:rsidRPr="00A22E9D">
        <w:rPr>
          <w:rFonts w:ascii="Times New Roman" w:hAnsi="Times New Roman" w:cs="Times New Roman"/>
          <w:sz w:val="24"/>
          <w:szCs w:val="24"/>
        </w:rPr>
        <w:t xml:space="preserve"> to</w:t>
      </w:r>
      <w:r w:rsidR="00CD7B43"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my siblings, </w:t>
      </w:r>
      <w:r w:rsidR="00CD7B43" w:rsidRPr="00A22E9D">
        <w:rPr>
          <w:rFonts w:ascii="Times New Roman" w:hAnsi="Times New Roman" w:cs="Times New Roman"/>
          <w:sz w:val="24"/>
          <w:szCs w:val="24"/>
        </w:rPr>
        <w:t xml:space="preserve">Olamide and </w:t>
      </w:r>
      <w:proofErr w:type="spellStart"/>
      <w:r w:rsidR="00CD7B43" w:rsidRPr="00A22E9D">
        <w:rPr>
          <w:rFonts w:ascii="Times New Roman" w:hAnsi="Times New Roman" w:cs="Times New Roman"/>
          <w:sz w:val="24"/>
          <w:szCs w:val="24"/>
        </w:rPr>
        <w:t>Subomi</w:t>
      </w:r>
      <w:proofErr w:type="spellEnd"/>
      <w:r w:rsidRPr="00A22E9D">
        <w:rPr>
          <w:rFonts w:ascii="Times New Roman" w:hAnsi="Times New Roman" w:cs="Times New Roman"/>
          <w:sz w:val="24"/>
          <w:szCs w:val="24"/>
        </w:rPr>
        <w:t>, for always been there to encourage and support me.</w:t>
      </w:r>
      <w:r w:rsidRPr="00A22E9D">
        <w:rPr>
          <w:rFonts w:ascii="Times New Roman" w:hAnsi="Times New Roman" w:cs="Times New Roman"/>
          <w:sz w:val="24"/>
          <w:szCs w:val="24"/>
        </w:rPr>
        <w:br w:type="page"/>
      </w:r>
    </w:p>
    <w:p w14:paraId="324C88B2" w14:textId="49C7EBA1" w:rsidR="00985FED" w:rsidRPr="00A22E9D" w:rsidRDefault="00061B50" w:rsidP="00CA4B8F">
      <w:pPr>
        <w:pStyle w:val="Heading1"/>
        <w:spacing w:line="480" w:lineRule="auto"/>
        <w:rPr>
          <w:rFonts w:cs="Times New Roman"/>
        </w:rPr>
      </w:pPr>
      <w:bookmarkStart w:id="3" w:name="_Toc145500362"/>
      <w:r w:rsidRPr="00A22E9D">
        <w:rPr>
          <w:rFonts w:cs="Times New Roman"/>
        </w:rPr>
        <w:lastRenderedPageBreak/>
        <w:t>TABLE OF CONTENT</w:t>
      </w:r>
      <w:bookmarkEnd w:id="3"/>
    </w:p>
    <w:sdt>
      <w:sdtPr>
        <w:rPr>
          <w:rFonts w:ascii="Times New Roman" w:eastAsiaTheme="minorHAnsi" w:hAnsi="Times New Roman" w:cs="Times New Roman"/>
          <w:color w:val="auto"/>
          <w:sz w:val="22"/>
          <w:szCs w:val="22"/>
          <w:lang w:val="en-GB"/>
        </w:rPr>
        <w:id w:val="1821769829"/>
        <w:docPartObj>
          <w:docPartGallery w:val="Table of Contents"/>
          <w:docPartUnique/>
        </w:docPartObj>
      </w:sdtPr>
      <w:sdtEndPr>
        <w:rPr>
          <w:b/>
          <w:bCs/>
          <w:noProof/>
        </w:rPr>
      </w:sdtEndPr>
      <w:sdtContent>
        <w:p w14:paraId="5602FF3A" w14:textId="6FD57802" w:rsidR="00F96D21" w:rsidRPr="00A22E9D" w:rsidRDefault="00F96D21" w:rsidP="00CE5BEC">
          <w:pPr>
            <w:pStyle w:val="TOCHeading"/>
            <w:spacing w:line="480" w:lineRule="auto"/>
            <w:rPr>
              <w:rFonts w:ascii="Times New Roman" w:hAnsi="Times New Roman" w:cs="Times New Roman"/>
            </w:rPr>
          </w:pPr>
        </w:p>
        <w:p w14:paraId="5CC55D7D" w14:textId="4F6B7DC7" w:rsidR="00CE5BEC" w:rsidRDefault="00F96D21"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r w:rsidRPr="00A22E9D">
            <w:rPr>
              <w:rFonts w:cs="Times New Roman"/>
            </w:rPr>
            <w:fldChar w:fldCharType="begin"/>
          </w:r>
          <w:r w:rsidRPr="00A22E9D">
            <w:rPr>
              <w:rFonts w:cs="Times New Roman"/>
            </w:rPr>
            <w:instrText xml:space="preserve"> TOC \o "1-3" \h \z \u </w:instrText>
          </w:r>
          <w:r w:rsidRPr="00A22E9D">
            <w:rPr>
              <w:rFonts w:cs="Times New Roman"/>
            </w:rPr>
            <w:fldChar w:fldCharType="separate"/>
          </w:r>
          <w:hyperlink w:anchor="_Toc145500359" w:history="1">
            <w:r w:rsidR="00CE5BEC" w:rsidRPr="00073B37">
              <w:rPr>
                <w:rStyle w:val="Hyperlink"/>
                <w:rFonts w:eastAsia="Times New Roman" w:cs="Times New Roman"/>
                <w:noProof/>
              </w:rPr>
              <w:t>CERTIFICATION</w:t>
            </w:r>
            <w:r w:rsidR="00CE5BEC">
              <w:rPr>
                <w:noProof/>
                <w:webHidden/>
              </w:rPr>
              <w:tab/>
            </w:r>
            <w:r w:rsidR="00CE5BEC">
              <w:rPr>
                <w:noProof/>
                <w:webHidden/>
              </w:rPr>
              <w:fldChar w:fldCharType="begin"/>
            </w:r>
            <w:r w:rsidR="00CE5BEC">
              <w:rPr>
                <w:noProof/>
                <w:webHidden/>
              </w:rPr>
              <w:instrText xml:space="preserve"> PAGEREF _Toc145500359 \h </w:instrText>
            </w:r>
            <w:r w:rsidR="00CE5BEC">
              <w:rPr>
                <w:noProof/>
                <w:webHidden/>
              </w:rPr>
            </w:r>
            <w:r w:rsidR="00CE5BEC">
              <w:rPr>
                <w:noProof/>
                <w:webHidden/>
              </w:rPr>
              <w:fldChar w:fldCharType="separate"/>
            </w:r>
            <w:r w:rsidR="00FE6C29">
              <w:rPr>
                <w:noProof/>
                <w:webHidden/>
              </w:rPr>
              <w:t>ii</w:t>
            </w:r>
            <w:r w:rsidR="00CE5BEC">
              <w:rPr>
                <w:noProof/>
                <w:webHidden/>
              </w:rPr>
              <w:fldChar w:fldCharType="end"/>
            </w:r>
          </w:hyperlink>
        </w:p>
        <w:p w14:paraId="1AA05B1B" w14:textId="17122941"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60" w:history="1">
            <w:r w:rsidR="00CE5BEC" w:rsidRPr="00073B37">
              <w:rPr>
                <w:rStyle w:val="Hyperlink"/>
                <w:rFonts w:cs="Times New Roman"/>
                <w:noProof/>
              </w:rPr>
              <w:t>DEDICATION</w:t>
            </w:r>
            <w:r w:rsidR="00CE5BEC">
              <w:rPr>
                <w:noProof/>
                <w:webHidden/>
              </w:rPr>
              <w:tab/>
            </w:r>
            <w:r w:rsidR="00CE5BEC">
              <w:rPr>
                <w:noProof/>
                <w:webHidden/>
              </w:rPr>
              <w:fldChar w:fldCharType="begin"/>
            </w:r>
            <w:r w:rsidR="00CE5BEC">
              <w:rPr>
                <w:noProof/>
                <w:webHidden/>
              </w:rPr>
              <w:instrText xml:space="preserve"> PAGEREF _Toc145500360 \h </w:instrText>
            </w:r>
            <w:r w:rsidR="00CE5BEC">
              <w:rPr>
                <w:noProof/>
                <w:webHidden/>
              </w:rPr>
            </w:r>
            <w:r w:rsidR="00CE5BEC">
              <w:rPr>
                <w:noProof/>
                <w:webHidden/>
              </w:rPr>
              <w:fldChar w:fldCharType="separate"/>
            </w:r>
            <w:r w:rsidR="00FE6C29">
              <w:rPr>
                <w:noProof/>
                <w:webHidden/>
              </w:rPr>
              <w:t>iii</w:t>
            </w:r>
            <w:r w:rsidR="00CE5BEC">
              <w:rPr>
                <w:noProof/>
                <w:webHidden/>
              </w:rPr>
              <w:fldChar w:fldCharType="end"/>
            </w:r>
          </w:hyperlink>
        </w:p>
        <w:p w14:paraId="14D3D45B" w14:textId="6780F41D"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61" w:history="1">
            <w:r w:rsidR="00CE5BEC" w:rsidRPr="00073B37">
              <w:rPr>
                <w:rStyle w:val="Hyperlink"/>
                <w:rFonts w:cs="Times New Roman"/>
                <w:noProof/>
              </w:rPr>
              <w:t>ACKNOWLEDGEMENT</w:t>
            </w:r>
            <w:r w:rsidR="00CE5BEC">
              <w:rPr>
                <w:noProof/>
                <w:webHidden/>
              </w:rPr>
              <w:tab/>
            </w:r>
            <w:r w:rsidR="00CE5BEC">
              <w:rPr>
                <w:noProof/>
                <w:webHidden/>
              </w:rPr>
              <w:fldChar w:fldCharType="begin"/>
            </w:r>
            <w:r w:rsidR="00CE5BEC">
              <w:rPr>
                <w:noProof/>
                <w:webHidden/>
              </w:rPr>
              <w:instrText xml:space="preserve"> PAGEREF _Toc145500361 \h </w:instrText>
            </w:r>
            <w:r w:rsidR="00CE5BEC">
              <w:rPr>
                <w:noProof/>
                <w:webHidden/>
              </w:rPr>
            </w:r>
            <w:r w:rsidR="00CE5BEC">
              <w:rPr>
                <w:noProof/>
                <w:webHidden/>
              </w:rPr>
              <w:fldChar w:fldCharType="separate"/>
            </w:r>
            <w:r w:rsidR="00FE6C29">
              <w:rPr>
                <w:noProof/>
                <w:webHidden/>
              </w:rPr>
              <w:t>iv</w:t>
            </w:r>
            <w:r w:rsidR="00CE5BEC">
              <w:rPr>
                <w:noProof/>
                <w:webHidden/>
              </w:rPr>
              <w:fldChar w:fldCharType="end"/>
            </w:r>
          </w:hyperlink>
        </w:p>
        <w:p w14:paraId="1D866DB8" w14:textId="07121A09"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62" w:history="1">
            <w:r w:rsidR="00CE5BEC" w:rsidRPr="00073B37">
              <w:rPr>
                <w:rStyle w:val="Hyperlink"/>
                <w:rFonts w:cs="Times New Roman"/>
                <w:noProof/>
              </w:rPr>
              <w:t>TABLE OF CONTENT</w:t>
            </w:r>
            <w:r w:rsidR="00CE5BEC">
              <w:rPr>
                <w:noProof/>
                <w:webHidden/>
              </w:rPr>
              <w:tab/>
            </w:r>
            <w:r w:rsidR="00CE5BEC">
              <w:rPr>
                <w:noProof/>
                <w:webHidden/>
              </w:rPr>
              <w:fldChar w:fldCharType="begin"/>
            </w:r>
            <w:r w:rsidR="00CE5BEC">
              <w:rPr>
                <w:noProof/>
                <w:webHidden/>
              </w:rPr>
              <w:instrText xml:space="preserve"> PAGEREF _Toc145500362 \h </w:instrText>
            </w:r>
            <w:r w:rsidR="00CE5BEC">
              <w:rPr>
                <w:noProof/>
                <w:webHidden/>
              </w:rPr>
            </w:r>
            <w:r w:rsidR="00CE5BEC">
              <w:rPr>
                <w:noProof/>
                <w:webHidden/>
              </w:rPr>
              <w:fldChar w:fldCharType="separate"/>
            </w:r>
            <w:r w:rsidR="00FE6C29">
              <w:rPr>
                <w:noProof/>
                <w:webHidden/>
              </w:rPr>
              <w:t>v</w:t>
            </w:r>
            <w:r w:rsidR="00CE5BEC">
              <w:rPr>
                <w:noProof/>
                <w:webHidden/>
              </w:rPr>
              <w:fldChar w:fldCharType="end"/>
            </w:r>
          </w:hyperlink>
        </w:p>
        <w:p w14:paraId="492BEA55" w14:textId="55B65415"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63" w:history="1">
            <w:r w:rsidR="00CE5BEC" w:rsidRPr="00073B37">
              <w:rPr>
                <w:rStyle w:val="Hyperlink"/>
                <w:rFonts w:cs="Times New Roman"/>
                <w:noProof/>
              </w:rPr>
              <w:t>LIST OF FIGURES</w:t>
            </w:r>
            <w:r w:rsidR="00CE5BEC">
              <w:rPr>
                <w:noProof/>
                <w:webHidden/>
              </w:rPr>
              <w:tab/>
            </w:r>
            <w:r w:rsidR="00CE5BEC">
              <w:rPr>
                <w:noProof/>
                <w:webHidden/>
              </w:rPr>
              <w:fldChar w:fldCharType="begin"/>
            </w:r>
            <w:r w:rsidR="00CE5BEC">
              <w:rPr>
                <w:noProof/>
                <w:webHidden/>
              </w:rPr>
              <w:instrText xml:space="preserve"> PAGEREF _Toc145500363 \h </w:instrText>
            </w:r>
            <w:r w:rsidR="00CE5BEC">
              <w:rPr>
                <w:noProof/>
                <w:webHidden/>
              </w:rPr>
            </w:r>
            <w:r w:rsidR="00CE5BEC">
              <w:rPr>
                <w:noProof/>
                <w:webHidden/>
              </w:rPr>
              <w:fldChar w:fldCharType="separate"/>
            </w:r>
            <w:r w:rsidR="00FE6C29">
              <w:rPr>
                <w:noProof/>
                <w:webHidden/>
              </w:rPr>
              <w:t>viii</w:t>
            </w:r>
            <w:r w:rsidR="00CE5BEC">
              <w:rPr>
                <w:noProof/>
                <w:webHidden/>
              </w:rPr>
              <w:fldChar w:fldCharType="end"/>
            </w:r>
          </w:hyperlink>
        </w:p>
        <w:p w14:paraId="34C9AB73" w14:textId="66EE21FE"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64" w:history="1">
            <w:r w:rsidR="00CE5BEC" w:rsidRPr="00073B37">
              <w:rPr>
                <w:rStyle w:val="Hyperlink"/>
                <w:rFonts w:cs="Times New Roman"/>
                <w:noProof/>
              </w:rPr>
              <w:t>LIST OF TABLES</w:t>
            </w:r>
            <w:r w:rsidR="00CE5BEC">
              <w:rPr>
                <w:noProof/>
                <w:webHidden/>
              </w:rPr>
              <w:tab/>
            </w:r>
            <w:r w:rsidR="00CE5BEC">
              <w:rPr>
                <w:noProof/>
                <w:webHidden/>
              </w:rPr>
              <w:fldChar w:fldCharType="begin"/>
            </w:r>
            <w:r w:rsidR="00CE5BEC">
              <w:rPr>
                <w:noProof/>
                <w:webHidden/>
              </w:rPr>
              <w:instrText xml:space="preserve"> PAGEREF _Toc145500364 \h </w:instrText>
            </w:r>
            <w:r w:rsidR="00CE5BEC">
              <w:rPr>
                <w:noProof/>
                <w:webHidden/>
              </w:rPr>
            </w:r>
            <w:r w:rsidR="00CE5BEC">
              <w:rPr>
                <w:noProof/>
                <w:webHidden/>
              </w:rPr>
              <w:fldChar w:fldCharType="separate"/>
            </w:r>
            <w:r w:rsidR="00FE6C29">
              <w:rPr>
                <w:noProof/>
                <w:webHidden/>
              </w:rPr>
              <w:t>x</w:t>
            </w:r>
            <w:r w:rsidR="00CE5BEC">
              <w:rPr>
                <w:noProof/>
                <w:webHidden/>
              </w:rPr>
              <w:fldChar w:fldCharType="end"/>
            </w:r>
          </w:hyperlink>
        </w:p>
        <w:p w14:paraId="37C33C2F" w14:textId="4CA092AD"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65" w:history="1">
            <w:r w:rsidR="00CE5BEC" w:rsidRPr="00073B37">
              <w:rPr>
                <w:rStyle w:val="Hyperlink"/>
                <w:rFonts w:cs="Times New Roman"/>
                <w:noProof/>
              </w:rPr>
              <w:t>ABSTRACT</w:t>
            </w:r>
            <w:r w:rsidR="00CE5BEC">
              <w:rPr>
                <w:noProof/>
                <w:webHidden/>
              </w:rPr>
              <w:tab/>
            </w:r>
            <w:r w:rsidR="00CE5BEC">
              <w:rPr>
                <w:noProof/>
                <w:webHidden/>
              </w:rPr>
              <w:fldChar w:fldCharType="begin"/>
            </w:r>
            <w:r w:rsidR="00CE5BEC">
              <w:rPr>
                <w:noProof/>
                <w:webHidden/>
              </w:rPr>
              <w:instrText xml:space="preserve"> PAGEREF _Toc145500365 \h </w:instrText>
            </w:r>
            <w:r w:rsidR="00CE5BEC">
              <w:rPr>
                <w:noProof/>
                <w:webHidden/>
              </w:rPr>
            </w:r>
            <w:r w:rsidR="00CE5BEC">
              <w:rPr>
                <w:noProof/>
                <w:webHidden/>
              </w:rPr>
              <w:fldChar w:fldCharType="separate"/>
            </w:r>
            <w:r w:rsidR="00FE6C29">
              <w:rPr>
                <w:noProof/>
                <w:webHidden/>
              </w:rPr>
              <w:t>xi</w:t>
            </w:r>
            <w:r w:rsidR="00CE5BEC">
              <w:rPr>
                <w:noProof/>
                <w:webHidden/>
              </w:rPr>
              <w:fldChar w:fldCharType="end"/>
            </w:r>
          </w:hyperlink>
        </w:p>
        <w:p w14:paraId="57E8B602" w14:textId="5F410D4E"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66" w:history="1">
            <w:r w:rsidR="00CE5BEC" w:rsidRPr="00073B37">
              <w:rPr>
                <w:rStyle w:val="Hyperlink"/>
                <w:rFonts w:cs="Times New Roman"/>
                <w:noProof/>
              </w:rPr>
              <w:t>CHAPTER ONE</w:t>
            </w:r>
            <w:r w:rsidR="00CE5BEC">
              <w:rPr>
                <w:noProof/>
                <w:webHidden/>
              </w:rPr>
              <w:tab/>
            </w:r>
            <w:r w:rsidR="00CE5BEC">
              <w:rPr>
                <w:noProof/>
                <w:webHidden/>
              </w:rPr>
              <w:fldChar w:fldCharType="begin"/>
            </w:r>
            <w:r w:rsidR="00CE5BEC">
              <w:rPr>
                <w:noProof/>
                <w:webHidden/>
              </w:rPr>
              <w:instrText xml:space="preserve"> PAGEREF _Toc145500366 \h </w:instrText>
            </w:r>
            <w:r w:rsidR="00CE5BEC">
              <w:rPr>
                <w:noProof/>
                <w:webHidden/>
              </w:rPr>
            </w:r>
            <w:r w:rsidR="00CE5BEC">
              <w:rPr>
                <w:noProof/>
                <w:webHidden/>
              </w:rPr>
              <w:fldChar w:fldCharType="separate"/>
            </w:r>
            <w:r w:rsidR="00FE6C29">
              <w:rPr>
                <w:noProof/>
                <w:webHidden/>
              </w:rPr>
              <w:t>1</w:t>
            </w:r>
            <w:r w:rsidR="00CE5BEC">
              <w:rPr>
                <w:noProof/>
                <w:webHidden/>
              </w:rPr>
              <w:fldChar w:fldCharType="end"/>
            </w:r>
          </w:hyperlink>
        </w:p>
        <w:p w14:paraId="159B49E3" w14:textId="1BDAFEE0" w:rsidR="00CE5BEC" w:rsidRDefault="00000000" w:rsidP="00CE5BEC">
          <w:pPr>
            <w:pStyle w:val="TOC2"/>
            <w:tabs>
              <w:tab w:val="right" w:leader="dot" w:pos="9016"/>
            </w:tabs>
            <w:spacing w:line="480" w:lineRule="auto"/>
            <w:rPr>
              <w:rFonts w:asciiTheme="minorHAnsi" w:eastAsiaTheme="minorEastAsia" w:hAnsiTheme="minorHAnsi" w:cstheme="minorBidi"/>
              <w:b w:val="0"/>
              <w:smallCaps w:val="0"/>
              <w:noProof/>
              <w:sz w:val="22"/>
              <w:szCs w:val="22"/>
              <w:lang w:eastAsia="en-GB"/>
            </w:rPr>
          </w:pPr>
          <w:hyperlink w:anchor="_Toc145500367" w:history="1">
            <w:r w:rsidR="00CE5BEC" w:rsidRPr="00073B37">
              <w:rPr>
                <w:rStyle w:val="Hyperlink"/>
                <w:rFonts w:cs="Times New Roman"/>
                <w:noProof/>
              </w:rPr>
              <w:t>INTRODUCTION</w:t>
            </w:r>
            <w:r w:rsidR="00CE5BEC">
              <w:rPr>
                <w:noProof/>
                <w:webHidden/>
              </w:rPr>
              <w:tab/>
            </w:r>
            <w:r w:rsidR="00CE5BEC">
              <w:rPr>
                <w:noProof/>
                <w:webHidden/>
              </w:rPr>
              <w:fldChar w:fldCharType="begin"/>
            </w:r>
            <w:r w:rsidR="00CE5BEC">
              <w:rPr>
                <w:noProof/>
                <w:webHidden/>
              </w:rPr>
              <w:instrText xml:space="preserve"> PAGEREF _Toc145500367 \h </w:instrText>
            </w:r>
            <w:r w:rsidR="00CE5BEC">
              <w:rPr>
                <w:noProof/>
                <w:webHidden/>
              </w:rPr>
            </w:r>
            <w:r w:rsidR="00CE5BEC">
              <w:rPr>
                <w:noProof/>
                <w:webHidden/>
              </w:rPr>
              <w:fldChar w:fldCharType="separate"/>
            </w:r>
            <w:r w:rsidR="00FE6C29">
              <w:rPr>
                <w:noProof/>
                <w:webHidden/>
              </w:rPr>
              <w:t>1</w:t>
            </w:r>
            <w:r w:rsidR="00CE5BEC">
              <w:rPr>
                <w:noProof/>
                <w:webHidden/>
              </w:rPr>
              <w:fldChar w:fldCharType="end"/>
            </w:r>
          </w:hyperlink>
        </w:p>
        <w:p w14:paraId="016E572B" w14:textId="68D07040"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68" w:history="1">
            <w:r w:rsidR="00CE5BEC" w:rsidRPr="00073B37">
              <w:rPr>
                <w:rStyle w:val="Hyperlink"/>
                <w:rFonts w:cs="Times New Roman"/>
                <w:noProof/>
              </w:rPr>
              <w:t>1.1 Background of Study</w:t>
            </w:r>
            <w:r w:rsidR="00CE5BEC">
              <w:rPr>
                <w:noProof/>
                <w:webHidden/>
              </w:rPr>
              <w:tab/>
            </w:r>
            <w:r w:rsidR="00CE5BEC">
              <w:rPr>
                <w:noProof/>
                <w:webHidden/>
              </w:rPr>
              <w:fldChar w:fldCharType="begin"/>
            </w:r>
            <w:r w:rsidR="00CE5BEC">
              <w:rPr>
                <w:noProof/>
                <w:webHidden/>
              </w:rPr>
              <w:instrText xml:space="preserve"> PAGEREF _Toc145500368 \h </w:instrText>
            </w:r>
            <w:r w:rsidR="00CE5BEC">
              <w:rPr>
                <w:noProof/>
                <w:webHidden/>
              </w:rPr>
            </w:r>
            <w:r w:rsidR="00CE5BEC">
              <w:rPr>
                <w:noProof/>
                <w:webHidden/>
              </w:rPr>
              <w:fldChar w:fldCharType="separate"/>
            </w:r>
            <w:r w:rsidR="00FE6C29">
              <w:rPr>
                <w:noProof/>
                <w:webHidden/>
              </w:rPr>
              <w:t>1</w:t>
            </w:r>
            <w:r w:rsidR="00CE5BEC">
              <w:rPr>
                <w:noProof/>
                <w:webHidden/>
              </w:rPr>
              <w:fldChar w:fldCharType="end"/>
            </w:r>
          </w:hyperlink>
        </w:p>
        <w:p w14:paraId="0112CDF6" w14:textId="0A37A8C6"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69" w:history="1">
            <w:r w:rsidR="00CE5BEC" w:rsidRPr="00073B37">
              <w:rPr>
                <w:rStyle w:val="Hyperlink"/>
                <w:rFonts w:cs="Times New Roman"/>
                <w:noProof/>
              </w:rPr>
              <w:t>1.2 Aims and Objectives</w:t>
            </w:r>
            <w:r w:rsidR="00CE5BEC">
              <w:rPr>
                <w:noProof/>
                <w:webHidden/>
              </w:rPr>
              <w:tab/>
            </w:r>
            <w:r w:rsidR="00CE5BEC">
              <w:rPr>
                <w:noProof/>
                <w:webHidden/>
              </w:rPr>
              <w:fldChar w:fldCharType="begin"/>
            </w:r>
            <w:r w:rsidR="00CE5BEC">
              <w:rPr>
                <w:noProof/>
                <w:webHidden/>
              </w:rPr>
              <w:instrText xml:space="preserve"> PAGEREF _Toc145500369 \h </w:instrText>
            </w:r>
            <w:r w:rsidR="00CE5BEC">
              <w:rPr>
                <w:noProof/>
                <w:webHidden/>
              </w:rPr>
            </w:r>
            <w:r w:rsidR="00CE5BEC">
              <w:rPr>
                <w:noProof/>
                <w:webHidden/>
              </w:rPr>
              <w:fldChar w:fldCharType="separate"/>
            </w:r>
            <w:r w:rsidR="00FE6C29">
              <w:rPr>
                <w:noProof/>
                <w:webHidden/>
              </w:rPr>
              <w:t>3</w:t>
            </w:r>
            <w:r w:rsidR="00CE5BEC">
              <w:rPr>
                <w:noProof/>
                <w:webHidden/>
              </w:rPr>
              <w:fldChar w:fldCharType="end"/>
            </w:r>
          </w:hyperlink>
        </w:p>
        <w:p w14:paraId="497418D4" w14:textId="39D42141"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70" w:history="1">
            <w:r w:rsidR="00CE5BEC" w:rsidRPr="00073B37">
              <w:rPr>
                <w:rStyle w:val="Hyperlink"/>
                <w:rFonts w:cs="Times New Roman"/>
                <w:noProof/>
              </w:rPr>
              <w:t>CHAPTER TWO</w:t>
            </w:r>
            <w:r w:rsidR="00CE5BEC">
              <w:rPr>
                <w:noProof/>
                <w:webHidden/>
              </w:rPr>
              <w:tab/>
            </w:r>
            <w:r w:rsidR="00CE5BEC">
              <w:rPr>
                <w:noProof/>
                <w:webHidden/>
              </w:rPr>
              <w:fldChar w:fldCharType="begin"/>
            </w:r>
            <w:r w:rsidR="00CE5BEC">
              <w:rPr>
                <w:noProof/>
                <w:webHidden/>
              </w:rPr>
              <w:instrText xml:space="preserve"> PAGEREF _Toc145500370 \h </w:instrText>
            </w:r>
            <w:r w:rsidR="00CE5BEC">
              <w:rPr>
                <w:noProof/>
                <w:webHidden/>
              </w:rPr>
            </w:r>
            <w:r w:rsidR="00CE5BEC">
              <w:rPr>
                <w:noProof/>
                <w:webHidden/>
              </w:rPr>
              <w:fldChar w:fldCharType="separate"/>
            </w:r>
            <w:r w:rsidR="00FE6C29">
              <w:rPr>
                <w:noProof/>
                <w:webHidden/>
              </w:rPr>
              <w:t>4</w:t>
            </w:r>
            <w:r w:rsidR="00CE5BEC">
              <w:rPr>
                <w:noProof/>
                <w:webHidden/>
              </w:rPr>
              <w:fldChar w:fldCharType="end"/>
            </w:r>
          </w:hyperlink>
        </w:p>
        <w:p w14:paraId="05E966C7" w14:textId="6DF02B99" w:rsidR="00CE5BEC" w:rsidRDefault="00000000" w:rsidP="00CE5BEC">
          <w:pPr>
            <w:pStyle w:val="TOC2"/>
            <w:tabs>
              <w:tab w:val="right" w:leader="dot" w:pos="9016"/>
            </w:tabs>
            <w:spacing w:line="480" w:lineRule="auto"/>
            <w:rPr>
              <w:rFonts w:asciiTheme="minorHAnsi" w:eastAsiaTheme="minorEastAsia" w:hAnsiTheme="minorHAnsi" w:cstheme="minorBidi"/>
              <w:b w:val="0"/>
              <w:smallCaps w:val="0"/>
              <w:noProof/>
              <w:sz w:val="22"/>
              <w:szCs w:val="22"/>
              <w:lang w:eastAsia="en-GB"/>
            </w:rPr>
          </w:pPr>
          <w:hyperlink w:anchor="_Toc145500371" w:history="1">
            <w:r w:rsidR="00CE5BEC" w:rsidRPr="00073B37">
              <w:rPr>
                <w:rStyle w:val="Hyperlink"/>
                <w:rFonts w:cs="Times New Roman"/>
                <w:noProof/>
              </w:rPr>
              <w:t>LITERATURE REVIEW</w:t>
            </w:r>
            <w:r w:rsidR="00CE5BEC">
              <w:rPr>
                <w:noProof/>
                <w:webHidden/>
              </w:rPr>
              <w:tab/>
            </w:r>
            <w:r w:rsidR="00CE5BEC">
              <w:rPr>
                <w:noProof/>
                <w:webHidden/>
              </w:rPr>
              <w:fldChar w:fldCharType="begin"/>
            </w:r>
            <w:r w:rsidR="00CE5BEC">
              <w:rPr>
                <w:noProof/>
                <w:webHidden/>
              </w:rPr>
              <w:instrText xml:space="preserve"> PAGEREF _Toc145500371 \h </w:instrText>
            </w:r>
            <w:r w:rsidR="00CE5BEC">
              <w:rPr>
                <w:noProof/>
                <w:webHidden/>
              </w:rPr>
            </w:r>
            <w:r w:rsidR="00CE5BEC">
              <w:rPr>
                <w:noProof/>
                <w:webHidden/>
              </w:rPr>
              <w:fldChar w:fldCharType="separate"/>
            </w:r>
            <w:r w:rsidR="00FE6C29">
              <w:rPr>
                <w:noProof/>
                <w:webHidden/>
              </w:rPr>
              <w:t>4</w:t>
            </w:r>
            <w:r w:rsidR="00CE5BEC">
              <w:rPr>
                <w:noProof/>
                <w:webHidden/>
              </w:rPr>
              <w:fldChar w:fldCharType="end"/>
            </w:r>
          </w:hyperlink>
        </w:p>
        <w:p w14:paraId="66189EC8" w14:textId="7F66D2D7"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72" w:history="1">
            <w:r w:rsidR="00CE5BEC" w:rsidRPr="00073B37">
              <w:rPr>
                <w:rStyle w:val="Hyperlink"/>
                <w:rFonts w:cs="Times New Roman"/>
                <w:noProof/>
              </w:rPr>
              <w:t>2.1 Malaria and its impact globally</w:t>
            </w:r>
            <w:r w:rsidR="00CE5BEC">
              <w:rPr>
                <w:noProof/>
                <w:webHidden/>
              </w:rPr>
              <w:tab/>
            </w:r>
            <w:r w:rsidR="00CE5BEC">
              <w:rPr>
                <w:noProof/>
                <w:webHidden/>
              </w:rPr>
              <w:fldChar w:fldCharType="begin"/>
            </w:r>
            <w:r w:rsidR="00CE5BEC">
              <w:rPr>
                <w:noProof/>
                <w:webHidden/>
              </w:rPr>
              <w:instrText xml:space="preserve"> PAGEREF _Toc145500372 \h </w:instrText>
            </w:r>
            <w:r w:rsidR="00CE5BEC">
              <w:rPr>
                <w:noProof/>
                <w:webHidden/>
              </w:rPr>
            </w:r>
            <w:r w:rsidR="00CE5BEC">
              <w:rPr>
                <w:noProof/>
                <w:webHidden/>
              </w:rPr>
              <w:fldChar w:fldCharType="separate"/>
            </w:r>
            <w:r w:rsidR="00FE6C29">
              <w:rPr>
                <w:noProof/>
                <w:webHidden/>
              </w:rPr>
              <w:t>4</w:t>
            </w:r>
            <w:r w:rsidR="00CE5BEC">
              <w:rPr>
                <w:noProof/>
                <w:webHidden/>
              </w:rPr>
              <w:fldChar w:fldCharType="end"/>
            </w:r>
          </w:hyperlink>
        </w:p>
        <w:p w14:paraId="59904B3A" w14:textId="4DC097DC"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73" w:history="1">
            <w:r w:rsidR="00CE5BEC" w:rsidRPr="00073B37">
              <w:rPr>
                <w:rStyle w:val="Hyperlink"/>
                <w:rFonts w:cs="Times New Roman"/>
                <w:noProof/>
              </w:rPr>
              <w:t>2.2 Current treatment options available and the need for new antimalarial compounds.</w:t>
            </w:r>
            <w:r w:rsidR="00CE5BEC">
              <w:rPr>
                <w:noProof/>
                <w:webHidden/>
              </w:rPr>
              <w:tab/>
            </w:r>
            <w:r w:rsidR="00CE5BEC">
              <w:rPr>
                <w:noProof/>
                <w:webHidden/>
              </w:rPr>
              <w:fldChar w:fldCharType="begin"/>
            </w:r>
            <w:r w:rsidR="00CE5BEC">
              <w:rPr>
                <w:noProof/>
                <w:webHidden/>
              </w:rPr>
              <w:instrText xml:space="preserve"> PAGEREF _Toc145500373 \h </w:instrText>
            </w:r>
            <w:r w:rsidR="00CE5BEC">
              <w:rPr>
                <w:noProof/>
                <w:webHidden/>
              </w:rPr>
            </w:r>
            <w:r w:rsidR="00CE5BEC">
              <w:rPr>
                <w:noProof/>
                <w:webHidden/>
              </w:rPr>
              <w:fldChar w:fldCharType="separate"/>
            </w:r>
            <w:r w:rsidR="00FE6C29">
              <w:rPr>
                <w:noProof/>
                <w:webHidden/>
              </w:rPr>
              <w:t>6</w:t>
            </w:r>
            <w:r w:rsidR="00CE5BEC">
              <w:rPr>
                <w:noProof/>
                <w:webHidden/>
              </w:rPr>
              <w:fldChar w:fldCharType="end"/>
            </w:r>
          </w:hyperlink>
        </w:p>
        <w:p w14:paraId="0FA2D17B" w14:textId="2CF6A178"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74" w:history="1">
            <w:r w:rsidR="00CE5BEC" w:rsidRPr="00073B37">
              <w:rPr>
                <w:rStyle w:val="Hyperlink"/>
                <w:rFonts w:cs="Times New Roman"/>
                <w:noProof/>
              </w:rPr>
              <w:t>2.3 Impact of existing antimalarial medications on infected red blood cells</w:t>
            </w:r>
            <w:r w:rsidR="00CE5BEC">
              <w:rPr>
                <w:noProof/>
                <w:webHidden/>
              </w:rPr>
              <w:tab/>
            </w:r>
            <w:r w:rsidR="00CE5BEC">
              <w:rPr>
                <w:noProof/>
                <w:webHidden/>
              </w:rPr>
              <w:fldChar w:fldCharType="begin"/>
            </w:r>
            <w:r w:rsidR="00CE5BEC">
              <w:rPr>
                <w:noProof/>
                <w:webHidden/>
              </w:rPr>
              <w:instrText xml:space="preserve"> PAGEREF _Toc145500374 \h </w:instrText>
            </w:r>
            <w:r w:rsidR="00CE5BEC">
              <w:rPr>
                <w:noProof/>
                <w:webHidden/>
              </w:rPr>
            </w:r>
            <w:r w:rsidR="00CE5BEC">
              <w:rPr>
                <w:noProof/>
                <w:webHidden/>
              </w:rPr>
              <w:fldChar w:fldCharType="separate"/>
            </w:r>
            <w:r w:rsidR="00FE6C29">
              <w:rPr>
                <w:noProof/>
                <w:webHidden/>
              </w:rPr>
              <w:t>10</w:t>
            </w:r>
            <w:r w:rsidR="00CE5BEC">
              <w:rPr>
                <w:noProof/>
                <w:webHidden/>
              </w:rPr>
              <w:fldChar w:fldCharType="end"/>
            </w:r>
          </w:hyperlink>
        </w:p>
        <w:p w14:paraId="744B1440" w14:textId="094B0B31"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75" w:history="1">
            <w:r w:rsidR="00CE5BEC" w:rsidRPr="00073B37">
              <w:rPr>
                <w:rStyle w:val="Hyperlink"/>
                <w:rFonts w:cs="Times New Roman"/>
                <w:noProof/>
              </w:rPr>
              <w:t>2.4 Plasmodium Berghei</w:t>
            </w:r>
            <w:r w:rsidR="00CE5BEC">
              <w:rPr>
                <w:noProof/>
                <w:webHidden/>
              </w:rPr>
              <w:tab/>
            </w:r>
            <w:r w:rsidR="00CE5BEC">
              <w:rPr>
                <w:noProof/>
                <w:webHidden/>
              </w:rPr>
              <w:fldChar w:fldCharType="begin"/>
            </w:r>
            <w:r w:rsidR="00CE5BEC">
              <w:rPr>
                <w:noProof/>
                <w:webHidden/>
              </w:rPr>
              <w:instrText xml:space="preserve"> PAGEREF _Toc145500375 \h </w:instrText>
            </w:r>
            <w:r w:rsidR="00CE5BEC">
              <w:rPr>
                <w:noProof/>
                <w:webHidden/>
              </w:rPr>
            </w:r>
            <w:r w:rsidR="00CE5BEC">
              <w:rPr>
                <w:noProof/>
                <w:webHidden/>
              </w:rPr>
              <w:fldChar w:fldCharType="separate"/>
            </w:r>
            <w:r w:rsidR="00FE6C29">
              <w:rPr>
                <w:noProof/>
                <w:webHidden/>
              </w:rPr>
              <w:t>11</w:t>
            </w:r>
            <w:r w:rsidR="00CE5BEC">
              <w:rPr>
                <w:noProof/>
                <w:webHidden/>
              </w:rPr>
              <w:fldChar w:fldCharType="end"/>
            </w:r>
          </w:hyperlink>
        </w:p>
        <w:p w14:paraId="7F54E0C5" w14:textId="52BB9B16"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76" w:history="1">
            <w:r w:rsidR="00CE5BEC" w:rsidRPr="00073B37">
              <w:rPr>
                <w:rStyle w:val="Hyperlink"/>
                <w:rFonts w:cs="Times New Roman"/>
                <w:noProof/>
              </w:rPr>
              <w:t>2.5 The use of Mice as an Infection model system</w:t>
            </w:r>
            <w:r w:rsidR="00CE5BEC">
              <w:rPr>
                <w:noProof/>
                <w:webHidden/>
              </w:rPr>
              <w:tab/>
            </w:r>
            <w:r w:rsidR="00CE5BEC">
              <w:rPr>
                <w:noProof/>
                <w:webHidden/>
              </w:rPr>
              <w:fldChar w:fldCharType="begin"/>
            </w:r>
            <w:r w:rsidR="00CE5BEC">
              <w:rPr>
                <w:noProof/>
                <w:webHidden/>
              </w:rPr>
              <w:instrText xml:space="preserve"> PAGEREF _Toc145500376 \h </w:instrText>
            </w:r>
            <w:r w:rsidR="00CE5BEC">
              <w:rPr>
                <w:noProof/>
                <w:webHidden/>
              </w:rPr>
            </w:r>
            <w:r w:rsidR="00CE5BEC">
              <w:rPr>
                <w:noProof/>
                <w:webHidden/>
              </w:rPr>
              <w:fldChar w:fldCharType="separate"/>
            </w:r>
            <w:r w:rsidR="00FE6C29">
              <w:rPr>
                <w:noProof/>
                <w:webHidden/>
              </w:rPr>
              <w:t>12</w:t>
            </w:r>
            <w:r w:rsidR="00CE5BEC">
              <w:rPr>
                <w:noProof/>
                <w:webHidden/>
              </w:rPr>
              <w:fldChar w:fldCharType="end"/>
            </w:r>
          </w:hyperlink>
        </w:p>
        <w:p w14:paraId="763FD9C7" w14:textId="713E214F"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77" w:history="1">
            <w:r w:rsidR="00CE5BEC" w:rsidRPr="00073B37">
              <w:rPr>
                <w:rStyle w:val="Hyperlink"/>
                <w:rFonts w:cs="Times New Roman"/>
                <w:noProof/>
              </w:rPr>
              <w:t>2.6 Life Cycle of Plasmodium Bergehi</w:t>
            </w:r>
            <w:r w:rsidR="00CE5BEC">
              <w:rPr>
                <w:noProof/>
                <w:webHidden/>
              </w:rPr>
              <w:tab/>
            </w:r>
            <w:r w:rsidR="00CE5BEC">
              <w:rPr>
                <w:noProof/>
                <w:webHidden/>
              </w:rPr>
              <w:fldChar w:fldCharType="begin"/>
            </w:r>
            <w:r w:rsidR="00CE5BEC">
              <w:rPr>
                <w:noProof/>
                <w:webHidden/>
              </w:rPr>
              <w:instrText xml:space="preserve"> PAGEREF _Toc145500377 \h </w:instrText>
            </w:r>
            <w:r w:rsidR="00CE5BEC">
              <w:rPr>
                <w:noProof/>
                <w:webHidden/>
              </w:rPr>
            </w:r>
            <w:r w:rsidR="00CE5BEC">
              <w:rPr>
                <w:noProof/>
                <w:webHidden/>
              </w:rPr>
              <w:fldChar w:fldCharType="separate"/>
            </w:r>
            <w:r w:rsidR="00FE6C29">
              <w:rPr>
                <w:noProof/>
                <w:webHidden/>
              </w:rPr>
              <w:t>13</w:t>
            </w:r>
            <w:r w:rsidR="00CE5BEC">
              <w:rPr>
                <w:noProof/>
                <w:webHidden/>
              </w:rPr>
              <w:fldChar w:fldCharType="end"/>
            </w:r>
          </w:hyperlink>
        </w:p>
        <w:p w14:paraId="0A929D02" w14:textId="0589625D"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78" w:history="1">
            <w:r w:rsidR="00CE5BEC" w:rsidRPr="00073B37">
              <w:rPr>
                <w:rStyle w:val="Hyperlink"/>
                <w:rFonts w:cs="Times New Roman"/>
                <w:noProof/>
              </w:rPr>
              <w:t>2.7 Arylidene Compound</w:t>
            </w:r>
            <w:r w:rsidR="00CE5BEC">
              <w:rPr>
                <w:noProof/>
                <w:webHidden/>
              </w:rPr>
              <w:tab/>
            </w:r>
            <w:r w:rsidR="00CE5BEC">
              <w:rPr>
                <w:noProof/>
                <w:webHidden/>
              </w:rPr>
              <w:fldChar w:fldCharType="begin"/>
            </w:r>
            <w:r w:rsidR="00CE5BEC">
              <w:rPr>
                <w:noProof/>
                <w:webHidden/>
              </w:rPr>
              <w:instrText xml:space="preserve"> PAGEREF _Toc145500378 \h </w:instrText>
            </w:r>
            <w:r w:rsidR="00CE5BEC">
              <w:rPr>
                <w:noProof/>
                <w:webHidden/>
              </w:rPr>
            </w:r>
            <w:r w:rsidR="00CE5BEC">
              <w:rPr>
                <w:noProof/>
                <w:webHidden/>
              </w:rPr>
              <w:fldChar w:fldCharType="separate"/>
            </w:r>
            <w:r w:rsidR="00FE6C29">
              <w:rPr>
                <w:noProof/>
                <w:webHidden/>
              </w:rPr>
              <w:t>14</w:t>
            </w:r>
            <w:r w:rsidR="00CE5BEC">
              <w:rPr>
                <w:noProof/>
                <w:webHidden/>
              </w:rPr>
              <w:fldChar w:fldCharType="end"/>
            </w:r>
          </w:hyperlink>
        </w:p>
        <w:p w14:paraId="359E16FD" w14:textId="49C6E0B0"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79" w:history="1">
            <w:r w:rsidR="00CE5BEC" w:rsidRPr="00073B37">
              <w:rPr>
                <w:rStyle w:val="Hyperlink"/>
                <w:rFonts w:cs="Times New Roman"/>
                <w:noProof/>
              </w:rPr>
              <w:t>2.8 Gene Expression Analysis</w:t>
            </w:r>
            <w:r w:rsidR="00CE5BEC">
              <w:rPr>
                <w:noProof/>
                <w:webHidden/>
              </w:rPr>
              <w:tab/>
            </w:r>
            <w:r w:rsidR="00CE5BEC">
              <w:rPr>
                <w:noProof/>
                <w:webHidden/>
              </w:rPr>
              <w:fldChar w:fldCharType="begin"/>
            </w:r>
            <w:r w:rsidR="00CE5BEC">
              <w:rPr>
                <w:noProof/>
                <w:webHidden/>
              </w:rPr>
              <w:instrText xml:space="preserve"> PAGEREF _Toc145500379 \h </w:instrText>
            </w:r>
            <w:r w:rsidR="00CE5BEC">
              <w:rPr>
                <w:noProof/>
                <w:webHidden/>
              </w:rPr>
            </w:r>
            <w:r w:rsidR="00CE5BEC">
              <w:rPr>
                <w:noProof/>
                <w:webHidden/>
              </w:rPr>
              <w:fldChar w:fldCharType="separate"/>
            </w:r>
            <w:r w:rsidR="00FE6C29">
              <w:rPr>
                <w:noProof/>
                <w:webHidden/>
              </w:rPr>
              <w:t>15</w:t>
            </w:r>
            <w:r w:rsidR="00CE5BEC">
              <w:rPr>
                <w:noProof/>
                <w:webHidden/>
              </w:rPr>
              <w:fldChar w:fldCharType="end"/>
            </w:r>
          </w:hyperlink>
        </w:p>
        <w:p w14:paraId="0CE4C9C5" w14:textId="2B43D185"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80" w:history="1">
            <w:r w:rsidR="00CE5BEC" w:rsidRPr="00073B37">
              <w:rPr>
                <w:rStyle w:val="Hyperlink"/>
                <w:rFonts w:cs="Times New Roman"/>
                <w:noProof/>
              </w:rPr>
              <w:t>2.9 Molecular Docking</w:t>
            </w:r>
            <w:r w:rsidR="00CE5BEC">
              <w:rPr>
                <w:noProof/>
                <w:webHidden/>
              </w:rPr>
              <w:tab/>
            </w:r>
            <w:r w:rsidR="00CE5BEC">
              <w:rPr>
                <w:noProof/>
                <w:webHidden/>
              </w:rPr>
              <w:fldChar w:fldCharType="begin"/>
            </w:r>
            <w:r w:rsidR="00CE5BEC">
              <w:rPr>
                <w:noProof/>
                <w:webHidden/>
              </w:rPr>
              <w:instrText xml:space="preserve"> PAGEREF _Toc145500380 \h </w:instrText>
            </w:r>
            <w:r w:rsidR="00CE5BEC">
              <w:rPr>
                <w:noProof/>
                <w:webHidden/>
              </w:rPr>
            </w:r>
            <w:r w:rsidR="00CE5BEC">
              <w:rPr>
                <w:noProof/>
                <w:webHidden/>
              </w:rPr>
              <w:fldChar w:fldCharType="separate"/>
            </w:r>
            <w:r w:rsidR="00FE6C29">
              <w:rPr>
                <w:noProof/>
                <w:webHidden/>
              </w:rPr>
              <w:t>19</w:t>
            </w:r>
            <w:r w:rsidR="00CE5BEC">
              <w:rPr>
                <w:noProof/>
                <w:webHidden/>
              </w:rPr>
              <w:fldChar w:fldCharType="end"/>
            </w:r>
          </w:hyperlink>
        </w:p>
        <w:p w14:paraId="401D4696" w14:textId="4C76CE5C"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81" w:history="1">
            <w:r w:rsidR="00CE5BEC" w:rsidRPr="00073B37">
              <w:rPr>
                <w:rStyle w:val="Hyperlink"/>
                <w:rFonts w:cs="Times New Roman"/>
                <w:noProof/>
              </w:rPr>
              <w:t>2.10 In-vivo studies on Plasmodium infected mice</w:t>
            </w:r>
            <w:r w:rsidR="00CE5BEC">
              <w:rPr>
                <w:noProof/>
                <w:webHidden/>
              </w:rPr>
              <w:tab/>
            </w:r>
            <w:r w:rsidR="00CE5BEC">
              <w:rPr>
                <w:noProof/>
                <w:webHidden/>
              </w:rPr>
              <w:fldChar w:fldCharType="begin"/>
            </w:r>
            <w:r w:rsidR="00CE5BEC">
              <w:rPr>
                <w:noProof/>
                <w:webHidden/>
              </w:rPr>
              <w:instrText xml:space="preserve"> PAGEREF _Toc145500381 \h </w:instrText>
            </w:r>
            <w:r w:rsidR="00CE5BEC">
              <w:rPr>
                <w:noProof/>
                <w:webHidden/>
              </w:rPr>
            </w:r>
            <w:r w:rsidR="00CE5BEC">
              <w:rPr>
                <w:noProof/>
                <w:webHidden/>
              </w:rPr>
              <w:fldChar w:fldCharType="separate"/>
            </w:r>
            <w:r w:rsidR="00FE6C29">
              <w:rPr>
                <w:noProof/>
                <w:webHidden/>
              </w:rPr>
              <w:t>21</w:t>
            </w:r>
            <w:r w:rsidR="00CE5BEC">
              <w:rPr>
                <w:noProof/>
                <w:webHidden/>
              </w:rPr>
              <w:fldChar w:fldCharType="end"/>
            </w:r>
          </w:hyperlink>
        </w:p>
        <w:p w14:paraId="3E29AEED" w14:textId="572BE9D7"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82" w:history="1">
            <w:r w:rsidR="00CE5BEC" w:rsidRPr="00073B37">
              <w:rPr>
                <w:rStyle w:val="Hyperlink"/>
                <w:rFonts w:cs="Times New Roman"/>
                <w:noProof/>
              </w:rPr>
              <w:t>CHAPTER THREE</w:t>
            </w:r>
            <w:r w:rsidR="00CE5BEC">
              <w:rPr>
                <w:noProof/>
                <w:webHidden/>
              </w:rPr>
              <w:tab/>
            </w:r>
            <w:r w:rsidR="00CE5BEC">
              <w:rPr>
                <w:noProof/>
                <w:webHidden/>
              </w:rPr>
              <w:fldChar w:fldCharType="begin"/>
            </w:r>
            <w:r w:rsidR="00CE5BEC">
              <w:rPr>
                <w:noProof/>
                <w:webHidden/>
              </w:rPr>
              <w:instrText xml:space="preserve"> PAGEREF _Toc145500382 \h </w:instrText>
            </w:r>
            <w:r w:rsidR="00CE5BEC">
              <w:rPr>
                <w:noProof/>
                <w:webHidden/>
              </w:rPr>
            </w:r>
            <w:r w:rsidR="00CE5BEC">
              <w:rPr>
                <w:noProof/>
                <w:webHidden/>
              </w:rPr>
              <w:fldChar w:fldCharType="separate"/>
            </w:r>
            <w:r w:rsidR="00FE6C29">
              <w:rPr>
                <w:noProof/>
                <w:webHidden/>
              </w:rPr>
              <w:t>23</w:t>
            </w:r>
            <w:r w:rsidR="00CE5BEC">
              <w:rPr>
                <w:noProof/>
                <w:webHidden/>
              </w:rPr>
              <w:fldChar w:fldCharType="end"/>
            </w:r>
          </w:hyperlink>
        </w:p>
        <w:p w14:paraId="60288A0B" w14:textId="621BCAFA" w:rsidR="00CE5BEC" w:rsidRDefault="00000000" w:rsidP="00CE5BEC">
          <w:pPr>
            <w:pStyle w:val="TOC2"/>
            <w:tabs>
              <w:tab w:val="right" w:leader="dot" w:pos="9016"/>
            </w:tabs>
            <w:spacing w:line="480" w:lineRule="auto"/>
            <w:rPr>
              <w:rFonts w:asciiTheme="minorHAnsi" w:eastAsiaTheme="minorEastAsia" w:hAnsiTheme="minorHAnsi" w:cstheme="minorBidi"/>
              <w:b w:val="0"/>
              <w:smallCaps w:val="0"/>
              <w:noProof/>
              <w:sz w:val="22"/>
              <w:szCs w:val="22"/>
              <w:lang w:eastAsia="en-GB"/>
            </w:rPr>
          </w:pPr>
          <w:hyperlink w:anchor="_Toc145500383" w:history="1">
            <w:r w:rsidR="00CE5BEC" w:rsidRPr="00073B37">
              <w:rPr>
                <w:rStyle w:val="Hyperlink"/>
                <w:rFonts w:cs="Times New Roman"/>
                <w:noProof/>
              </w:rPr>
              <w:t>MATERIALS AND METHOD</w:t>
            </w:r>
            <w:r w:rsidR="00CE5BEC">
              <w:rPr>
                <w:noProof/>
                <w:webHidden/>
              </w:rPr>
              <w:tab/>
            </w:r>
            <w:r w:rsidR="00CE5BEC">
              <w:rPr>
                <w:noProof/>
                <w:webHidden/>
              </w:rPr>
              <w:fldChar w:fldCharType="begin"/>
            </w:r>
            <w:r w:rsidR="00CE5BEC">
              <w:rPr>
                <w:noProof/>
                <w:webHidden/>
              </w:rPr>
              <w:instrText xml:space="preserve"> PAGEREF _Toc145500383 \h </w:instrText>
            </w:r>
            <w:r w:rsidR="00CE5BEC">
              <w:rPr>
                <w:noProof/>
                <w:webHidden/>
              </w:rPr>
            </w:r>
            <w:r w:rsidR="00CE5BEC">
              <w:rPr>
                <w:noProof/>
                <w:webHidden/>
              </w:rPr>
              <w:fldChar w:fldCharType="separate"/>
            </w:r>
            <w:r w:rsidR="00FE6C29">
              <w:rPr>
                <w:noProof/>
                <w:webHidden/>
              </w:rPr>
              <w:t>23</w:t>
            </w:r>
            <w:r w:rsidR="00CE5BEC">
              <w:rPr>
                <w:noProof/>
                <w:webHidden/>
              </w:rPr>
              <w:fldChar w:fldCharType="end"/>
            </w:r>
          </w:hyperlink>
        </w:p>
        <w:p w14:paraId="0E44C0EF" w14:textId="37BC3DFF"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84" w:history="1">
            <w:r w:rsidR="00CE5BEC" w:rsidRPr="00073B37">
              <w:rPr>
                <w:rStyle w:val="Hyperlink"/>
                <w:rFonts w:cs="Times New Roman"/>
                <w:noProof/>
              </w:rPr>
              <w:t>3.1 Synthesis of ARYLIDENE HYDRAZINYL INDENOIMIDAZOLES (AHI)</w:t>
            </w:r>
            <w:r w:rsidR="00CE5BEC">
              <w:rPr>
                <w:noProof/>
                <w:webHidden/>
              </w:rPr>
              <w:tab/>
            </w:r>
            <w:r w:rsidR="00CE5BEC">
              <w:rPr>
                <w:noProof/>
                <w:webHidden/>
              </w:rPr>
              <w:fldChar w:fldCharType="begin"/>
            </w:r>
            <w:r w:rsidR="00CE5BEC">
              <w:rPr>
                <w:noProof/>
                <w:webHidden/>
              </w:rPr>
              <w:instrText xml:space="preserve"> PAGEREF _Toc145500384 \h </w:instrText>
            </w:r>
            <w:r w:rsidR="00CE5BEC">
              <w:rPr>
                <w:noProof/>
                <w:webHidden/>
              </w:rPr>
            </w:r>
            <w:r w:rsidR="00CE5BEC">
              <w:rPr>
                <w:noProof/>
                <w:webHidden/>
              </w:rPr>
              <w:fldChar w:fldCharType="separate"/>
            </w:r>
            <w:r w:rsidR="00FE6C29">
              <w:rPr>
                <w:noProof/>
                <w:webHidden/>
              </w:rPr>
              <w:t>23</w:t>
            </w:r>
            <w:r w:rsidR="00CE5BEC">
              <w:rPr>
                <w:noProof/>
                <w:webHidden/>
              </w:rPr>
              <w:fldChar w:fldCharType="end"/>
            </w:r>
          </w:hyperlink>
        </w:p>
        <w:p w14:paraId="7EAA4ABE" w14:textId="4EC71BAA"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85" w:history="1">
            <w:r w:rsidR="00CE5BEC" w:rsidRPr="00073B37">
              <w:rPr>
                <w:rStyle w:val="Hyperlink"/>
                <w:rFonts w:cs="Times New Roman"/>
                <w:noProof/>
              </w:rPr>
              <w:t>3.2 Pharmacological studies</w:t>
            </w:r>
            <w:r w:rsidR="00CE5BEC">
              <w:rPr>
                <w:noProof/>
                <w:webHidden/>
              </w:rPr>
              <w:tab/>
            </w:r>
            <w:r w:rsidR="00CE5BEC">
              <w:rPr>
                <w:noProof/>
                <w:webHidden/>
              </w:rPr>
              <w:fldChar w:fldCharType="begin"/>
            </w:r>
            <w:r w:rsidR="00CE5BEC">
              <w:rPr>
                <w:noProof/>
                <w:webHidden/>
              </w:rPr>
              <w:instrText xml:space="preserve"> PAGEREF _Toc145500385 \h </w:instrText>
            </w:r>
            <w:r w:rsidR="00CE5BEC">
              <w:rPr>
                <w:noProof/>
                <w:webHidden/>
              </w:rPr>
            </w:r>
            <w:r w:rsidR="00CE5BEC">
              <w:rPr>
                <w:noProof/>
                <w:webHidden/>
              </w:rPr>
              <w:fldChar w:fldCharType="separate"/>
            </w:r>
            <w:r w:rsidR="00FE6C29">
              <w:rPr>
                <w:noProof/>
                <w:webHidden/>
              </w:rPr>
              <w:t>25</w:t>
            </w:r>
            <w:r w:rsidR="00CE5BEC">
              <w:rPr>
                <w:noProof/>
                <w:webHidden/>
              </w:rPr>
              <w:fldChar w:fldCharType="end"/>
            </w:r>
          </w:hyperlink>
        </w:p>
        <w:p w14:paraId="66024485" w14:textId="299BF71D"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86" w:history="1">
            <w:r w:rsidR="00CE5BEC" w:rsidRPr="00073B37">
              <w:rPr>
                <w:rStyle w:val="Hyperlink"/>
                <w:rFonts w:cs="Times New Roman"/>
                <w:noProof/>
              </w:rPr>
              <w:t>3.3 In-vivo Studies</w:t>
            </w:r>
            <w:r w:rsidR="00CE5BEC">
              <w:rPr>
                <w:noProof/>
                <w:webHidden/>
              </w:rPr>
              <w:tab/>
            </w:r>
            <w:r w:rsidR="00CE5BEC">
              <w:rPr>
                <w:noProof/>
                <w:webHidden/>
              </w:rPr>
              <w:fldChar w:fldCharType="begin"/>
            </w:r>
            <w:r w:rsidR="00CE5BEC">
              <w:rPr>
                <w:noProof/>
                <w:webHidden/>
              </w:rPr>
              <w:instrText xml:space="preserve"> PAGEREF _Toc145500386 \h </w:instrText>
            </w:r>
            <w:r w:rsidR="00CE5BEC">
              <w:rPr>
                <w:noProof/>
                <w:webHidden/>
              </w:rPr>
            </w:r>
            <w:r w:rsidR="00CE5BEC">
              <w:rPr>
                <w:noProof/>
                <w:webHidden/>
              </w:rPr>
              <w:fldChar w:fldCharType="separate"/>
            </w:r>
            <w:r w:rsidR="00FE6C29">
              <w:rPr>
                <w:noProof/>
                <w:webHidden/>
              </w:rPr>
              <w:t>25</w:t>
            </w:r>
            <w:r w:rsidR="00CE5BEC">
              <w:rPr>
                <w:noProof/>
                <w:webHidden/>
              </w:rPr>
              <w:fldChar w:fldCharType="end"/>
            </w:r>
          </w:hyperlink>
        </w:p>
        <w:p w14:paraId="000B98EF" w14:textId="1574261F"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87" w:history="1">
            <w:r w:rsidR="00CE5BEC" w:rsidRPr="00073B37">
              <w:rPr>
                <w:rStyle w:val="Hyperlink"/>
                <w:rFonts w:cs="Times New Roman"/>
                <w:noProof/>
              </w:rPr>
              <w:t>3.4 In-Silico studies</w:t>
            </w:r>
            <w:r w:rsidR="00CE5BEC">
              <w:rPr>
                <w:noProof/>
                <w:webHidden/>
              </w:rPr>
              <w:tab/>
            </w:r>
            <w:r w:rsidR="00CE5BEC">
              <w:rPr>
                <w:noProof/>
                <w:webHidden/>
              </w:rPr>
              <w:fldChar w:fldCharType="begin"/>
            </w:r>
            <w:r w:rsidR="00CE5BEC">
              <w:rPr>
                <w:noProof/>
                <w:webHidden/>
              </w:rPr>
              <w:instrText xml:space="preserve"> PAGEREF _Toc145500387 \h </w:instrText>
            </w:r>
            <w:r w:rsidR="00CE5BEC">
              <w:rPr>
                <w:noProof/>
                <w:webHidden/>
              </w:rPr>
            </w:r>
            <w:r w:rsidR="00CE5BEC">
              <w:rPr>
                <w:noProof/>
                <w:webHidden/>
              </w:rPr>
              <w:fldChar w:fldCharType="separate"/>
            </w:r>
            <w:r w:rsidR="00FE6C29">
              <w:rPr>
                <w:noProof/>
                <w:webHidden/>
              </w:rPr>
              <w:t>28</w:t>
            </w:r>
            <w:r w:rsidR="00CE5BEC">
              <w:rPr>
                <w:noProof/>
                <w:webHidden/>
              </w:rPr>
              <w:fldChar w:fldCharType="end"/>
            </w:r>
          </w:hyperlink>
        </w:p>
        <w:p w14:paraId="57F6AA8A" w14:textId="781057F2"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88" w:history="1">
            <w:r w:rsidR="00CE5BEC" w:rsidRPr="00073B37">
              <w:rPr>
                <w:rStyle w:val="Hyperlink"/>
                <w:rFonts w:cs="Times New Roman"/>
                <w:noProof/>
              </w:rPr>
              <w:t>CHAPTER FOUR</w:t>
            </w:r>
            <w:r w:rsidR="00CE5BEC">
              <w:rPr>
                <w:noProof/>
                <w:webHidden/>
              </w:rPr>
              <w:tab/>
            </w:r>
            <w:r w:rsidR="00CE5BEC">
              <w:rPr>
                <w:noProof/>
                <w:webHidden/>
              </w:rPr>
              <w:fldChar w:fldCharType="begin"/>
            </w:r>
            <w:r w:rsidR="00CE5BEC">
              <w:rPr>
                <w:noProof/>
                <w:webHidden/>
              </w:rPr>
              <w:instrText xml:space="preserve"> PAGEREF _Toc145500388 \h </w:instrText>
            </w:r>
            <w:r w:rsidR="00CE5BEC">
              <w:rPr>
                <w:noProof/>
                <w:webHidden/>
              </w:rPr>
            </w:r>
            <w:r w:rsidR="00CE5BEC">
              <w:rPr>
                <w:noProof/>
                <w:webHidden/>
              </w:rPr>
              <w:fldChar w:fldCharType="separate"/>
            </w:r>
            <w:r w:rsidR="00FE6C29">
              <w:rPr>
                <w:noProof/>
                <w:webHidden/>
              </w:rPr>
              <w:t>32</w:t>
            </w:r>
            <w:r w:rsidR="00CE5BEC">
              <w:rPr>
                <w:noProof/>
                <w:webHidden/>
              </w:rPr>
              <w:fldChar w:fldCharType="end"/>
            </w:r>
          </w:hyperlink>
        </w:p>
        <w:p w14:paraId="2CF9664C" w14:textId="0A8B8EBC" w:rsidR="00CE5BEC" w:rsidRDefault="00000000" w:rsidP="00CE5BEC">
          <w:pPr>
            <w:pStyle w:val="TOC2"/>
            <w:tabs>
              <w:tab w:val="right" w:leader="dot" w:pos="9016"/>
            </w:tabs>
            <w:spacing w:line="480" w:lineRule="auto"/>
            <w:rPr>
              <w:rFonts w:asciiTheme="minorHAnsi" w:eastAsiaTheme="minorEastAsia" w:hAnsiTheme="minorHAnsi" w:cstheme="minorBidi"/>
              <w:b w:val="0"/>
              <w:smallCaps w:val="0"/>
              <w:noProof/>
              <w:sz w:val="22"/>
              <w:szCs w:val="22"/>
              <w:lang w:eastAsia="en-GB"/>
            </w:rPr>
          </w:pPr>
          <w:hyperlink w:anchor="_Toc145500389" w:history="1">
            <w:r w:rsidR="00CE5BEC" w:rsidRPr="00073B37">
              <w:rPr>
                <w:rStyle w:val="Hyperlink"/>
                <w:rFonts w:cs="Times New Roman"/>
                <w:noProof/>
              </w:rPr>
              <w:t>RESULT</w:t>
            </w:r>
            <w:r w:rsidR="00CE5BEC">
              <w:rPr>
                <w:noProof/>
                <w:webHidden/>
              </w:rPr>
              <w:tab/>
            </w:r>
            <w:r w:rsidR="00CE5BEC">
              <w:rPr>
                <w:noProof/>
                <w:webHidden/>
              </w:rPr>
              <w:fldChar w:fldCharType="begin"/>
            </w:r>
            <w:r w:rsidR="00CE5BEC">
              <w:rPr>
                <w:noProof/>
                <w:webHidden/>
              </w:rPr>
              <w:instrText xml:space="preserve"> PAGEREF _Toc145500389 \h </w:instrText>
            </w:r>
            <w:r w:rsidR="00CE5BEC">
              <w:rPr>
                <w:noProof/>
                <w:webHidden/>
              </w:rPr>
            </w:r>
            <w:r w:rsidR="00CE5BEC">
              <w:rPr>
                <w:noProof/>
                <w:webHidden/>
              </w:rPr>
              <w:fldChar w:fldCharType="separate"/>
            </w:r>
            <w:r w:rsidR="00FE6C29">
              <w:rPr>
                <w:noProof/>
                <w:webHidden/>
              </w:rPr>
              <w:t>32</w:t>
            </w:r>
            <w:r w:rsidR="00CE5BEC">
              <w:rPr>
                <w:noProof/>
                <w:webHidden/>
              </w:rPr>
              <w:fldChar w:fldCharType="end"/>
            </w:r>
          </w:hyperlink>
        </w:p>
        <w:p w14:paraId="76D643E1" w14:textId="4C0758C8"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90" w:history="1">
            <w:r w:rsidR="00CE5BEC" w:rsidRPr="00073B37">
              <w:rPr>
                <w:rStyle w:val="Hyperlink"/>
                <w:rFonts w:cs="Times New Roman"/>
                <w:noProof/>
              </w:rPr>
              <w:t>4.1 In-vivo Studies</w:t>
            </w:r>
            <w:r w:rsidR="00CE5BEC">
              <w:rPr>
                <w:noProof/>
                <w:webHidden/>
              </w:rPr>
              <w:tab/>
            </w:r>
            <w:r w:rsidR="00CE5BEC">
              <w:rPr>
                <w:noProof/>
                <w:webHidden/>
              </w:rPr>
              <w:fldChar w:fldCharType="begin"/>
            </w:r>
            <w:r w:rsidR="00CE5BEC">
              <w:rPr>
                <w:noProof/>
                <w:webHidden/>
              </w:rPr>
              <w:instrText xml:space="preserve"> PAGEREF _Toc145500390 \h </w:instrText>
            </w:r>
            <w:r w:rsidR="00CE5BEC">
              <w:rPr>
                <w:noProof/>
                <w:webHidden/>
              </w:rPr>
            </w:r>
            <w:r w:rsidR="00CE5BEC">
              <w:rPr>
                <w:noProof/>
                <w:webHidden/>
              </w:rPr>
              <w:fldChar w:fldCharType="separate"/>
            </w:r>
            <w:r w:rsidR="00FE6C29">
              <w:rPr>
                <w:noProof/>
                <w:webHidden/>
              </w:rPr>
              <w:t>32</w:t>
            </w:r>
            <w:r w:rsidR="00CE5BEC">
              <w:rPr>
                <w:noProof/>
                <w:webHidden/>
              </w:rPr>
              <w:fldChar w:fldCharType="end"/>
            </w:r>
          </w:hyperlink>
        </w:p>
        <w:p w14:paraId="14F6F984" w14:textId="1B795198"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91" w:history="1">
            <w:r w:rsidR="00CE5BEC" w:rsidRPr="00073B37">
              <w:rPr>
                <w:rStyle w:val="Hyperlink"/>
                <w:rFonts w:cs="Times New Roman"/>
                <w:noProof/>
              </w:rPr>
              <w:t>4.2 Insilco Studies</w:t>
            </w:r>
            <w:r w:rsidR="00CE5BEC">
              <w:rPr>
                <w:noProof/>
                <w:webHidden/>
              </w:rPr>
              <w:tab/>
            </w:r>
            <w:r w:rsidR="00CE5BEC">
              <w:rPr>
                <w:noProof/>
                <w:webHidden/>
              </w:rPr>
              <w:fldChar w:fldCharType="begin"/>
            </w:r>
            <w:r w:rsidR="00CE5BEC">
              <w:rPr>
                <w:noProof/>
                <w:webHidden/>
              </w:rPr>
              <w:instrText xml:space="preserve"> PAGEREF _Toc145500391 \h </w:instrText>
            </w:r>
            <w:r w:rsidR="00CE5BEC">
              <w:rPr>
                <w:noProof/>
                <w:webHidden/>
              </w:rPr>
            </w:r>
            <w:r w:rsidR="00CE5BEC">
              <w:rPr>
                <w:noProof/>
                <w:webHidden/>
              </w:rPr>
              <w:fldChar w:fldCharType="separate"/>
            </w:r>
            <w:r w:rsidR="00FE6C29">
              <w:rPr>
                <w:noProof/>
                <w:webHidden/>
              </w:rPr>
              <w:t>44</w:t>
            </w:r>
            <w:r w:rsidR="00CE5BEC">
              <w:rPr>
                <w:noProof/>
                <w:webHidden/>
              </w:rPr>
              <w:fldChar w:fldCharType="end"/>
            </w:r>
          </w:hyperlink>
        </w:p>
        <w:p w14:paraId="61CEEA48" w14:textId="50172819"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92" w:history="1">
            <w:r w:rsidR="00CE5BEC" w:rsidRPr="00073B37">
              <w:rPr>
                <w:rStyle w:val="Hyperlink"/>
                <w:rFonts w:cs="Times New Roman"/>
                <w:noProof/>
              </w:rPr>
              <w:t>CHAPTER FIVE</w:t>
            </w:r>
            <w:r w:rsidR="00CE5BEC">
              <w:rPr>
                <w:noProof/>
                <w:webHidden/>
              </w:rPr>
              <w:tab/>
            </w:r>
            <w:r w:rsidR="00CE5BEC">
              <w:rPr>
                <w:noProof/>
                <w:webHidden/>
              </w:rPr>
              <w:fldChar w:fldCharType="begin"/>
            </w:r>
            <w:r w:rsidR="00CE5BEC">
              <w:rPr>
                <w:noProof/>
                <w:webHidden/>
              </w:rPr>
              <w:instrText xml:space="preserve"> PAGEREF _Toc145500392 \h </w:instrText>
            </w:r>
            <w:r w:rsidR="00CE5BEC">
              <w:rPr>
                <w:noProof/>
                <w:webHidden/>
              </w:rPr>
            </w:r>
            <w:r w:rsidR="00CE5BEC">
              <w:rPr>
                <w:noProof/>
                <w:webHidden/>
              </w:rPr>
              <w:fldChar w:fldCharType="separate"/>
            </w:r>
            <w:r w:rsidR="00FE6C29">
              <w:rPr>
                <w:noProof/>
                <w:webHidden/>
              </w:rPr>
              <w:t>54</w:t>
            </w:r>
            <w:r w:rsidR="00CE5BEC">
              <w:rPr>
                <w:noProof/>
                <w:webHidden/>
              </w:rPr>
              <w:fldChar w:fldCharType="end"/>
            </w:r>
          </w:hyperlink>
        </w:p>
        <w:p w14:paraId="59FEC83C" w14:textId="3BAE5630" w:rsidR="00CE5BEC" w:rsidRDefault="00000000" w:rsidP="00CE5BEC">
          <w:pPr>
            <w:pStyle w:val="TOC2"/>
            <w:tabs>
              <w:tab w:val="right" w:leader="dot" w:pos="9016"/>
            </w:tabs>
            <w:spacing w:line="480" w:lineRule="auto"/>
            <w:rPr>
              <w:rFonts w:asciiTheme="minorHAnsi" w:eastAsiaTheme="minorEastAsia" w:hAnsiTheme="minorHAnsi" w:cstheme="minorBidi"/>
              <w:b w:val="0"/>
              <w:smallCaps w:val="0"/>
              <w:noProof/>
              <w:sz w:val="22"/>
              <w:szCs w:val="22"/>
              <w:lang w:eastAsia="en-GB"/>
            </w:rPr>
          </w:pPr>
          <w:hyperlink w:anchor="_Toc145500393" w:history="1">
            <w:r w:rsidR="00CE5BEC" w:rsidRPr="00073B37">
              <w:rPr>
                <w:rStyle w:val="Hyperlink"/>
                <w:rFonts w:cs="Times New Roman"/>
                <w:noProof/>
              </w:rPr>
              <w:t>DISCUSSION AND CONCLUSION</w:t>
            </w:r>
            <w:r w:rsidR="00CE5BEC">
              <w:rPr>
                <w:noProof/>
                <w:webHidden/>
              </w:rPr>
              <w:tab/>
            </w:r>
            <w:r w:rsidR="00CE5BEC">
              <w:rPr>
                <w:noProof/>
                <w:webHidden/>
              </w:rPr>
              <w:fldChar w:fldCharType="begin"/>
            </w:r>
            <w:r w:rsidR="00CE5BEC">
              <w:rPr>
                <w:noProof/>
                <w:webHidden/>
              </w:rPr>
              <w:instrText xml:space="preserve"> PAGEREF _Toc145500393 \h </w:instrText>
            </w:r>
            <w:r w:rsidR="00CE5BEC">
              <w:rPr>
                <w:noProof/>
                <w:webHidden/>
              </w:rPr>
            </w:r>
            <w:r w:rsidR="00CE5BEC">
              <w:rPr>
                <w:noProof/>
                <w:webHidden/>
              </w:rPr>
              <w:fldChar w:fldCharType="separate"/>
            </w:r>
            <w:r w:rsidR="00FE6C29">
              <w:rPr>
                <w:noProof/>
                <w:webHidden/>
              </w:rPr>
              <w:t>54</w:t>
            </w:r>
            <w:r w:rsidR="00CE5BEC">
              <w:rPr>
                <w:noProof/>
                <w:webHidden/>
              </w:rPr>
              <w:fldChar w:fldCharType="end"/>
            </w:r>
          </w:hyperlink>
        </w:p>
        <w:p w14:paraId="1E549E36" w14:textId="269D57C0"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94" w:history="1">
            <w:r w:rsidR="00CE5BEC" w:rsidRPr="00073B37">
              <w:rPr>
                <w:rStyle w:val="Hyperlink"/>
                <w:rFonts w:cs="Times New Roman"/>
                <w:noProof/>
              </w:rPr>
              <w:t>5.1 DISCUSSION</w:t>
            </w:r>
            <w:r w:rsidR="00CE5BEC">
              <w:rPr>
                <w:noProof/>
                <w:webHidden/>
              </w:rPr>
              <w:tab/>
            </w:r>
            <w:r w:rsidR="00CE5BEC">
              <w:rPr>
                <w:noProof/>
                <w:webHidden/>
              </w:rPr>
              <w:fldChar w:fldCharType="begin"/>
            </w:r>
            <w:r w:rsidR="00CE5BEC">
              <w:rPr>
                <w:noProof/>
                <w:webHidden/>
              </w:rPr>
              <w:instrText xml:space="preserve"> PAGEREF _Toc145500394 \h </w:instrText>
            </w:r>
            <w:r w:rsidR="00CE5BEC">
              <w:rPr>
                <w:noProof/>
                <w:webHidden/>
              </w:rPr>
            </w:r>
            <w:r w:rsidR="00CE5BEC">
              <w:rPr>
                <w:noProof/>
                <w:webHidden/>
              </w:rPr>
              <w:fldChar w:fldCharType="separate"/>
            </w:r>
            <w:r w:rsidR="00FE6C29">
              <w:rPr>
                <w:noProof/>
                <w:webHidden/>
              </w:rPr>
              <w:t>54</w:t>
            </w:r>
            <w:r w:rsidR="00CE5BEC">
              <w:rPr>
                <w:noProof/>
                <w:webHidden/>
              </w:rPr>
              <w:fldChar w:fldCharType="end"/>
            </w:r>
          </w:hyperlink>
        </w:p>
        <w:p w14:paraId="2F462D20" w14:textId="0916B640" w:rsidR="00CE5BEC" w:rsidRDefault="00000000" w:rsidP="00CE5BEC">
          <w:pPr>
            <w:pStyle w:val="TOC3"/>
            <w:tabs>
              <w:tab w:val="right" w:leader="dot" w:pos="9016"/>
            </w:tabs>
            <w:spacing w:line="480" w:lineRule="auto"/>
            <w:rPr>
              <w:rFonts w:asciiTheme="minorHAnsi" w:eastAsiaTheme="minorEastAsia" w:hAnsiTheme="minorHAnsi" w:cstheme="minorBidi"/>
              <w:b w:val="0"/>
              <w:iCs w:val="0"/>
              <w:noProof/>
              <w:sz w:val="22"/>
              <w:szCs w:val="22"/>
              <w:lang w:eastAsia="en-GB"/>
            </w:rPr>
          </w:pPr>
          <w:hyperlink w:anchor="_Toc145500395" w:history="1">
            <w:r w:rsidR="00CE5BEC" w:rsidRPr="00073B37">
              <w:rPr>
                <w:rStyle w:val="Hyperlink"/>
                <w:rFonts w:cs="Times New Roman"/>
                <w:noProof/>
              </w:rPr>
              <w:t>5.2 CONCLUSION</w:t>
            </w:r>
            <w:r w:rsidR="00CE5BEC">
              <w:rPr>
                <w:noProof/>
                <w:webHidden/>
              </w:rPr>
              <w:tab/>
            </w:r>
            <w:r w:rsidR="00CE5BEC">
              <w:rPr>
                <w:noProof/>
                <w:webHidden/>
              </w:rPr>
              <w:fldChar w:fldCharType="begin"/>
            </w:r>
            <w:r w:rsidR="00CE5BEC">
              <w:rPr>
                <w:noProof/>
                <w:webHidden/>
              </w:rPr>
              <w:instrText xml:space="preserve"> PAGEREF _Toc145500395 \h </w:instrText>
            </w:r>
            <w:r w:rsidR="00CE5BEC">
              <w:rPr>
                <w:noProof/>
                <w:webHidden/>
              </w:rPr>
            </w:r>
            <w:r w:rsidR="00CE5BEC">
              <w:rPr>
                <w:noProof/>
                <w:webHidden/>
              </w:rPr>
              <w:fldChar w:fldCharType="separate"/>
            </w:r>
            <w:r w:rsidR="00FE6C29">
              <w:rPr>
                <w:noProof/>
                <w:webHidden/>
              </w:rPr>
              <w:t>56</w:t>
            </w:r>
            <w:r w:rsidR="00CE5BEC">
              <w:rPr>
                <w:noProof/>
                <w:webHidden/>
              </w:rPr>
              <w:fldChar w:fldCharType="end"/>
            </w:r>
          </w:hyperlink>
        </w:p>
        <w:p w14:paraId="323DDE3F" w14:textId="70C14CA3" w:rsidR="00CE5BEC" w:rsidRDefault="00000000" w:rsidP="00CE5BEC">
          <w:pPr>
            <w:pStyle w:val="TOC2"/>
            <w:tabs>
              <w:tab w:val="right" w:leader="dot" w:pos="9016"/>
            </w:tabs>
            <w:spacing w:line="480" w:lineRule="auto"/>
            <w:rPr>
              <w:rFonts w:asciiTheme="minorHAnsi" w:eastAsiaTheme="minorEastAsia" w:hAnsiTheme="minorHAnsi" w:cstheme="minorBidi"/>
              <w:b w:val="0"/>
              <w:smallCaps w:val="0"/>
              <w:noProof/>
              <w:sz w:val="22"/>
              <w:szCs w:val="22"/>
              <w:lang w:eastAsia="en-GB"/>
            </w:rPr>
          </w:pPr>
          <w:hyperlink w:anchor="_Toc145500396" w:history="1">
            <w:r w:rsidR="00CE5BEC" w:rsidRPr="00073B37">
              <w:rPr>
                <w:rStyle w:val="Hyperlink"/>
                <w:rFonts w:cs="Times New Roman"/>
                <w:noProof/>
              </w:rPr>
              <w:t>REFERENCES</w:t>
            </w:r>
            <w:r w:rsidR="00CE5BEC">
              <w:rPr>
                <w:noProof/>
                <w:webHidden/>
              </w:rPr>
              <w:tab/>
            </w:r>
            <w:r w:rsidR="00CE5BEC">
              <w:rPr>
                <w:noProof/>
                <w:webHidden/>
              </w:rPr>
              <w:fldChar w:fldCharType="begin"/>
            </w:r>
            <w:r w:rsidR="00CE5BEC">
              <w:rPr>
                <w:noProof/>
                <w:webHidden/>
              </w:rPr>
              <w:instrText xml:space="preserve"> PAGEREF _Toc145500396 \h </w:instrText>
            </w:r>
            <w:r w:rsidR="00CE5BEC">
              <w:rPr>
                <w:noProof/>
                <w:webHidden/>
              </w:rPr>
            </w:r>
            <w:r w:rsidR="00CE5BEC">
              <w:rPr>
                <w:noProof/>
                <w:webHidden/>
              </w:rPr>
              <w:fldChar w:fldCharType="separate"/>
            </w:r>
            <w:r w:rsidR="00FE6C29">
              <w:rPr>
                <w:noProof/>
                <w:webHidden/>
              </w:rPr>
              <w:t>58</w:t>
            </w:r>
            <w:r w:rsidR="00CE5BEC">
              <w:rPr>
                <w:noProof/>
                <w:webHidden/>
              </w:rPr>
              <w:fldChar w:fldCharType="end"/>
            </w:r>
          </w:hyperlink>
        </w:p>
        <w:p w14:paraId="0A83E484" w14:textId="775998E4" w:rsidR="00CE5BEC" w:rsidRDefault="00000000" w:rsidP="00CE5BEC">
          <w:pPr>
            <w:pStyle w:val="TOC1"/>
            <w:tabs>
              <w:tab w:val="right" w:leader="dot" w:pos="9016"/>
            </w:tabs>
            <w:spacing w:line="480" w:lineRule="auto"/>
            <w:rPr>
              <w:rFonts w:asciiTheme="minorHAnsi" w:eastAsiaTheme="minorEastAsia" w:hAnsiTheme="minorHAnsi" w:cstheme="minorBidi"/>
              <w:b w:val="0"/>
              <w:bCs w:val="0"/>
              <w:caps w:val="0"/>
              <w:noProof/>
              <w:sz w:val="22"/>
              <w:szCs w:val="22"/>
              <w:lang w:eastAsia="en-GB"/>
            </w:rPr>
          </w:pPr>
          <w:hyperlink w:anchor="_Toc145500397" w:history="1">
            <w:r w:rsidR="00CE5BEC" w:rsidRPr="00073B37">
              <w:rPr>
                <w:rStyle w:val="Hyperlink"/>
                <w:noProof/>
              </w:rPr>
              <w:t>APPENDICES</w:t>
            </w:r>
            <w:r w:rsidR="00CE5BEC">
              <w:rPr>
                <w:noProof/>
                <w:webHidden/>
              </w:rPr>
              <w:tab/>
            </w:r>
            <w:r w:rsidR="00CE5BEC">
              <w:rPr>
                <w:noProof/>
                <w:webHidden/>
              </w:rPr>
              <w:fldChar w:fldCharType="begin"/>
            </w:r>
            <w:r w:rsidR="00CE5BEC">
              <w:rPr>
                <w:noProof/>
                <w:webHidden/>
              </w:rPr>
              <w:instrText xml:space="preserve"> PAGEREF _Toc145500397 \h </w:instrText>
            </w:r>
            <w:r w:rsidR="00CE5BEC">
              <w:rPr>
                <w:noProof/>
                <w:webHidden/>
              </w:rPr>
            </w:r>
            <w:r w:rsidR="00CE5BEC">
              <w:rPr>
                <w:noProof/>
                <w:webHidden/>
              </w:rPr>
              <w:fldChar w:fldCharType="separate"/>
            </w:r>
            <w:r w:rsidR="00FE6C29">
              <w:rPr>
                <w:noProof/>
                <w:webHidden/>
              </w:rPr>
              <w:t>65</w:t>
            </w:r>
            <w:r w:rsidR="00CE5BEC">
              <w:rPr>
                <w:noProof/>
                <w:webHidden/>
              </w:rPr>
              <w:fldChar w:fldCharType="end"/>
            </w:r>
          </w:hyperlink>
        </w:p>
        <w:p w14:paraId="00E25654" w14:textId="3BBEB746" w:rsidR="00CE5BEC" w:rsidRDefault="00000000" w:rsidP="00CE5BEC">
          <w:pPr>
            <w:pStyle w:val="TOC2"/>
            <w:tabs>
              <w:tab w:val="right" w:leader="dot" w:pos="9016"/>
            </w:tabs>
            <w:spacing w:line="480" w:lineRule="auto"/>
            <w:rPr>
              <w:rFonts w:asciiTheme="minorHAnsi" w:eastAsiaTheme="minorEastAsia" w:hAnsiTheme="minorHAnsi" w:cstheme="minorBidi"/>
              <w:b w:val="0"/>
              <w:smallCaps w:val="0"/>
              <w:noProof/>
              <w:sz w:val="22"/>
              <w:szCs w:val="22"/>
              <w:lang w:eastAsia="en-GB"/>
            </w:rPr>
          </w:pPr>
          <w:hyperlink w:anchor="_Toc145500398" w:history="1">
            <w:r w:rsidR="00CE5BEC" w:rsidRPr="00073B37">
              <w:rPr>
                <w:rStyle w:val="Hyperlink"/>
                <w:noProof/>
              </w:rPr>
              <w:t>APPENDIX I: ADMET STUDY RESULTS</w:t>
            </w:r>
            <w:r w:rsidR="00CE5BEC">
              <w:rPr>
                <w:noProof/>
                <w:webHidden/>
              </w:rPr>
              <w:tab/>
            </w:r>
            <w:r w:rsidR="00CE5BEC">
              <w:rPr>
                <w:noProof/>
                <w:webHidden/>
              </w:rPr>
              <w:fldChar w:fldCharType="begin"/>
            </w:r>
            <w:r w:rsidR="00CE5BEC">
              <w:rPr>
                <w:noProof/>
                <w:webHidden/>
              </w:rPr>
              <w:instrText xml:space="preserve"> PAGEREF _Toc145500398 \h </w:instrText>
            </w:r>
            <w:r w:rsidR="00CE5BEC">
              <w:rPr>
                <w:noProof/>
                <w:webHidden/>
              </w:rPr>
            </w:r>
            <w:r w:rsidR="00CE5BEC">
              <w:rPr>
                <w:noProof/>
                <w:webHidden/>
              </w:rPr>
              <w:fldChar w:fldCharType="separate"/>
            </w:r>
            <w:r w:rsidR="00FE6C29">
              <w:rPr>
                <w:noProof/>
                <w:webHidden/>
              </w:rPr>
              <w:t>65</w:t>
            </w:r>
            <w:r w:rsidR="00CE5BEC">
              <w:rPr>
                <w:noProof/>
                <w:webHidden/>
              </w:rPr>
              <w:fldChar w:fldCharType="end"/>
            </w:r>
          </w:hyperlink>
        </w:p>
        <w:p w14:paraId="4C062D62" w14:textId="061674BD" w:rsidR="00F96D21" w:rsidRPr="00A22E9D" w:rsidRDefault="00F96D21" w:rsidP="00CE5BEC">
          <w:pPr>
            <w:spacing w:line="480" w:lineRule="auto"/>
            <w:rPr>
              <w:rFonts w:ascii="Times New Roman" w:hAnsi="Times New Roman" w:cs="Times New Roman"/>
            </w:rPr>
          </w:pPr>
          <w:r w:rsidRPr="00A22E9D">
            <w:rPr>
              <w:rFonts w:ascii="Times New Roman" w:hAnsi="Times New Roman" w:cs="Times New Roman"/>
              <w:b/>
              <w:bCs/>
              <w:noProof/>
            </w:rPr>
            <w:fldChar w:fldCharType="end"/>
          </w:r>
        </w:p>
      </w:sdtContent>
    </w:sdt>
    <w:p w14:paraId="735233B7" w14:textId="63913DF6" w:rsidR="001D481E" w:rsidRPr="00A22E9D" w:rsidRDefault="001D481E" w:rsidP="00CA4B8F">
      <w:pPr>
        <w:spacing w:line="480" w:lineRule="auto"/>
        <w:rPr>
          <w:rFonts w:ascii="Times New Roman" w:hAnsi="Times New Roman" w:cs="Times New Roman"/>
        </w:rPr>
      </w:pPr>
      <w:r w:rsidRPr="00A22E9D">
        <w:rPr>
          <w:rFonts w:ascii="Times New Roman" w:hAnsi="Times New Roman" w:cs="Times New Roman"/>
        </w:rPr>
        <w:br w:type="page"/>
      </w:r>
    </w:p>
    <w:p w14:paraId="5AB6B59A" w14:textId="600D2506" w:rsidR="00061B50" w:rsidRPr="00A22E9D" w:rsidRDefault="00061B50" w:rsidP="00CA4B8F">
      <w:pPr>
        <w:pStyle w:val="Heading1"/>
        <w:spacing w:line="480" w:lineRule="auto"/>
        <w:rPr>
          <w:rFonts w:cs="Times New Roman"/>
        </w:rPr>
      </w:pPr>
      <w:bookmarkStart w:id="4" w:name="_Toc145500363"/>
      <w:r w:rsidRPr="00A22E9D">
        <w:rPr>
          <w:rFonts w:cs="Times New Roman"/>
        </w:rPr>
        <w:lastRenderedPageBreak/>
        <w:t>LIST OF FIGURES</w:t>
      </w:r>
      <w:bookmarkEnd w:id="4"/>
    </w:p>
    <w:p w14:paraId="25DF7113" w14:textId="635A109E" w:rsidR="0087610E" w:rsidRPr="00A22E9D" w:rsidRDefault="0087610E" w:rsidP="00CA4B8F">
      <w:pPr>
        <w:pStyle w:val="NoSpacing"/>
        <w:spacing w:after="240"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646AFC" w:rsidRPr="00A22E9D">
        <w:rPr>
          <w:rFonts w:ascii="Times New Roman" w:hAnsi="Times New Roman" w:cs="Times New Roman"/>
          <w:sz w:val="24"/>
          <w:szCs w:val="24"/>
        </w:rPr>
        <w:t>3</w:t>
      </w:r>
      <w:r w:rsidRPr="00A22E9D">
        <w:rPr>
          <w:rFonts w:ascii="Times New Roman" w:hAnsi="Times New Roman" w:cs="Times New Roman"/>
          <w:sz w:val="24"/>
          <w:szCs w:val="24"/>
        </w:rPr>
        <w:t>.1</w:t>
      </w:r>
      <w:r w:rsidRPr="00A22E9D">
        <w:rPr>
          <w:rFonts w:ascii="Times New Roman" w:hAnsi="Times New Roman" w:cs="Times New Roman"/>
          <w:b/>
          <w:sz w:val="24"/>
          <w:szCs w:val="24"/>
        </w:rPr>
        <w:t>:</w:t>
      </w:r>
      <w:r w:rsidR="008E021F" w:rsidRPr="00A22E9D">
        <w:rPr>
          <w:rFonts w:ascii="Times New Roman" w:hAnsi="Times New Roman" w:cs="Times New Roman"/>
        </w:rPr>
        <w:t xml:space="preserve"> </w:t>
      </w:r>
      <w:r w:rsidR="008E021F" w:rsidRPr="00A22E9D">
        <w:rPr>
          <w:rFonts w:ascii="Times New Roman" w:hAnsi="Times New Roman" w:cs="Times New Roman"/>
          <w:sz w:val="24"/>
          <w:szCs w:val="24"/>
        </w:rPr>
        <w:t>(E)-3a,8a-dihydroxy-3-((3-</w:t>
      </w:r>
      <w:proofErr w:type="gramStart"/>
      <w:r w:rsidR="008E021F" w:rsidRPr="00A22E9D">
        <w:rPr>
          <w:rFonts w:ascii="Times New Roman" w:hAnsi="Times New Roman" w:cs="Times New Roman"/>
          <w:sz w:val="24"/>
          <w:szCs w:val="24"/>
        </w:rPr>
        <w:t>hydroxybenzylidene)amino</w:t>
      </w:r>
      <w:proofErr w:type="gramEnd"/>
      <w:r w:rsidR="008E021F" w:rsidRPr="00A22E9D">
        <w:rPr>
          <w:rFonts w:ascii="Times New Roman" w:hAnsi="Times New Roman" w:cs="Times New Roman"/>
          <w:sz w:val="24"/>
          <w:szCs w:val="24"/>
        </w:rPr>
        <w:t xml:space="preserve">)-2-thioxo-1,3,3a,8a-tetrahydroindeno[1,2d]imidazol-8(2H)-one                                                    </w:t>
      </w:r>
      <w:r w:rsidRPr="00A22E9D">
        <w:rPr>
          <w:rFonts w:ascii="Times New Roman" w:hAnsi="Times New Roman" w:cs="Times New Roman"/>
          <w:sz w:val="24"/>
          <w:szCs w:val="24"/>
        </w:rPr>
        <w:tab/>
      </w:r>
      <w:r w:rsidRPr="00A22E9D">
        <w:rPr>
          <w:rFonts w:ascii="Times New Roman" w:hAnsi="Times New Roman" w:cs="Times New Roman"/>
          <w:sz w:val="24"/>
          <w:szCs w:val="24"/>
        </w:rPr>
        <w:tab/>
      </w:r>
      <w:r w:rsidR="00E3352B" w:rsidRPr="00A22E9D">
        <w:rPr>
          <w:rFonts w:ascii="Times New Roman" w:hAnsi="Times New Roman" w:cs="Times New Roman"/>
          <w:sz w:val="24"/>
          <w:szCs w:val="24"/>
        </w:rPr>
        <w:t xml:space="preserve">  </w:t>
      </w:r>
      <w:r w:rsidR="00646AFC" w:rsidRPr="00A22E9D">
        <w:rPr>
          <w:rFonts w:ascii="Times New Roman" w:hAnsi="Times New Roman" w:cs="Times New Roman"/>
          <w:sz w:val="24"/>
          <w:szCs w:val="24"/>
        </w:rPr>
        <w:t>2</w:t>
      </w:r>
      <w:r w:rsidR="009E20D9">
        <w:rPr>
          <w:rFonts w:ascii="Times New Roman" w:hAnsi="Times New Roman" w:cs="Times New Roman"/>
          <w:sz w:val="24"/>
          <w:szCs w:val="24"/>
        </w:rPr>
        <w:t>4</w:t>
      </w:r>
    </w:p>
    <w:p w14:paraId="0801AE36" w14:textId="539AE8F1" w:rsidR="0087610E" w:rsidRPr="00A22E9D" w:rsidRDefault="0087610E" w:rsidP="00CA4B8F">
      <w:pPr>
        <w:pStyle w:val="NoSpacing"/>
        <w:spacing w:after="240"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w:t>
      </w:r>
      <w:r w:rsidR="00646AFC" w:rsidRPr="00A22E9D">
        <w:rPr>
          <w:rFonts w:ascii="Times New Roman" w:hAnsi="Times New Roman" w:cs="Times New Roman"/>
          <w:sz w:val="24"/>
          <w:szCs w:val="24"/>
        </w:rPr>
        <w:t>1</w:t>
      </w:r>
      <w:r w:rsidRPr="00A22E9D">
        <w:rPr>
          <w:rFonts w:ascii="Times New Roman" w:hAnsi="Times New Roman" w:cs="Times New Roman"/>
          <w:sz w:val="24"/>
          <w:szCs w:val="24"/>
        </w:rPr>
        <w:t>:</w:t>
      </w:r>
      <w:r w:rsidR="00E3352B" w:rsidRPr="00A22E9D">
        <w:rPr>
          <w:rFonts w:ascii="Times New Roman" w:hAnsi="Times New Roman" w:cs="Times New Roman"/>
          <w:sz w:val="24"/>
          <w:szCs w:val="24"/>
        </w:rPr>
        <w:t xml:space="preserve"> Blood smear of </w:t>
      </w:r>
      <w:r w:rsidR="00F57D9D" w:rsidRPr="00F57D9D">
        <w:rPr>
          <w:rFonts w:ascii="Times New Roman" w:hAnsi="Times New Roman" w:cs="Times New Roman"/>
          <w:i/>
          <w:sz w:val="24"/>
          <w:szCs w:val="24"/>
        </w:rPr>
        <w:t xml:space="preserve">Plasmodium </w:t>
      </w:r>
      <w:proofErr w:type="spellStart"/>
      <w:r w:rsidR="00F57D9D" w:rsidRPr="00F57D9D">
        <w:rPr>
          <w:rFonts w:ascii="Times New Roman" w:hAnsi="Times New Roman" w:cs="Times New Roman"/>
          <w:i/>
          <w:sz w:val="24"/>
          <w:szCs w:val="24"/>
        </w:rPr>
        <w:t>bergehi</w:t>
      </w:r>
      <w:proofErr w:type="spellEnd"/>
      <w:r w:rsidR="00E3352B" w:rsidRPr="00A22E9D">
        <w:rPr>
          <w:rFonts w:ascii="Times New Roman" w:hAnsi="Times New Roman" w:cs="Times New Roman"/>
          <w:sz w:val="24"/>
          <w:szCs w:val="24"/>
        </w:rPr>
        <w:t xml:space="preserve"> infected cells of mice after first day of infection   </w:t>
      </w:r>
      <w:r w:rsidRPr="00A22E9D">
        <w:rPr>
          <w:rFonts w:ascii="Times New Roman" w:hAnsi="Times New Roman" w:cs="Times New Roman"/>
          <w:sz w:val="24"/>
          <w:szCs w:val="24"/>
        </w:rPr>
        <w:tab/>
      </w:r>
      <w:r w:rsidRPr="00A22E9D">
        <w:rPr>
          <w:rFonts w:ascii="Times New Roman" w:hAnsi="Times New Roman" w:cs="Times New Roman"/>
          <w:sz w:val="24"/>
          <w:szCs w:val="24"/>
        </w:rPr>
        <w:tab/>
      </w:r>
      <w:r w:rsidRPr="00A22E9D">
        <w:rPr>
          <w:rFonts w:ascii="Times New Roman" w:hAnsi="Times New Roman" w:cs="Times New Roman"/>
          <w:sz w:val="24"/>
          <w:szCs w:val="24"/>
        </w:rPr>
        <w:tab/>
      </w:r>
      <w:r w:rsidRPr="00A22E9D">
        <w:rPr>
          <w:rFonts w:ascii="Times New Roman" w:hAnsi="Times New Roman" w:cs="Times New Roman"/>
          <w:sz w:val="24"/>
          <w:szCs w:val="24"/>
        </w:rPr>
        <w:tab/>
      </w:r>
      <w:r w:rsidRPr="00A22E9D">
        <w:rPr>
          <w:rFonts w:ascii="Times New Roman" w:hAnsi="Times New Roman" w:cs="Times New Roman"/>
          <w:sz w:val="24"/>
          <w:szCs w:val="24"/>
        </w:rPr>
        <w:tab/>
      </w:r>
      <w:r w:rsidRPr="00A22E9D">
        <w:rPr>
          <w:rFonts w:ascii="Times New Roman" w:hAnsi="Times New Roman" w:cs="Times New Roman"/>
          <w:sz w:val="24"/>
          <w:szCs w:val="24"/>
        </w:rPr>
        <w:tab/>
      </w:r>
      <w:r w:rsidR="00E3352B" w:rsidRPr="00A22E9D">
        <w:rPr>
          <w:rFonts w:ascii="Times New Roman" w:hAnsi="Times New Roman" w:cs="Times New Roman"/>
          <w:sz w:val="24"/>
          <w:szCs w:val="24"/>
        </w:rPr>
        <w:t xml:space="preserve">                                                              </w:t>
      </w:r>
      <w:r w:rsidR="00646AFC" w:rsidRPr="00A22E9D">
        <w:rPr>
          <w:rFonts w:ascii="Times New Roman" w:hAnsi="Times New Roman" w:cs="Times New Roman"/>
          <w:sz w:val="24"/>
          <w:szCs w:val="24"/>
        </w:rPr>
        <w:t>3</w:t>
      </w:r>
      <w:r w:rsidR="009E20D9">
        <w:rPr>
          <w:rFonts w:ascii="Times New Roman" w:hAnsi="Times New Roman" w:cs="Times New Roman"/>
          <w:sz w:val="24"/>
          <w:szCs w:val="24"/>
        </w:rPr>
        <w:t>3</w:t>
      </w:r>
    </w:p>
    <w:p w14:paraId="43850BF5" w14:textId="5CF8B429" w:rsidR="0087610E" w:rsidRPr="00A22E9D" w:rsidRDefault="0087610E" w:rsidP="00CA4B8F">
      <w:pPr>
        <w:pStyle w:val="NoSpacing"/>
        <w:spacing w:after="240"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w:t>
      </w:r>
      <w:r w:rsidR="00646AFC" w:rsidRPr="00A22E9D">
        <w:rPr>
          <w:rFonts w:ascii="Times New Roman" w:hAnsi="Times New Roman" w:cs="Times New Roman"/>
          <w:sz w:val="24"/>
          <w:szCs w:val="24"/>
        </w:rPr>
        <w:t>2</w:t>
      </w:r>
      <w:r w:rsidRPr="00A22E9D">
        <w:rPr>
          <w:rFonts w:ascii="Times New Roman" w:hAnsi="Times New Roman" w:cs="Times New Roman"/>
          <w:sz w:val="24"/>
          <w:szCs w:val="24"/>
        </w:rPr>
        <w:t>:</w:t>
      </w:r>
      <w:r w:rsidR="00E3352B" w:rsidRPr="00A22E9D">
        <w:rPr>
          <w:rFonts w:ascii="Times New Roman" w:hAnsi="Times New Roman" w:cs="Times New Roman"/>
          <w:sz w:val="24"/>
          <w:szCs w:val="24"/>
        </w:rPr>
        <w:t xml:space="preserve"> Representative photomicrograph of blood smear of infected mice stained with Giemsa stain</w:t>
      </w:r>
      <w:r w:rsidRPr="00A22E9D">
        <w:rPr>
          <w:rFonts w:ascii="Times New Roman" w:hAnsi="Times New Roman" w:cs="Times New Roman"/>
          <w:sz w:val="24"/>
          <w:szCs w:val="24"/>
        </w:rPr>
        <w:tab/>
      </w:r>
      <w:r w:rsidRPr="00A22E9D">
        <w:rPr>
          <w:rFonts w:ascii="Times New Roman" w:hAnsi="Times New Roman" w:cs="Times New Roman"/>
          <w:sz w:val="24"/>
          <w:szCs w:val="24"/>
        </w:rPr>
        <w:tab/>
      </w:r>
      <w:r w:rsidRPr="00A22E9D">
        <w:rPr>
          <w:rFonts w:ascii="Times New Roman" w:hAnsi="Times New Roman" w:cs="Times New Roman"/>
          <w:sz w:val="24"/>
          <w:szCs w:val="24"/>
        </w:rPr>
        <w:tab/>
      </w:r>
      <w:r w:rsidRPr="00A22E9D">
        <w:rPr>
          <w:rFonts w:ascii="Times New Roman" w:hAnsi="Times New Roman" w:cs="Times New Roman"/>
          <w:sz w:val="24"/>
          <w:szCs w:val="24"/>
        </w:rPr>
        <w:tab/>
      </w:r>
      <w:r w:rsidRPr="00A22E9D">
        <w:rPr>
          <w:rFonts w:ascii="Times New Roman" w:hAnsi="Times New Roman" w:cs="Times New Roman"/>
          <w:sz w:val="24"/>
          <w:szCs w:val="24"/>
        </w:rPr>
        <w:tab/>
      </w:r>
      <w:r w:rsidR="00E3352B" w:rsidRPr="00A22E9D">
        <w:rPr>
          <w:rFonts w:ascii="Times New Roman" w:hAnsi="Times New Roman" w:cs="Times New Roman"/>
          <w:sz w:val="24"/>
          <w:szCs w:val="24"/>
        </w:rPr>
        <w:t xml:space="preserve">                                                                       </w:t>
      </w:r>
      <w:r w:rsidR="006C06F3" w:rsidRPr="00A22E9D">
        <w:rPr>
          <w:rFonts w:ascii="Times New Roman" w:hAnsi="Times New Roman" w:cs="Times New Roman"/>
          <w:sz w:val="24"/>
          <w:szCs w:val="24"/>
        </w:rPr>
        <w:t xml:space="preserve">  </w:t>
      </w:r>
      <w:r w:rsidR="00E3352B" w:rsidRPr="00A22E9D">
        <w:rPr>
          <w:rFonts w:ascii="Times New Roman" w:hAnsi="Times New Roman" w:cs="Times New Roman"/>
          <w:sz w:val="24"/>
          <w:szCs w:val="24"/>
        </w:rPr>
        <w:t xml:space="preserve"> </w:t>
      </w:r>
      <w:r w:rsidR="00646AFC" w:rsidRPr="00A22E9D">
        <w:rPr>
          <w:rFonts w:ascii="Times New Roman" w:hAnsi="Times New Roman" w:cs="Times New Roman"/>
          <w:sz w:val="24"/>
          <w:szCs w:val="24"/>
        </w:rPr>
        <w:t>3</w:t>
      </w:r>
      <w:r w:rsidR="009E20D9">
        <w:rPr>
          <w:rFonts w:ascii="Times New Roman" w:hAnsi="Times New Roman" w:cs="Times New Roman"/>
          <w:sz w:val="24"/>
          <w:szCs w:val="24"/>
        </w:rPr>
        <w:t>3</w:t>
      </w:r>
    </w:p>
    <w:p w14:paraId="622894A3" w14:textId="2B2055A4" w:rsidR="0087610E" w:rsidRPr="00A22E9D" w:rsidRDefault="0087610E" w:rsidP="00CA4B8F">
      <w:pPr>
        <w:pStyle w:val="NoSpacing"/>
        <w:spacing w:after="240"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w:t>
      </w:r>
      <w:r w:rsidR="00646AFC" w:rsidRPr="00A22E9D">
        <w:rPr>
          <w:rFonts w:ascii="Times New Roman" w:hAnsi="Times New Roman" w:cs="Times New Roman"/>
          <w:sz w:val="24"/>
          <w:szCs w:val="24"/>
        </w:rPr>
        <w:t>3</w:t>
      </w:r>
      <w:r w:rsidRPr="00A22E9D">
        <w:rPr>
          <w:rFonts w:ascii="Times New Roman" w:hAnsi="Times New Roman" w:cs="Times New Roman"/>
          <w:sz w:val="24"/>
          <w:szCs w:val="24"/>
        </w:rPr>
        <w:t>:</w:t>
      </w:r>
      <w:r w:rsidR="006C06F3" w:rsidRPr="00A22E9D">
        <w:rPr>
          <w:rFonts w:ascii="Times New Roman" w:hAnsi="Times New Roman" w:cs="Times New Roman"/>
          <w:sz w:val="24"/>
          <w:szCs w:val="24"/>
        </w:rPr>
        <w:t xml:space="preserve"> Percentage </w:t>
      </w:r>
      <w:r w:rsidR="00750829" w:rsidRPr="00A22E9D">
        <w:rPr>
          <w:rFonts w:ascii="Times New Roman" w:hAnsi="Times New Roman" w:cs="Times New Roman"/>
          <w:sz w:val="24"/>
          <w:szCs w:val="24"/>
        </w:rPr>
        <w:t>parasitemia</w:t>
      </w:r>
      <w:r w:rsidR="006C06F3" w:rsidRPr="00A22E9D">
        <w:rPr>
          <w:rFonts w:ascii="Times New Roman" w:hAnsi="Times New Roman" w:cs="Times New Roman"/>
          <w:sz w:val="24"/>
          <w:szCs w:val="24"/>
        </w:rPr>
        <w:t xml:space="preserve"> level in mice infected </w:t>
      </w:r>
      <w:r w:rsidR="00F57D9D" w:rsidRPr="00F57D9D">
        <w:rPr>
          <w:rFonts w:ascii="Times New Roman" w:hAnsi="Times New Roman" w:cs="Times New Roman"/>
          <w:i/>
          <w:sz w:val="24"/>
          <w:szCs w:val="24"/>
        </w:rPr>
        <w:t xml:space="preserve">Plasmodium </w:t>
      </w:r>
      <w:proofErr w:type="spellStart"/>
      <w:r w:rsidR="00F57D9D" w:rsidRPr="00F57D9D">
        <w:rPr>
          <w:rFonts w:ascii="Times New Roman" w:hAnsi="Times New Roman" w:cs="Times New Roman"/>
          <w:i/>
          <w:sz w:val="24"/>
          <w:szCs w:val="24"/>
        </w:rPr>
        <w:t>bergehi</w:t>
      </w:r>
      <w:proofErr w:type="spellEnd"/>
      <w:r w:rsidR="006C06F3" w:rsidRPr="00A22E9D">
        <w:rPr>
          <w:rFonts w:ascii="Times New Roman" w:hAnsi="Times New Roman" w:cs="Times New Roman"/>
          <w:sz w:val="24"/>
          <w:szCs w:val="24"/>
        </w:rPr>
        <w:t xml:space="preserve">                </w:t>
      </w:r>
      <w:r w:rsidR="00E3352B" w:rsidRPr="00A22E9D">
        <w:rPr>
          <w:rFonts w:ascii="Times New Roman" w:hAnsi="Times New Roman" w:cs="Times New Roman"/>
          <w:sz w:val="24"/>
          <w:szCs w:val="24"/>
        </w:rPr>
        <w:t xml:space="preserve">  </w:t>
      </w:r>
      <w:r w:rsidR="00345B1B">
        <w:rPr>
          <w:rFonts w:ascii="Times New Roman" w:hAnsi="Times New Roman" w:cs="Times New Roman"/>
          <w:sz w:val="24"/>
          <w:szCs w:val="24"/>
        </w:rPr>
        <w:t xml:space="preserve">     </w:t>
      </w:r>
      <w:r w:rsidR="00646AFC" w:rsidRPr="00A22E9D">
        <w:rPr>
          <w:rFonts w:ascii="Times New Roman" w:hAnsi="Times New Roman" w:cs="Times New Roman"/>
          <w:sz w:val="24"/>
          <w:szCs w:val="24"/>
        </w:rPr>
        <w:t>3</w:t>
      </w:r>
      <w:r w:rsidR="009E20D9">
        <w:rPr>
          <w:rFonts w:ascii="Times New Roman" w:hAnsi="Times New Roman" w:cs="Times New Roman"/>
          <w:sz w:val="24"/>
          <w:szCs w:val="24"/>
        </w:rPr>
        <w:t>5</w:t>
      </w:r>
    </w:p>
    <w:p w14:paraId="49DB1ADD" w14:textId="2C57ACEC" w:rsidR="0087610E" w:rsidRPr="00A22E9D" w:rsidRDefault="0087610E" w:rsidP="00CA4B8F">
      <w:pPr>
        <w:pStyle w:val="NoSpacing"/>
        <w:spacing w:after="240"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w:t>
      </w:r>
      <w:r w:rsidR="006C06F3" w:rsidRPr="00A22E9D">
        <w:rPr>
          <w:rFonts w:ascii="Times New Roman" w:hAnsi="Times New Roman" w:cs="Times New Roman"/>
          <w:lang w:val="en-GB"/>
        </w:rPr>
        <w:t xml:space="preserve"> </w:t>
      </w:r>
      <w:r w:rsidR="006C06F3" w:rsidRPr="00A22E9D">
        <w:rPr>
          <w:rFonts w:ascii="Times New Roman" w:hAnsi="Times New Roman" w:cs="Times New Roman"/>
          <w:sz w:val="24"/>
          <w:szCs w:val="24"/>
          <w:lang w:val="en-GB"/>
        </w:rPr>
        <w:t>Percentage chemo</w:t>
      </w:r>
      <w:r w:rsidR="00750829" w:rsidRPr="00A22E9D">
        <w:rPr>
          <w:rFonts w:ascii="Times New Roman" w:hAnsi="Times New Roman" w:cs="Times New Roman"/>
          <w:sz w:val="24"/>
          <w:szCs w:val="24"/>
          <w:lang w:val="en-GB"/>
        </w:rPr>
        <w:t>-</w:t>
      </w:r>
      <w:r w:rsidR="006C06F3" w:rsidRPr="00A22E9D">
        <w:rPr>
          <w:rFonts w:ascii="Times New Roman" w:hAnsi="Times New Roman" w:cs="Times New Roman"/>
          <w:sz w:val="24"/>
          <w:szCs w:val="24"/>
          <w:lang w:val="en-GB"/>
        </w:rPr>
        <w:t xml:space="preserve">suppression of </w:t>
      </w:r>
      <w:r w:rsidR="00683FCF" w:rsidRPr="00683FCF">
        <w:rPr>
          <w:rFonts w:ascii="Times New Roman" w:hAnsi="Times New Roman" w:cs="Times New Roman"/>
          <w:i/>
          <w:sz w:val="24"/>
          <w:szCs w:val="24"/>
          <w:lang w:val="en-GB"/>
        </w:rPr>
        <w:t xml:space="preserve">Plasmodium </w:t>
      </w:r>
      <w:proofErr w:type="spellStart"/>
      <w:r w:rsidR="00683FCF" w:rsidRPr="00683FCF">
        <w:rPr>
          <w:rFonts w:ascii="Times New Roman" w:hAnsi="Times New Roman" w:cs="Times New Roman"/>
          <w:i/>
          <w:sz w:val="24"/>
          <w:szCs w:val="24"/>
          <w:lang w:val="en-GB"/>
        </w:rPr>
        <w:t>berghei</w:t>
      </w:r>
      <w:proofErr w:type="spellEnd"/>
      <w:r w:rsidR="006C06F3" w:rsidRPr="00A22E9D">
        <w:rPr>
          <w:rFonts w:ascii="Times New Roman" w:hAnsi="Times New Roman" w:cs="Times New Roman"/>
          <w:sz w:val="24"/>
          <w:szCs w:val="24"/>
          <w:lang w:val="en-GB"/>
        </w:rPr>
        <w:t xml:space="preserve"> in mice treated with test compound at different doses</w:t>
      </w:r>
      <w:r w:rsidRPr="00A22E9D">
        <w:rPr>
          <w:rFonts w:ascii="Times New Roman" w:hAnsi="Times New Roman" w:cs="Times New Roman"/>
          <w:sz w:val="24"/>
          <w:szCs w:val="24"/>
        </w:rPr>
        <w:tab/>
      </w:r>
      <w:r w:rsidRPr="00A22E9D">
        <w:rPr>
          <w:rFonts w:ascii="Times New Roman" w:hAnsi="Times New Roman" w:cs="Times New Roman"/>
          <w:sz w:val="24"/>
          <w:szCs w:val="24"/>
        </w:rPr>
        <w:tab/>
      </w:r>
      <w:r w:rsidR="006C06F3" w:rsidRPr="00A22E9D">
        <w:rPr>
          <w:rFonts w:ascii="Times New Roman" w:hAnsi="Times New Roman" w:cs="Times New Roman"/>
          <w:sz w:val="24"/>
          <w:szCs w:val="24"/>
        </w:rPr>
        <w:t xml:space="preserve">                                                                                      </w:t>
      </w:r>
      <w:r w:rsidR="00646AFC" w:rsidRPr="00A22E9D">
        <w:rPr>
          <w:rFonts w:ascii="Times New Roman" w:hAnsi="Times New Roman" w:cs="Times New Roman"/>
          <w:sz w:val="24"/>
          <w:szCs w:val="24"/>
        </w:rPr>
        <w:t>3</w:t>
      </w:r>
      <w:r w:rsidR="009E20D9">
        <w:rPr>
          <w:rFonts w:ascii="Times New Roman" w:hAnsi="Times New Roman" w:cs="Times New Roman"/>
          <w:sz w:val="24"/>
          <w:szCs w:val="24"/>
        </w:rPr>
        <w:t>7</w:t>
      </w:r>
    </w:p>
    <w:p w14:paraId="75A26E78" w14:textId="0286215F" w:rsidR="0087610E" w:rsidRPr="00A22E9D" w:rsidRDefault="0087610E" w:rsidP="00CA4B8F">
      <w:pPr>
        <w:pStyle w:val="NoSpacing"/>
        <w:spacing w:after="240" w:line="480" w:lineRule="auto"/>
        <w:jc w:val="both"/>
        <w:rPr>
          <w:rFonts w:ascii="Times New Roman" w:hAnsi="Times New Roman" w:cs="Times New Roman"/>
          <w:color w:val="333333"/>
          <w:sz w:val="24"/>
          <w:szCs w:val="24"/>
        </w:rPr>
      </w:pPr>
      <w:r w:rsidRPr="00A22E9D">
        <w:rPr>
          <w:rFonts w:ascii="Times New Roman" w:hAnsi="Times New Roman" w:cs="Times New Roman"/>
          <w:color w:val="333333"/>
          <w:sz w:val="24"/>
          <w:szCs w:val="24"/>
        </w:rPr>
        <w:t xml:space="preserve">Figure </w:t>
      </w:r>
      <w:r w:rsidR="00646AFC" w:rsidRPr="00A22E9D">
        <w:rPr>
          <w:rFonts w:ascii="Times New Roman" w:hAnsi="Times New Roman" w:cs="Times New Roman"/>
          <w:color w:val="333333"/>
          <w:sz w:val="24"/>
          <w:szCs w:val="24"/>
        </w:rPr>
        <w:t>4</w:t>
      </w:r>
      <w:r w:rsidRPr="00A22E9D">
        <w:rPr>
          <w:rFonts w:ascii="Times New Roman" w:hAnsi="Times New Roman" w:cs="Times New Roman"/>
          <w:color w:val="333333"/>
          <w:sz w:val="24"/>
          <w:szCs w:val="24"/>
        </w:rPr>
        <w:t>.</w:t>
      </w:r>
      <w:r w:rsidR="00646AFC" w:rsidRPr="00A22E9D">
        <w:rPr>
          <w:rFonts w:ascii="Times New Roman" w:hAnsi="Times New Roman" w:cs="Times New Roman"/>
          <w:color w:val="333333"/>
          <w:sz w:val="24"/>
          <w:szCs w:val="24"/>
        </w:rPr>
        <w:t>5</w:t>
      </w:r>
      <w:r w:rsidRPr="00A22E9D">
        <w:rPr>
          <w:rFonts w:ascii="Times New Roman" w:hAnsi="Times New Roman" w:cs="Times New Roman"/>
          <w:color w:val="333333"/>
          <w:sz w:val="24"/>
          <w:szCs w:val="24"/>
        </w:rPr>
        <w:t>:</w:t>
      </w:r>
      <w:r w:rsidR="006C06F3" w:rsidRPr="00A22E9D">
        <w:rPr>
          <w:rFonts w:ascii="Times New Roman" w:hAnsi="Times New Roman" w:cs="Times New Roman"/>
          <w:color w:val="333333"/>
          <w:sz w:val="24"/>
          <w:szCs w:val="24"/>
        </w:rPr>
        <w:t xml:space="preserve"> </w:t>
      </w:r>
      <w:r w:rsidR="006C06F3" w:rsidRPr="00A22E9D">
        <w:rPr>
          <w:rFonts w:ascii="Times New Roman" w:hAnsi="Times New Roman" w:cs="Times New Roman"/>
          <w:color w:val="333333"/>
          <w:sz w:val="24"/>
          <w:szCs w:val="24"/>
          <w:lang w:val="en-GB"/>
        </w:rPr>
        <w:t xml:space="preserve">The graph represents the percent </w:t>
      </w:r>
      <w:r w:rsidR="00750829" w:rsidRPr="00A22E9D">
        <w:rPr>
          <w:rFonts w:ascii="Times New Roman" w:hAnsi="Times New Roman" w:cs="Times New Roman"/>
          <w:color w:val="333333"/>
          <w:sz w:val="24"/>
          <w:szCs w:val="24"/>
          <w:lang w:val="en-GB"/>
        </w:rPr>
        <w:t>parasitaemia</w:t>
      </w:r>
      <w:r w:rsidR="006C06F3" w:rsidRPr="00A22E9D">
        <w:rPr>
          <w:rFonts w:ascii="Times New Roman" w:hAnsi="Times New Roman" w:cs="Times New Roman"/>
          <w:color w:val="333333"/>
          <w:sz w:val="24"/>
          <w:szCs w:val="24"/>
          <w:lang w:val="en-GB"/>
        </w:rPr>
        <w:t xml:space="preserve"> and percent chemo</w:t>
      </w:r>
      <w:r w:rsidR="00750829" w:rsidRPr="00A22E9D">
        <w:rPr>
          <w:rFonts w:ascii="Times New Roman" w:hAnsi="Times New Roman" w:cs="Times New Roman"/>
          <w:color w:val="333333"/>
          <w:sz w:val="24"/>
          <w:szCs w:val="24"/>
          <w:lang w:val="en-GB"/>
        </w:rPr>
        <w:t>-</w:t>
      </w:r>
      <w:r w:rsidR="006C06F3" w:rsidRPr="00A22E9D">
        <w:rPr>
          <w:rFonts w:ascii="Times New Roman" w:hAnsi="Times New Roman" w:cs="Times New Roman"/>
          <w:color w:val="333333"/>
          <w:sz w:val="24"/>
          <w:szCs w:val="24"/>
          <w:lang w:val="en-GB"/>
        </w:rPr>
        <w:t>suppression in mice infected with malaria parasites and treated with different drugs</w:t>
      </w:r>
      <w:r w:rsidRPr="00A22E9D">
        <w:rPr>
          <w:rFonts w:ascii="Times New Roman" w:hAnsi="Times New Roman" w:cs="Times New Roman"/>
          <w:color w:val="333333"/>
          <w:sz w:val="24"/>
          <w:szCs w:val="24"/>
        </w:rPr>
        <w:tab/>
      </w:r>
      <w:r w:rsidRPr="00A22E9D">
        <w:rPr>
          <w:rFonts w:ascii="Times New Roman" w:hAnsi="Times New Roman" w:cs="Times New Roman"/>
          <w:color w:val="333333"/>
          <w:sz w:val="24"/>
          <w:szCs w:val="24"/>
        </w:rPr>
        <w:tab/>
      </w:r>
      <w:r w:rsidR="006C06F3" w:rsidRPr="00A22E9D">
        <w:rPr>
          <w:rFonts w:ascii="Times New Roman" w:hAnsi="Times New Roman" w:cs="Times New Roman"/>
          <w:color w:val="333333"/>
          <w:sz w:val="24"/>
          <w:szCs w:val="24"/>
        </w:rPr>
        <w:t xml:space="preserve">              </w:t>
      </w:r>
      <w:r w:rsidR="00646AFC" w:rsidRPr="00A22E9D">
        <w:rPr>
          <w:rFonts w:ascii="Times New Roman" w:hAnsi="Times New Roman" w:cs="Times New Roman"/>
          <w:color w:val="333333"/>
          <w:sz w:val="24"/>
          <w:szCs w:val="24"/>
        </w:rPr>
        <w:t>3</w:t>
      </w:r>
      <w:r w:rsidR="009E20D9">
        <w:rPr>
          <w:rFonts w:ascii="Times New Roman" w:hAnsi="Times New Roman" w:cs="Times New Roman"/>
          <w:color w:val="333333"/>
          <w:sz w:val="24"/>
          <w:szCs w:val="24"/>
        </w:rPr>
        <w:t>9</w:t>
      </w:r>
    </w:p>
    <w:p w14:paraId="7374D7CB" w14:textId="267FE333" w:rsidR="0087610E" w:rsidRPr="00A22E9D" w:rsidRDefault="0087610E" w:rsidP="00CA4B8F">
      <w:pPr>
        <w:pStyle w:val="NoSpacing"/>
        <w:spacing w:after="240" w:line="480" w:lineRule="auto"/>
        <w:jc w:val="both"/>
        <w:rPr>
          <w:rFonts w:ascii="Times New Roman" w:hAnsi="Times New Roman" w:cs="Times New Roman"/>
          <w:i/>
          <w:iCs/>
          <w:noProof/>
          <w:sz w:val="24"/>
          <w:szCs w:val="24"/>
          <w:lang w:val="en-GB"/>
        </w:rPr>
      </w:pPr>
      <w:r w:rsidRPr="00A22E9D">
        <w:rPr>
          <w:rFonts w:ascii="Times New Roman" w:hAnsi="Times New Roman" w:cs="Times New Roman"/>
          <w:noProof/>
          <w:sz w:val="24"/>
          <w:szCs w:val="24"/>
        </w:rPr>
        <w:t xml:space="preserve">Figure </w:t>
      </w:r>
      <w:r w:rsidR="00646AFC" w:rsidRPr="00A22E9D">
        <w:rPr>
          <w:rFonts w:ascii="Times New Roman" w:hAnsi="Times New Roman" w:cs="Times New Roman"/>
          <w:noProof/>
          <w:sz w:val="24"/>
          <w:szCs w:val="24"/>
        </w:rPr>
        <w:t>4</w:t>
      </w:r>
      <w:r w:rsidRPr="00A22E9D">
        <w:rPr>
          <w:rFonts w:ascii="Times New Roman" w:hAnsi="Times New Roman" w:cs="Times New Roman"/>
          <w:noProof/>
          <w:sz w:val="24"/>
          <w:szCs w:val="24"/>
        </w:rPr>
        <w:t>.</w:t>
      </w:r>
      <w:r w:rsidR="00646AFC" w:rsidRPr="00A22E9D">
        <w:rPr>
          <w:rFonts w:ascii="Times New Roman" w:hAnsi="Times New Roman" w:cs="Times New Roman"/>
          <w:noProof/>
          <w:sz w:val="24"/>
          <w:szCs w:val="24"/>
        </w:rPr>
        <w:t>6</w:t>
      </w:r>
      <w:r w:rsidRPr="00A22E9D">
        <w:rPr>
          <w:rFonts w:ascii="Times New Roman" w:hAnsi="Times New Roman" w:cs="Times New Roman"/>
          <w:noProof/>
          <w:sz w:val="24"/>
          <w:szCs w:val="24"/>
        </w:rPr>
        <w:t>:</w:t>
      </w:r>
      <w:r w:rsidR="001C59DD" w:rsidRPr="00A22E9D">
        <w:rPr>
          <w:rFonts w:ascii="Times New Roman" w:hAnsi="Times New Roman" w:cs="Times New Roman"/>
          <w:noProof/>
          <w:sz w:val="24"/>
          <w:szCs w:val="24"/>
        </w:rPr>
        <w:t xml:space="preserve"> </w:t>
      </w:r>
      <w:r w:rsidR="001C59DD" w:rsidRPr="00A22E9D">
        <w:rPr>
          <w:rFonts w:ascii="Times New Roman" w:hAnsi="Times New Roman" w:cs="Times New Roman"/>
          <w:i/>
          <w:iCs/>
          <w:noProof/>
          <w:sz w:val="24"/>
          <w:szCs w:val="24"/>
          <w:lang w:val="en-GB"/>
        </w:rPr>
        <w:t xml:space="preserve">PCA </w:t>
      </w:r>
      <w:r w:rsidR="001C59DD" w:rsidRPr="00A22E9D">
        <w:rPr>
          <w:rFonts w:ascii="Times New Roman" w:hAnsi="Times New Roman" w:cs="Times New Roman"/>
          <w:noProof/>
          <w:sz w:val="24"/>
          <w:szCs w:val="24"/>
          <w:lang w:val="en-GB"/>
        </w:rPr>
        <w:t xml:space="preserve">(principal component analysis) Plot of analysed dataset identifying clusters of samples similar to each other                                                                                             </w:t>
      </w:r>
      <w:r w:rsidR="00345B1B">
        <w:rPr>
          <w:rFonts w:ascii="Times New Roman" w:hAnsi="Times New Roman" w:cs="Times New Roman"/>
          <w:noProof/>
          <w:sz w:val="24"/>
          <w:szCs w:val="24"/>
          <w:lang w:val="en-GB"/>
        </w:rPr>
        <w:t xml:space="preserve">    </w:t>
      </w:r>
      <w:r w:rsidR="001C59DD" w:rsidRPr="00A22E9D">
        <w:rPr>
          <w:rFonts w:ascii="Times New Roman" w:hAnsi="Times New Roman" w:cs="Times New Roman"/>
          <w:noProof/>
          <w:sz w:val="24"/>
          <w:szCs w:val="24"/>
          <w:lang w:val="en-GB"/>
        </w:rPr>
        <w:t xml:space="preserve"> </w:t>
      </w:r>
      <w:r w:rsidR="00345B1B">
        <w:rPr>
          <w:rFonts w:ascii="Times New Roman" w:hAnsi="Times New Roman" w:cs="Times New Roman"/>
          <w:noProof/>
          <w:sz w:val="24"/>
          <w:szCs w:val="24"/>
          <w:lang w:val="en-GB"/>
        </w:rPr>
        <w:t xml:space="preserve">  </w:t>
      </w:r>
      <w:r w:rsidR="001C59DD" w:rsidRPr="00A22E9D">
        <w:rPr>
          <w:rFonts w:ascii="Times New Roman" w:hAnsi="Times New Roman" w:cs="Times New Roman"/>
          <w:noProof/>
          <w:sz w:val="24"/>
          <w:szCs w:val="24"/>
          <w:lang w:val="en-GB"/>
        </w:rPr>
        <w:t xml:space="preserve"> </w:t>
      </w:r>
      <w:r w:rsidR="009E20D9">
        <w:rPr>
          <w:rFonts w:ascii="Times New Roman" w:hAnsi="Times New Roman" w:cs="Times New Roman"/>
          <w:sz w:val="24"/>
          <w:szCs w:val="24"/>
        </w:rPr>
        <w:t>45</w:t>
      </w:r>
    </w:p>
    <w:p w14:paraId="64877DA8" w14:textId="1EE5CDF6" w:rsidR="0087610E" w:rsidRPr="00A22E9D" w:rsidRDefault="0087610E" w:rsidP="00CA4B8F">
      <w:pPr>
        <w:pStyle w:val="NoSpacing"/>
        <w:spacing w:after="240" w:line="480" w:lineRule="auto"/>
        <w:jc w:val="both"/>
        <w:rPr>
          <w:rFonts w:ascii="Times New Roman" w:hAnsi="Times New Roman" w:cs="Times New Roman"/>
          <w:sz w:val="24"/>
          <w:szCs w:val="24"/>
        </w:rPr>
      </w:pPr>
      <w:r w:rsidRPr="00A22E9D">
        <w:rPr>
          <w:rFonts w:ascii="Times New Roman" w:hAnsi="Times New Roman" w:cs="Times New Roman"/>
          <w:noProof/>
          <w:sz w:val="24"/>
          <w:szCs w:val="24"/>
        </w:rPr>
        <w:t xml:space="preserve">Figure </w:t>
      </w:r>
      <w:r w:rsidR="00646AFC" w:rsidRPr="00A22E9D">
        <w:rPr>
          <w:rFonts w:ascii="Times New Roman" w:hAnsi="Times New Roman" w:cs="Times New Roman"/>
          <w:noProof/>
          <w:sz w:val="24"/>
          <w:szCs w:val="24"/>
        </w:rPr>
        <w:t>4</w:t>
      </w:r>
      <w:r w:rsidRPr="00A22E9D">
        <w:rPr>
          <w:rFonts w:ascii="Times New Roman" w:hAnsi="Times New Roman" w:cs="Times New Roman"/>
          <w:noProof/>
          <w:sz w:val="24"/>
          <w:szCs w:val="24"/>
        </w:rPr>
        <w:t>.</w:t>
      </w:r>
      <w:r w:rsidR="00646AFC" w:rsidRPr="00A22E9D">
        <w:rPr>
          <w:rFonts w:ascii="Times New Roman" w:hAnsi="Times New Roman" w:cs="Times New Roman"/>
          <w:noProof/>
          <w:sz w:val="24"/>
          <w:szCs w:val="24"/>
        </w:rPr>
        <w:t>7</w:t>
      </w:r>
      <w:r w:rsidRPr="00A22E9D">
        <w:rPr>
          <w:rFonts w:ascii="Times New Roman" w:hAnsi="Times New Roman" w:cs="Times New Roman"/>
          <w:noProof/>
          <w:sz w:val="24"/>
          <w:szCs w:val="24"/>
        </w:rPr>
        <w:t>:</w:t>
      </w:r>
      <w:r w:rsidR="001C59DD" w:rsidRPr="00A22E9D">
        <w:rPr>
          <w:rFonts w:ascii="Times New Roman" w:hAnsi="Times New Roman" w:cs="Times New Roman"/>
          <w:kern w:val="2"/>
          <w:lang w:val="en-GB"/>
          <w14:ligatures w14:val="standardContextual"/>
        </w:rPr>
        <w:t xml:space="preserve"> </w:t>
      </w:r>
      <w:r w:rsidR="001C59DD" w:rsidRPr="00A22E9D">
        <w:rPr>
          <w:rFonts w:ascii="Times New Roman" w:hAnsi="Times New Roman" w:cs="Times New Roman"/>
          <w:noProof/>
          <w:sz w:val="24"/>
          <w:szCs w:val="24"/>
          <w:lang w:val="en-GB"/>
        </w:rPr>
        <w:t xml:space="preserve">Dispersion Plot of the dataset used to measure the variability in gene expression levels, with those highly dispersed plotted towards the top and those with low dispersion towards the bottom                                                                                                </w:t>
      </w:r>
      <w:r w:rsidRPr="00A22E9D">
        <w:rPr>
          <w:rFonts w:ascii="Times New Roman" w:hAnsi="Times New Roman" w:cs="Times New Roman"/>
          <w:color w:val="000000" w:themeColor="text1"/>
          <w:sz w:val="24"/>
          <w:szCs w:val="24"/>
        </w:rPr>
        <w:tab/>
      </w:r>
      <w:r w:rsidR="001C59DD" w:rsidRPr="00A22E9D">
        <w:rPr>
          <w:rFonts w:ascii="Times New Roman" w:hAnsi="Times New Roman" w:cs="Times New Roman"/>
          <w:color w:val="000000" w:themeColor="text1"/>
          <w:sz w:val="24"/>
          <w:szCs w:val="24"/>
        </w:rPr>
        <w:t xml:space="preserve">              </w:t>
      </w:r>
      <w:r w:rsidR="009E20D9">
        <w:rPr>
          <w:rFonts w:ascii="Times New Roman" w:hAnsi="Times New Roman" w:cs="Times New Roman"/>
          <w:color w:val="000000" w:themeColor="text1"/>
          <w:sz w:val="24"/>
          <w:szCs w:val="24"/>
        </w:rPr>
        <w:t>45</w:t>
      </w:r>
    </w:p>
    <w:p w14:paraId="3CEC7A10" w14:textId="11415F12" w:rsidR="0087610E" w:rsidRPr="00A22E9D" w:rsidRDefault="0087610E" w:rsidP="00CA4B8F">
      <w:pPr>
        <w:pStyle w:val="NoSpacing"/>
        <w:spacing w:after="240"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w:t>
      </w:r>
      <w:r w:rsidR="00646AFC" w:rsidRPr="00A22E9D">
        <w:rPr>
          <w:rFonts w:ascii="Times New Roman" w:hAnsi="Times New Roman" w:cs="Times New Roman"/>
          <w:sz w:val="24"/>
          <w:szCs w:val="24"/>
        </w:rPr>
        <w:t>8</w:t>
      </w:r>
      <w:r w:rsidRPr="00A22E9D">
        <w:rPr>
          <w:rFonts w:ascii="Times New Roman" w:hAnsi="Times New Roman" w:cs="Times New Roman"/>
          <w:sz w:val="24"/>
          <w:szCs w:val="24"/>
        </w:rPr>
        <w:t>:</w:t>
      </w:r>
      <w:r w:rsidR="001C59DD" w:rsidRPr="00A22E9D">
        <w:rPr>
          <w:rFonts w:ascii="Times New Roman" w:hAnsi="Times New Roman" w:cs="Times New Roman"/>
          <w:noProof/>
          <w:kern w:val="2"/>
          <w:lang w:val="en-GB"/>
          <w14:ligatures w14:val="standardContextual"/>
        </w:rPr>
        <w:t xml:space="preserve"> </w:t>
      </w:r>
      <w:r w:rsidR="001C59DD" w:rsidRPr="00A22E9D">
        <w:rPr>
          <w:rFonts w:ascii="Times New Roman" w:hAnsi="Times New Roman" w:cs="Times New Roman"/>
          <w:sz w:val="24"/>
          <w:szCs w:val="24"/>
          <w:lang w:val="en-GB"/>
        </w:rPr>
        <w:t>Heat Map showing different expression levels of genes in the data set, with genes in the red region highly expressed and those in the blue region expressed at a low level</w:t>
      </w:r>
      <w:proofErr w:type="gramStart"/>
      <w:r w:rsidRPr="00A22E9D">
        <w:rPr>
          <w:rFonts w:ascii="Times New Roman" w:hAnsi="Times New Roman" w:cs="Times New Roman"/>
          <w:sz w:val="24"/>
          <w:szCs w:val="24"/>
        </w:rPr>
        <w:tab/>
      </w:r>
      <w:r w:rsidR="001C59DD" w:rsidRPr="00A22E9D">
        <w:rPr>
          <w:rFonts w:ascii="Times New Roman" w:hAnsi="Times New Roman" w:cs="Times New Roman"/>
          <w:sz w:val="24"/>
          <w:szCs w:val="24"/>
        </w:rPr>
        <w:t xml:space="preserve">  </w:t>
      </w:r>
      <w:r w:rsidR="009E20D9">
        <w:rPr>
          <w:rFonts w:ascii="Times New Roman" w:hAnsi="Times New Roman" w:cs="Times New Roman"/>
          <w:sz w:val="24"/>
          <w:szCs w:val="24"/>
        </w:rPr>
        <w:t>46</w:t>
      </w:r>
      <w:proofErr w:type="gramEnd"/>
    </w:p>
    <w:p w14:paraId="21D94719" w14:textId="6B67F74B" w:rsidR="0087610E" w:rsidRPr="00A22E9D" w:rsidRDefault="0087610E" w:rsidP="00CA4B8F">
      <w:pPr>
        <w:pStyle w:val="NoSpacing"/>
        <w:spacing w:after="240" w:line="480" w:lineRule="auto"/>
        <w:jc w:val="both"/>
        <w:rPr>
          <w:rFonts w:ascii="Times New Roman" w:hAnsi="Times New Roman" w:cs="Times New Roman"/>
          <w:i/>
          <w:iCs/>
          <w:sz w:val="24"/>
          <w:szCs w:val="24"/>
          <w:lang w:val="en-GB"/>
        </w:rPr>
      </w:pPr>
      <w:r w:rsidRPr="00A22E9D">
        <w:rPr>
          <w:rFonts w:ascii="Times New Roman" w:hAnsi="Times New Roman" w:cs="Times New Roman"/>
          <w:sz w:val="24"/>
          <w:szCs w:val="24"/>
        </w:rPr>
        <w:lastRenderedPageBreak/>
        <w:t xml:space="preserve">Figure </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w:t>
      </w:r>
      <w:r w:rsidR="00646AFC" w:rsidRPr="00A22E9D">
        <w:rPr>
          <w:rFonts w:ascii="Times New Roman" w:hAnsi="Times New Roman" w:cs="Times New Roman"/>
          <w:sz w:val="24"/>
          <w:szCs w:val="24"/>
        </w:rPr>
        <w:t>9</w:t>
      </w:r>
      <w:r w:rsidRPr="00A22E9D">
        <w:rPr>
          <w:rFonts w:ascii="Times New Roman" w:hAnsi="Times New Roman" w:cs="Times New Roman"/>
          <w:sz w:val="24"/>
          <w:szCs w:val="24"/>
        </w:rPr>
        <w:t>:</w:t>
      </w:r>
      <w:r w:rsidR="001C59DD" w:rsidRPr="00A22E9D">
        <w:rPr>
          <w:rFonts w:ascii="Times New Roman" w:hAnsi="Times New Roman" w:cs="Times New Roman"/>
          <w:sz w:val="24"/>
          <w:szCs w:val="24"/>
        </w:rPr>
        <w:t xml:space="preserve"> </w:t>
      </w:r>
      <w:r w:rsidR="001C59DD" w:rsidRPr="00A22E9D">
        <w:rPr>
          <w:rFonts w:ascii="Times New Roman" w:hAnsi="Times New Roman" w:cs="Times New Roman"/>
          <w:sz w:val="24"/>
          <w:szCs w:val="24"/>
          <w:lang w:val="en-GB"/>
        </w:rPr>
        <w:t>Volcano Plot highlighting significantly differentially expressed genes and fold change distance with up-regulated genes scattered upwards in red dots and down-regulated genes scattered downwards with green genes</w:t>
      </w:r>
      <w:r w:rsidRPr="00A22E9D">
        <w:rPr>
          <w:rFonts w:ascii="Times New Roman" w:hAnsi="Times New Roman" w:cs="Times New Roman"/>
          <w:sz w:val="24"/>
          <w:szCs w:val="24"/>
        </w:rPr>
        <w:tab/>
      </w:r>
      <w:r w:rsidRPr="00A22E9D">
        <w:rPr>
          <w:rFonts w:ascii="Times New Roman" w:hAnsi="Times New Roman" w:cs="Times New Roman"/>
          <w:sz w:val="24"/>
          <w:szCs w:val="24"/>
        </w:rPr>
        <w:tab/>
      </w:r>
      <w:r w:rsidRPr="00A22E9D">
        <w:rPr>
          <w:rFonts w:ascii="Times New Roman" w:hAnsi="Times New Roman" w:cs="Times New Roman"/>
          <w:sz w:val="24"/>
          <w:szCs w:val="24"/>
        </w:rPr>
        <w:tab/>
      </w:r>
      <w:r w:rsidR="001C59DD" w:rsidRPr="00A22E9D">
        <w:rPr>
          <w:rFonts w:ascii="Times New Roman" w:hAnsi="Times New Roman" w:cs="Times New Roman"/>
          <w:sz w:val="24"/>
          <w:szCs w:val="24"/>
        </w:rPr>
        <w:t xml:space="preserve">                                                  </w:t>
      </w:r>
      <w:r w:rsidR="00646AFC" w:rsidRPr="00A22E9D">
        <w:rPr>
          <w:rFonts w:ascii="Times New Roman" w:hAnsi="Times New Roman" w:cs="Times New Roman"/>
          <w:sz w:val="24"/>
          <w:szCs w:val="24"/>
        </w:rPr>
        <w:t>4</w:t>
      </w:r>
      <w:r w:rsidR="009E20D9">
        <w:rPr>
          <w:rFonts w:ascii="Times New Roman" w:hAnsi="Times New Roman" w:cs="Times New Roman"/>
          <w:sz w:val="24"/>
          <w:szCs w:val="24"/>
        </w:rPr>
        <w:t>7</w:t>
      </w:r>
    </w:p>
    <w:p w14:paraId="7420C6E4" w14:textId="17DC4AB8" w:rsidR="00061B50" w:rsidRPr="00A22E9D" w:rsidRDefault="0087610E" w:rsidP="00CA4B8F">
      <w:pPr>
        <w:pStyle w:val="NoSpacing"/>
        <w:spacing w:after="240"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w:t>
      </w:r>
      <w:r w:rsidR="00646AFC" w:rsidRPr="00A22E9D">
        <w:rPr>
          <w:rFonts w:ascii="Times New Roman" w:hAnsi="Times New Roman" w:cs="Times New Roman"/>
          <w:sz w:val="24"/>
          <w:szCs w:val="24"/>
        </w:rPr>
        <w:t>10</w:t>
      </w:r>
      <w:r w:rsidR="001C59DD" w:rsidRPr="00A22E9D">
        <w:rPr>
          <w:rFonts w:ascii="Times New Roman" w:hAnsi="Times New Roman" w:cs="Times New Roman"/>
          <w:sz w:val="24"/>
          <w:szCs w:val="24"/>
        </w:rPr>
        <w:t xml:space="preserve">: </w:t>
      </w:r>
      <w:r w:rsidR="001C59DD" w:rsidRPr="00A22E9D">
        <w:rPr>
          <w:rFonts w:ascii="Times New Roman" w:hAnsi="Times New Roman" w:cs="Times New Roman"/>
          <w:sz w:val="24"/>
          <w:szCs w:val="24"/>
          <w:lang w:val="en-GB"/>
        </w:rPr>
        <w:t>2D Structure representing interactions between (E)-3-((2,4-dihydroxybenzylidene)amino)-3a,8a-dihydroxyl-2-thioxo-1,3,3a,8a-tetrahydroindeno[1,2-d]imidazol-8(2H)-one and FANCJ-like Helicase</w:t>
      </w:r>
      <w:r w:rsidRPr="00A22E9D">
        <w:rPr>
          <w:rFonts w:ascii="Times New Roman" w:hAnsi="Times New Roman" w:cs="Times New Roman"/>
          <w:sz w:val="24"/>
          <w:szCs w:val="24"/>
        </w:rPr>
        <w:tab/>
      </w:r>
      <w:r w:rsidR="001C59DD" w:rsidRPr="00A22E9D">
        <w:rPr>
          <w:rFonts w:ascii="Times New Roman" w:hAnsi="Times New Roman" w:cs="Times New Roman"/>
          <w:sz w:val="24"/>
          <w:szCs w:val="24"/>
        </w:rPr>
        <w:t xml:space="preserve">                                                              </w:t>
      </w:r>
      <w:r w:rsidR="00646AFC" w:rsidRPr="00A22E9D">
        <w:rPr>
          <w:rFonts w:ascii="Times New Roman" w:hAnsi="Times New Roman" w:cs="Times New Roman"/>
          <w:sz w:val="24"/>
          <w:szCs w:val="24"/>
        </w:rPr>
        <w:t>4</w:t>
      </w:r>
      <w:r w:rsidR="009E20D9">
        <w:rPr>
          <w:rFonts w:ascii="Times New Roman" w:hAnsi="Times New Roman" w:cs="Times New Roman"/>
          <w:sz w:val="24"/>
          <w:szCs w:val="24"/>
        </w:rPr>
        <w:t>9</w:t>
      </w:r>
      <w:r w:rsidR="001C59DD"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Figure </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w:t>
      </w:r>
      <w:r w:rsidR="00646AFC" w:rsidRPr="00A22E9D">
        <w:rPr>
          <w:rFonts w:ascii="Times New Roman" w:hAnsi="Times New Roman" w:cs="Times New Roman"/>
          <w:sz w:val="24"/>
          <w:szCs w:val="24"/>
        </w:rPr>
        <w:t>11:</w:t>
      </w:r>
      <w:r w:rsidR="00AF3349" w:rsidRPr="00A22E9D">
        <w:rPr>
          <w:rFonts w:ascii="Times New Roman" w:hAnsi="Times New Roman" w:cs="Times New Roman"/>
          <w:sz w:val="24"/>
          <w:szCs w:val="24"/>
        </w:rPr>
        <w:t xml:space="preserve"> </w:t>
      </w:r>
      <w:r w:rsidR="001C59DD" w:rsidRPr="00A22E9D">
        <w:rPr>
          <w:rFonts w:ascii="Times New Roman" w:hAnsi="Times New Roman" w:cs="Times New Roman"/>
        </w:rPr>
        <w:t>2D Structure representing interactions between Chloroquine</w:t>
      </w:r>
      <w:r w:rsidR="00AF3349" w:rsidRPr="00A22E9D">
        <w:rPr>
          <w:rFonts w:ascii="Times New Roman" w:hAnsi="Times New Roman" w:cs="Times New Roman"/>
        </w:rPr>
        <w:t xml:space="preserve"> (control)</w:t>
      </w:r>
      <w:r w:rsidR="001C59DD" w:rsidRPr="00A22E9D">
        <w:rPr>
          <w:rFonts w:ascii="Times New Roman" w:hAnsi="Times New Roman" w:cs="Times New Roman"/>
        </w:rPr>
        <w:t xml:space="preserve"> and FANCJ-like Helicase</w:t>
      </w:r>
      <w:r w:rsidR="001C59DD" w:rsidRPr="00A22E9D">
        <w:rPr>
          <w:rFonts w:ascii="Times New Roman" w:hAnsi="Times New Roman" w:cs="Times New Roman"/>
          <w:sz w:val="24"/>
          <w:szCs w:val="24"/>
        </w:rPr>
        <w:t xml:space="preserve">  </w:t>
      </w:r>
      <w:r w:rsidR="00AF3349" w:rsidRPr="00A22E9D">
        <w:rPr>
          <w:rFonts w:ascii="Times New Roman" w:hAnsi="Times New Roman" w:cs="Times New Roman"/>
          <w:sz w:val="24"/>
          <w:szCs w:val="24"/>
        </w:rPr>
        <w:t xml:space="preserve">                                                                                                                                   </w:t>
      </w:r>
      <w:r w:rsidR="009E20D9">
        <w:rPr>
          <w:rFonts w:ascii="Times New Roman" w:hAnsi="Times New Roman" w:cs="Times New Roman"/>
          <w:sz w:val="24"/>
          <w:szCs w:val="24"/>
        </w:rPr>
        <w:t>51</w:t>
      </w:r>
      <w:r w:rsidR="00061B50" w:rsidRPr="00A22E9D">
        <w:rPr>
          <w:rFonts w:ascii="Times New Roman" w:hAnsi="Times New Roman" w:cs="Times New Roman"/>
          <w:sz w:val="24"/>
          <w:szCs w:val="24"/>
        </w:rPr>
        <w:br w:type="page"/>
      </w:r>
    </w:p>
    <w:p w14:paraId="12B359D5" w14:textId="75EF3067" w:rsidR="00061B50" w:rsidRPr="00A22E9D" w:rsidRDefault="00061B50" w:rsidP="00CA4B8F">
      <w:pPr>
        <w:pStyle w:val="Heading1"/>
        <w:spacing w:line="480" w:lineRule="auto"/>
        <w:rPr>
          <w:rFonts w:cs="Times New Roman"/>
        </w:rPr>
      </w:pPr>
      <w:bookmarkStart w:id="5" w:name="_Toc145500364"/>
      <w:r w:rsidRPr="00A22E9D">
        <w:rPr>
          <w:rFonts w:cs="Times New Roman"/>
        </w:rPr>
        <w:lastRenderedPageBreak/>
        <w:t>LIST OF TABLES</w:t>
      </w:r>
      <w:bookmarkEnd w:id="5"/>
    </w:p>
    <w:p w14:paraId="230A787A" w14:textId="0CCE47C6" w:rsidR="006C06F3" w:rsidRPr="00A22E9D" w:rsidRDefault="0087610E" w:rsidP="00CA4B8F">
      <w:pPr>
        <w:tabs>
          <w:tab w:val="left" w:pos="720"/>
        </w:tabs>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Table </w:t>
      </w:r>
      <w:r w:rsidR="00646AFC" w:rsidRPr="00A22E9D">
        <w:rPr>
          <w:rFonts w:ascii="Times New Roman" w:hAnsi="Times New Roman" w:cs="Times New Roman"/>
          <w:sz w:val="24"/>
          <w:szCs w:val="24"/>
        </w:rPr>
        <w:t>3</w:t>
      </w:r>
      <w:r w:rsidRPr="00A22E9D">
        <w:rPr>
          <w:rFonts w:ascii="Times New Roman" w:hAnsi="Times New Roman" w:cs="Times New Roman"/>
          <w:sz w:val="24"/>
          <w:szCs w:val="24"/>
        </w:rPr>
        <w:t>.1:</w:t>
      </w:r>
      <w:r w:rsidR="008E021F" w:rsidRPr="00A22E9D">
        <w:rPr>
          <w:rFonts w:ascii="Times New Roman" w:hAnsi="Times New Roman" w:cs="Times New Roman"/>
          <w:kern w:val="2"/>
          <w14:ligatures w14:val="standardContextual"/>
        </w:rPr>
        <w:t xml:space="preserve"> </w:t>
      </w:r>
      <w:r w:rsidR="008E021F" w:rsidRPr="00A22E9D">
        <w:rPr>
          <w:rFonts w:ascii="Times New Roman" w:hAnsi="Times New Roman" w:cs="Times New Roman"/>
          <w:sz w:val="24"/>
          <w:szCs w:val="24"/>
        </w:rPr>
        <w:t>Packages/Libraries utilized for gene expression analysis</w:t>
      </w:r>
      <w:r w:rsidRPr="00A22E9D">
        <w:rPr>
          <w:rFonts w:ascii="Times New Roman" w:hAnsi="Times New Roman" w:cs="Times New Roman"/>
          <w:sz w:val="24"/>
          <w:szCs w:val="24"/>
        </w:rPr>
        <w:tab/>
      </w:r>
      <w:r w:rsidRPr="00A22E9D">
        <w:rPr>
          <w:rFonts w:ascii="Times New Roman" w:hAnsi="Times New Roman" w:cs="Times New Roman"/>
          <w:sz w:val="24"/>
          <w:szCs w:val="24"/>
        </w:rPr>
        <w:tab/>
      </w:r>
      <w:r w:rsidRPr="00A22E9D">
        <w:rPr>
          <w:rFonts w:ascii="Times New Roman" w:hAnsi="Times New Roman" w:cs="Times New Roman"/>
          <w:sz w:val="24"/>
          <w:szCs w:val="24"/>
        </w:rPr>
        <w:tab/>
      </w:r>
      <w:r w:rsidR="008E021F" w:rsidRPr="00A22E9D">
        <w:rPr>
          <w:rFonts w:ascii="Times New Roman" w:hAnsi="Times New Roman" w:cs="Times New Roman"/>
          <w:sz w:val="24"/>
          <w:szCs w:val="24"/>
        </w:rPr>
        <w:t xml:space="preserve">            </w:t>
      </w:r>
      <w:r w:rsidR="006C06F3" w:rsidRPr="00A22E9D">
        <w:rPr>
          <w:rFonts w:ascii="Times New Roman" w:hAnsi="Times New Roman" w:cs="Times New Roman"/>
          <w:sz w:val="24"/>
          <w:szCs w:val="24"/>
        </w:rPr>
        <w:t xml:space="preserve">  </w:t>
      </w:r>
      <w:r w:rsidR="0026483F">
        <w:rPr>
          <w:rFonts w:ascii="Times New Roman" w:hAnsi="Times New Roman" w:cs="Times New Roman"/>
          <w:sz w:val="24"/>
          <w:szCs w:val="24"/>
        </w:rPr>
        <w:t>3</w:t>
      </w:r>
      <w:r w:rsidR="00555FF8">
        <w:rPr>
          <w:rFonts w:ascii="Times New Roman" w:hAnsi="Times New Roman" w:cs="Times New Roman"/>
          <w:sz w:val="24"/>
          <w:szCs w:val="24"/>
        </w:rPr>
        <w:t>9</w:t>
      </w:r>
    </w:p>
    <w:p w14:paraId="2B4D7019" w14:textId="4C043695" w:rsidR="006C06F3" w:rsidRPr="00A22E9D" w:rsidRDefault="0087610E" w:rsidP="00CA4B8F">
      <w:pPr>
        <w:tabs>
          <w:tab w:val="left" w:pos="720"/>
        </w:tabs>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Table </w:t>
      </w:r>
      <w:r w:rsidR="00646AFC" w:rsidRPr="00A22E9D">
        <w:rPr>
          <w:rFonts w:ascii="Times New Roman" w:hAnsi="Times New Roman" w:cs="Times New Roman"/>
          <w:sz w:val="24"/>
          <w:szCs w:val="24"/>
        </w:rPr>
        <w:t>4</w:t>
      </w:r>
      <w:r w:rsidRPr="00A22E9D">
        <w:rPr>
          <w:rFonts w:ascii="Times New Roman" w:hAnsi="Times New Roman" w:cs="Times New Roman"/>
          <w:sz w:val="24"/>
          <w:szCs w:val="24"/>
        </w:rPr>
        <w:t>.1:</w:t>
      </w:r>
      <w:r w:rsidR="006C06F3" w:rsidRPr="00A22E9D">
        <w:rPr>
          <w:rFonts w:ascii="Times New Roman" w:hAnsi="Times New Roman" w:cs="Times New Roman"/>
        </w:rPr>
        <w:t xml:space="preserve"> </w:t>
      </w:r>
      <w:r w:rsidR="006C06F3" w:rsidRPr="00A22E9D">
        <w:rPr>
          <w:rFonts w:ascii="Times New Roman" w:hAnsi="Times New Roman" w:cs="Times New Roman"/>
          <w:sz w:val="24"/>
          <w:szCs w:val="24"/>
        </w:rPr>
        <w:t>Chemo-suppression Data</w:t>
      </w:r>
      <w:r w:rsidRPr="00A22E9D">
        <w:rPr>
          <w:rFonts w:ascii="Times New Roman" w:hAnsi="Times New Roman" w:cs="Times New Roman"/>
          <w:sz w:val="24"/>
          <w:szCs w:val="24"/>
        </w:rPr>
        <w:t xml:space="preserve">                   </w:t>
      </w:r>
      <w:r w:rsidR="006C06F3" w:rsidRPr="00A22E9D">
        <w:rPr>
          <w:rFonts w:ascii="Times New Roman" w:hAnsi="Times New Roman" w:cs="Times New Roman"/>
          <w:sz w:val="24"/>
          <w:szCs w:val="24"/>
        </w:rPr>
        <w:t xml:space="preserve">                                                                             </w:t>
      </w:r>
      <w:r w:rsidR="0026483F">
        <w:rPr>
          <w:rFonts w:ascii="Times New Roman" w:hAnsi="Times New Roman" w:cs="Times New Roman"/>
          <w:sz w:val="24"/>
          <w:szCs w:val="24"/>
        </w:rPr>
        <w:t>41</w:t>
      </w:r>
    </w:p>
    <w:p w14:paraId="194B7086" w14:textId="4215CE19" w:rsidR="00985FED" w:rsidRPr="00A22E9D" w:rsidRDefault="0087610E" w:rsidP="00CA4B8F">
      <w:pPr>
        <w:tabs>
          <w:tab w:val="left" w:pos="720"/>
        </w:tabs>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Table 4.</w:t>
      </w:r>
      <w:r w:rsidR="00646AFC" w:rsidRPr="00A22E9D">
        <w:rPr>
          <w:rFonts w:ascii="Times New Roman" w:hAnsi="Times New Roman" w:cs="Times New Roman"/>
          <w:sz w:val="24"/>
          <w:szCs w:val="24"/>
        </w:rPr>
        <w:t>2</w:t>
      </w:r>
      <w:r w:rsidRPr="00A22E9D">
        <w:rPr>
          <w:rFonts w:ascii="Times New Roman" w:hAnsi="Times New Roman" w:cs="Times New Roman"/>
          <w:sz w:val="24"/>
          <w:szCs w:val="24"/>
        </w:rPr>
        <w:t>:</w:t>
      </w:r>
      <w:r w:rsidR="006C06F3" w:rsidRPr="00A22E9D">
        <w:rPr>
          <w:rFonts w:ascii="Times New Roman" w:hAnsi="Times New Roman" w:cs="Times New Roman"/>
          <w:sz w:val="24"/>
          <w:szCs w:val="24"/>
        </w:rPr>
        <w:t xml:space="preserve"> Animal Survival Rate</w:t>
      </w:r>
      <w:r w:rsidRPr="00A22E9D">
        <w:rPr>
          <w:rFonts w:ascii="Times New Roman" w:hAnsi="Times New Roman" w:cs="Times New Roman"/>
          <w:sz w:val="24"/>
          <w:szCs w:val="24"/>
        </w:rPr>
        <w:tab/>
        <w:t xml:space="preserve">                       </w:t>
      </w:r>
      <w:r w:rsidR="006C06F3" w:rsidRPr="00A22E9D">
        <w:rPr>
          <w:rFonts w:ascii="Times New Roman" w:hAnsi="Times New Roman" w:cs="Times New Roman"/>
          <w:sz w:val="24"/>
          <w:szCs w:val="24"/>
        </w:rPr>
        <w:t xml:space="preserve">                                                               </w:t>
      </w:r>
      <w:r w:rsidR="0026483F">
        <w:rPr>
          <w:rFonts w:ascii="Times New Roman" w:hAnsi="Times New Roman" w:cs="Times New Roman"/>
          <w:sz w:val="24"/>
          <w:szCs w:val="24"/>
        </w:rPr>
        <w:t>43</w:t>
      </w:r>
    </w:p>
    <w:p w14:paraId="38803C8A" w14:textId="1E91015D" w:rsidR="00646AFC" w:rsidRPr="00A22E9D" w:rsidRDefault="00646AFC"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Table 4.3:</w:t>
      </w:r>
      <w:r w:rsidR="005B4EB6" w:rsidRPr="00A22E9D">
        <w:rPr>
          <w:rFonts w:ascii="Times New Roman" w:hAnsi="Times New Roman" w:cs="Times New Roman"/>
          <w:sz w:val="24"/>
          <w:szCs w:val="24"/>
        </w:rPr>
        <w:t xml:space="preserve"> </w:t>
      </w:r>
      <w:r w:rsidR="005B4EB6" w:rsidRPr="00A22E9D">
        <w:rPr>
          <w:rFonts w:ascii="Times New Roman" w:hAnsi="Times New Roman" w:cs="Times New Roman"/>
          <w:bCs/>
          <w:sz w:val="24"/>
          <w:szCs w:val="24"/>
        </w:rPr>
        <w:t>Suppressive Activity of AHI and survival time of </w:t>
      </w:r>
      <w:r w:rsidR="005B4EB6" w:rsidRPr="00A22E9D">
        <w:rPr>
          <w:rFonts w:ascii="Times New Roman" w:hAnsi="Times New Roman" w:cs="Times New Roman"/>
          <w:bCs/>
          <w:i/>
          <w:iCs/>
          <w:sz w:val="24"/>
          <w:szCs w:val="24"/>
        </w:rPr>
        <w:t xml:space="preserve">P. </w:t>
      </w:r>
      <w:proofErr w:type="spellStart"/>
      <w:r w:rsidR="005B4EB6" w:rsidRPr="00A22E9D">
        <w:rPr>
          <w:rFonts w:ascii="Times New Roman" w:hAnsi="Times New Roman" w:cs="Times New Roman"/>
          <w:bCs/>
          <w:i/>
          <w:iCs/>
          <w:sz w:val="24"/>
          <w:szCs w:val="24"/>
        </w:rPr>
        <w:t>berghei</w:t>
      </w:r>
      <w:proofErr w:type="spellEnd"/>
      <w:r w:rsidR="005B4EB6" w:rsidRPr="00A22E9D">
        <w:rPr>
          <w:rFonts w:ascii="Times New Roman" w:hAnsi="Times New Roman" w:cs="Times New Roman"/>
          <w:bCs/>
          <w:sz w:val="24"/>
          <w:szCs w:val="24"/>
        </w:rPr>
        <w:t> infected mice in the 4-day suppressive test.</w:t>
      </w:r>
      <w:r w:rsidRPr="00A22E9D">
        <w:rPr>
          <w:rFonts w:ascii="Times New Roman" w:hAnsi="Times New Roman" w:cs="Times New Roman"/>
          <w:sz w:val="24"/>
          <w:szCs w:val="24"/>
        </w:rPr>
        <w:tab/>
        <w:t xml:space="preserve">                       </w:t>
      </w:r>
      <w:r w:rsidR="005B4EB6" w:rsidRPr="00A22E9D">
        <w:rPr>
          <w:rFonts w:ascii="Times New Roman" w:hAnsi="Times New Roman" w:cs="Times New Roman"/>
          <w:sz w:val="24"/>
          <w:szCs w:val="24"/>
        </w:rPr>
        <w:t xml:space="preserve">                                                                                       </w:t>
      </w:r>
      <w:r w:rsidR="0026483F">
        <w:rPr>
          <w:rFonts w:ascii="Times New Roman" w:hAnsi="Times New Roman" w:cs="Times New Roman"/>
          <w:sz w:val="24"/>
          <w:szCs w:val="24"/>
        </w:rPr>
        <w:t>43</w:t>
      </w:r>
    </w:p>
    <w:p w14:paraId="03DCDD55" w14:textId="2762418A" w:rsidR="0087610E" w:rsidRPr="00A22E9D" w:rsidRDefault="00646AFC"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Table 4.4:</w:t>
      </w:r>
      <w:r w:rsidR="005B4EB6" w:rsidRPr="00A22E9D">
        <w:rPr>
          <w:rFonts w:ascii="Times New Roman" w:hAnsi="Times New Roman" w:cs="Times New Roman"/>
          <w:sz w:val="24"/>
          <w:szCs w:val="24"/>
        </w:rPr>
        <w:t xml:space="preserve"> Table showing the binding affinities and interacting amino acids of compounds (test and control) versus the target protein (FANCJ-like Helicase)</w:t>
      </w:r>
      <w:r w:rsidRPr="00A22E9D">
        <w:rPr>
          <w:rFonts w:ascii="Times New Roman" w:hAnsi="Times New Roman" w:cs="Times New Roman"/>
          <w:sz w:val="24"/>
          <w:szCs w:val="24"/>
        </w:rPr>
        <w:tab/>
        <w:t xml:space="preserve">                       </w:t>
      </w:r>
      <w:r w:rsidR="005B4EB6" w:rsidRPr="00A22E9D">
        <w:rPr>
          <w:rFonts w:ascii="Times New Roman" w:hAnsi="Times New Roman" w:cs="Times New Roman"/>
          <w:sz w:val="24"/>
          <w:szCs w:val="24"/>
        </w:rPr>
        <w:t xml:space="preserve">               </w:t>
      </w:r>
      <w:r w:rsidR="0026483F">
        <w:rPr>
          <w:rFonts w:ascii="Times New Roman" w:hAnsi="Times New Roman" w:cs="Times New Roman"/>
          <w:sz w:val="24"/>
          <w:szCs w:val="24"/>
        </w:rPr>
        <w:t>52</w:t>
      </w:r>
    </w:p>
    <w:p w14:paraId="7780D601" w14:textId="77777777" w:rsidR="0087610E" w:rsidRPr="00A22E9D" w:rsidRDefault="0087610E" w:rsidP="00CA4B8F">
      <w:pPr>
        <w:spacing w:line="480" w:lineRule="auto"/>
        <w:rPr>
          <w:rFonts w:ascii="Times New Roman" w:eastAsiaTheme="majorEastAsia" w:hAnsi="Times New Roman" w:cs="Times New Roman"/>
          <w:b/>
          <w:sz w:val="28"/>
          <w:szCs w:val="32"/>
          <w:lang w:val="en-US"/>
        </w:rPr>
      </w:pPr>
      <w:r w:rsidRPr="00A22E9D">
        <w:rPr>
          <w:rFonts w:ascii="Times New Roman" w:hAnsi="Times New Roman" w:cs="Times New Roman"/>
        </w:rPr>
        <w:br w:type="page"/>
      </w:r>
    </w:p>
    <w:p w14:paraId="4828D7E9" w14:textId="7FD708FD" w:rsidR="00985FED" w:rsidRPr="00A22E9D" w:rsidRDefault="00985FED" w:rsidP="00CA4B8F">
      <w:pPr>
        <w:pStyle w:val="Heading1"/>
        <w:spacing w:line="480" w:lineRule="auto"/>
        <w:rPr>
          <w:rFonts w:cs="Times New Roman"/>
        </w:rPr>
      </w:pPr>
      <w:bookmarkStart w:id="6" w:name="_Toc145500365"/>
      <w:r w:rsidRPr="00A22E9D">
        <w:rPr>
          <w:rFonts w:cs="Times New Roman"/>
        </w:rPr>
        <w:lastRenderedPageBreak/>
        <w:t>ABSTRACT</w:t>
      </w:r>
      <w:bookmarkEnd w:id="6"/>
    </w:p>
    <w:p w14:paraId="09137326" w14:textId="7A3E1502" w:rsidR="005A55A9" w:rsidRPr="00A22E9D" w:rsidRDefault="005A55A9" w:rsidP="00E43608">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Malaria remains a significant global health burden, necessitating the development of novel antimalarial agents. Arylidene </w:t>
      </w:r>
      <w:proofErr w:type="spellStart"/>
      <w:r w:rsidRPr="00A22E9D">
        <w:rPr>
          <w:rFonts w:ascii="Times New Roman" w:hAnsi="Times New Roman" w:cs="Times New Roman"/>
          <w:sz w:val="24"/>
          <w:szCs w:val="24"/>
        </w:rPr>
        <w:t>hydrazinyl</w:t>
      </w:r>
      <w:proofErr w:type="spellEnd"/>
      <w:r w:rsidRPr="00A22E9D">
        <w:rPr>
          <w:rFonts w:ascii="Times New Roman" w:hAnsi="Times New Roman" w:cs="Times New Roman"/>
          <w:sz w:val="24"/>
          <w:szCs w:val="24"/>
        </w:rPr>
        <w:t xml:space="preserve"> </w:t>
      </w:r>
      <w:proofErr w:type="spellStart"/>
      <w:r w:rsidRPr="00A22E9D">
        <w:rPr>
          <w:rFonts w:ascii="Times New Roman" w:hAnsi="Times New Roman" w:cs="Times New Roman"/>
          <w:sz w:val="24"/>
          <w:szCs w:val="24"/>
        </w:rPr>
        <w:t>indenoimidazoles</w:t>
      </w:r>
      <w:proofErr w:type="spellEnd"/>
      <w:r w:rsidRPr="00A22E9D">
        <w:rPr>
          <w:rFonts w:ascii="Times New Roman" w:hAnsi="Times New Roman" w:cs="Times New Roman"/>
          <w:sz w:val="24"/>
          <w:szCs w:val="24"/>
        </w:rPr>
        <w:t xml:space="preserve"> (AHIs) have shown promising antimalarial activity in-vitro, however, their effects on </w:t>
      </w:r>
      <w:r w:rsidRPr="00E43608">
        <w:rPr>
          <w:rFonts w:ascii="Times New Roman" w:hAnsi="Times New Roman" w:cs="Times New Roman"/>
          <w:i/>
          <w:iCs/>
          <w:sz w:val="24"/>
          <w:szCs w:val="24"/>
        </w:rPr>
        <w:t xml:space="preserve">Plasmodium </w:t>
      </w:r>
      <w:proofErr w:type="spellStart"/>
      <w:r w:rsidRPr="00E43608">
        <w:rPr>
          <w:rFonts w:ascii="Times New Roman" w:hAnsi="Times New Roman" w:cs="Times New Roman"/>
          <w:i/>
          <w:iCs/>
          <w:sz w:val="24"/>
          <w:szCs w:val="24"/>
        </w:rPr>
        <w:t>berghei</w:t>
      </w:r>
      <w:proofErr w:type="spellEnd"/>
      <w:r w:rsidRPr="00A22E9D">
        <w:rPr>
          <w:rFonts w:ascii="Times New Roman" w:hAnsi="Times New Roman" w:cs="Times New Roman"/>
          <w:sz w:val="24"/>
          <w:szCs w:val="24"/>
        </w:rPr>
        <w:t xml:space="preserve">-infected red blood cells (RBCs) and their potential in-vivo efficacy have not been extensively investigated. In the in-vivo arm of the study, </w:t>
      </w:r>
      <w:r w:rsidRPr="00E43608">
        <w:rPr>
          <w:rFonts w:ascii="Times New Roman" w:hAnsi="Times New Roman" w:cs="Times New Roman"/>
          <w:i/>
          <w:iCs/>
          <w:sz w:val="24"/>
          <w:szCs w:val="24"/>
        </w:rPr>
        <w:t xml:space="preserve">Plasmodium </w:t>
      </w:r>
      <w:proofErr w:type="spellStart"/>
      <w:r w:rsidRPr="00E43608">
        <w:rPr>
          <w:rFonts w:ascii="Times New Roman" w:hAnsi="Times New Roman" w:cs="Times New Roman"/>
          <w:i/>
          <w:iCs/>
          <w:sz w:val="24"/>
          <w:szCs w:val="24"/>
        </w:rPr>
        <w:t>berghei</w:t>
      </w:r>
      <w:proofErr w:type="spellEnd"/>
      <w:r w:rsidRPr="00A22E9D">
        <w:rPr>
          <w:rFonts w:ascii="Times New Roman" w:hAnsi="Times New Roman" w:cs="Times New Roman"/>
          <w:sz w:val="24"/>
          <w:szCs w:val="24"/>
        </w:rPr>
        <w:t xml:space="preserve">-infected mice were treated with a synthesised AHI compound, and the parasitaemia levels and survival rates in the host were monitored. This study performed the analysis of gene expression dataset GSE198587 available on the Gene expression Omnibus (GEO). Using molecular docking with the software </w:t>
      </w:r>
      <w:proofErr w:type="spellStart"/>
      <w:r w:rsidRPr="00A22E9D">
        <w:rPr>
          <w:rFonts w:ascii="Times New Roman" w:hAnsi="Times New Roman" w:cs="Times New Roman"/>
          <w:sz w:val="24"/>
          <w:szCs w:val="24"/>
        </w:rPr>
        <w:t>iGEMDOCK</w:t>
      </w:r>
      <w:proofErr w:type="spellEnd"/>
      <w:r w:rsidRPr="00A22E9D">
        <w:rPr>
          <w:rFonts w:ascii="Times New Roman" w:hAnsi="Times New Roman" w:cs="Times New Roman"/>
          <w:sz w:val="24"/>
          <w:szCs w:val="24"/>
        </w:rPr>
        <w:t>, the binding modes and affinity of the test compound within the active site of the selected Plasmodium protein (FANCJ-like Helicase) was explored to gain insights into the interactions between the AHI test compound and molecular targets within Plasmodium-infected RBCs. ADMET Studies were also carried out on the test compound.</w:t>
      </w:r>
      <w:r w:rsidR="00E43608">
        <w:rPr>
          <w:rFonts w:ascii="Times New Roman" w:hAnsi="Times New Roman" w:cs="Times New Roman"/>
          <w:sz w:val="24"/>
          <w:szCs w:val="24"/>
        </w:rPr>
        <w:t xml:space="preserve"> </w:t>
      </w:r>
      <w:r w:rsidRPr="00A22E9D">
        <w:rPr>
          <w:rFonts w:ascii="Times New Roman" w:hAnsi="Times New Roman" w:cs="Times New Roman"/>
          <w:sz w:val="24"/>
          <w:szCs w:val="24"/>
        </w:rPr>
        <w:t xml:space="preserve">The results demonstrated a significant reduction in parasitaemia levels and an increase in the survival rates of mice treated with the test compound compared to the control group especially for the mice group treated with 25mg/kg. Results from the molecular docking also revealed that the compound exhibited strong interactions with the key protein ‘FANCJ-like Helicase’ involved </w:t>
      </w:r>
      <w:r w:rsidR="00DC5C5D">
        <w:rPr>
          <w:rFonts w:ascii="Times New Roman" w:hAnsi="Times New Roman" w:cs="Times New Roman"/>
          <w:sz w:val="24"/>
          <w:szCs w:val="24"/>
        </w:rPr>
        <w:t xml:space="preserve">in </w:t>
      </w:r>
      <w:r w:rsidRPr="00A22E9D">
        <w:rPr>
          <w:rFonts w:ascii="Times New Roman" w:hAnsi="Times New Roman" w:cs="Times New Roman"/>
          <w:sz w:val="24"/>
          <w:szCs w:val="24"/>
        </w:rPr>
        <w:t xml:space="preserve">replication of the parasite's genome, DNA, nucleotide and ATP binding and also in the development of the parasite's blood stages. These findings suggest the potential of this AHI test compound as effective antimalarial agents both in-vivo and in-silico. The combination of in-vivo and in-silico approaches in this study provides comprehensive insights into the effects of AHIs on </w:t>
      </w:r>
      <w:r w:rsidRPr="00E43608">
        <w:rPr>
          <w:rFonts w:ascii="Times New Roman" w:hAnsi="Times New Roman" w:cs="Times New Roman"/>
          <w:i/>
          <w:iCs/>
          <w:sz w:val="24"/>
          <w:szCs w:val="24"/>
        </w:rPr>
        <w:t xml:space="preserve">Plasmodium </w:t>
      </w:r>
      <w:proofErr w:type="spellStart"/>
      <w:r w:rsidRPr="00E43608">
        <w:rPr>
          <w:rFonts w:ascii="Times New Roman" w:hAnsi="Times New Roman" w:cs="Times New Roman"/>
          <w:i/>
          <w:iCs/>
          <w:sz w:val="24"/>
          <w:szCs w:val="24"/>
        </w:rPr>
        <w:t>berghei</w:t>
      </w:r>
      <w:proofErr w:type="spellEnd"/>
      <w:r w:rsidRPr="00A22E9D">
        <w:rPr>
          <w:rFonts w:ascii="Times New Roman" w:hAnsi="Times New Roman" w:cs="Times New Roman"/>
          <w:sz w:val="24"/>
          <w:szCs w:val="24"/>
        </w:rPr>
        <w:t>-infected RBCs.</w:t>
      </w:r>
    </w:p>
    <w:p w14:paraId="32AAE550" w14:textId="580B64DA" w:rsidR="005A55A9" w:rsidRPr="00A22E9D" w:rsidRDefault="005A55A9" w:rsidP="00CA4B8F">
      <w:pPr>
        <w:spacing w:line="480" w:lineRule="auto"/>
        <w:ind w:firstLine="720"/>
        <w:jc w:val="both"/>
        <w:rPr>
          <w:rFonts w:ascii="Times New Roman" w:hAnsi="Times New Roman" w:cs="Times New Roman"/>
          <w:sz w:val="24"/>
          <w:szCs w:val="24"/>
        </w:rPr>
        <w:sectPr w:rsidR="005A55A9" w:rsidRPr="00A22E9D" w:rsidSect="006C58B0">
          <w:footerReference w:type="default" r:id="rId8"/>
          <w:pgSz w:w="11906" w:h="16838"/>
          <w:pgMar w:top="1440" w:right="1440" w:bottom="1440" w:left="1440" w:header="708" w:footer="708" w:gutter="0"/>
          <w:pgNumType w:fmt="lowerRoman" w:start="1"/>
          <w:cols w:space="708"/>
          <w:docGrid w:linePitch="360"/>
        </w:sectPr>
      </w:pPr>
    </w:p>
    <w:p w14:paraId="67DFBB0F" w14:textId="75259F34" w:rsidR="00AE1E16" w:rsidRPr="00A22E9D" w:rsidRDefault="00AE1E16" w:rsidP="00CA4B8F">
      <w:pPr>
        <w:pStyle w:val="Heading1"/>
        <w:spacing w:line="480" w:lineRule="auto"/>
        <w:rPr>
          <w:rFonts w:cs="Times New Roman"/>
        </w:rPr>
      </w:pPr>
      <w:bookmarkStart w:id="7" w:name="_Toc145500366"/>
      <w:r w:rsidRPr="00A22E9D">
        <w:rPr>
          <w:rFonts w:cs="Times New Roman"/>
        </w:rPr>
        <w:lastRenderedPageBreak/>
        <w:t>CHAPTER ONE</w:t>
      </w:r>
      <w:bookmarkEnd w:id="7"/>
    </w:p>
    <w:p w14:paraId="65950778" w14:textId="4027DC54" w:rsidR="00AE1E16" w:rsidRPr="00A22E9D" w:rsidRDefault="00AE1E16" w:rsidP="00CA4B8F">
      <w:pPr>
        <w:pStyle w:val="Heading2"/>
        <w:spacing w:line="480" w:lineRule="auto"/>
        <w:rPr>
          <w:rFonts w:cs="Times New Roman"/>
        </w:rPr>
      </w:pPr>
      <w:bookmarkStart w:id="8" w:name="_Toc145500367"/>
      <w:r w:rsidRPr="00A22E9D">
        <w:rPr>
          <w:rFonts w:cs="Times New Roman"/>
        </w:rPr>
        <w:t>INTRODUCTION</w:t>
      </w:r>
      <w:bookmarkEnd w:id="8"/>
    </w:p>
    <w:p w14:paraId="543C5682" w14:textId="400244C2" w:rsidR="00AE1E16" w:rsidRPr="00A22E9D" w:rsidRDefault="00061B50" w:rsidP="00CA4B8F">
      <w:pPr>
        <w:pStyle w:val="Heading3"/>
        <w:spacing w:line="480" w:lineRule="auto"/>
        <w:rPr>
          <w:rFonts w:cs="Times New Roman"/>
        </w:rPr>
      </w:pPr>
      <w:bookmarkStart w:id="9" w:name="_Toc145500368"/>
      <w:r w:rsidRPr="00A22E9D">
        <w:rPr>
          <w:rFonts w:cs="Times New Roman"/>
        </w:rPr>
        <w:t xml:space="preserve">1.1 </w:t>
      </w:r>
      <w:r w:rsidR="00AE1E16" w:rsidRPr="00A22E9D">
        <w:rPr>
          <w:rFonts w:cs="Times New Roman"/>
        </w:rPr>
        <w:t>Background of Study</w:t>
      </w:r>
      <w:bookmarkEnd w:id="9"/>
    </w:p>
    <w:p w14:paraId="34FDAECC" w14:textId="5742CA4C" w:rsidR="00E47A10" w:rsidRPr="00A22E9D" w:rsidRDefault="004175C1"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Malaria is prevalent in about 100 countries, affecting 2400 million people, nearly half of whom live in Africa south of the Sahara. More than 90% of malaria deaths occur in Africa, particularly among children under the age of five. Plasmodium, a parasite that infects humans through the bite of infected Anopheles mosquitos, is the cause of malaria. symptoms of malaria can include fever, chills, headache, muscle pains, and </w:t>
      </w:r>
      <w:r w:rsidR="0069764C" w:rsidRPr="00A22E9D">
        <w:rPr>
          <w:rFonts w:ascii="Times New Roman" w:hAnsi="Times New Roman" w:cs="Times New Roman"/>
          <w:sz w:val="24"/>
          <w:szCs w:val="24"/>
        </w:rPr>
        <w:t>weariness</w:t>
      </w:r>
      <w:r w:rsidR="0069764C"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{"citationID":"6mCJi7YD","properties":{"formattedCitation":"(Snow &amp; Omumbo, 2006)","plainCitation":"(Snow &amp; Omumbo, 2006)","noteIndex":0},"citationItems":[{"id":388,"uris":["http://zotero.org/users/local/BeK2zaGK/items/95J7H84U"],"itemData":{"id":388,"type":"chapter","abstract":"This chapter describes the determinants and distribution of P. falciparum infection risk in Sub-Saharan Africa and uses populations at risk to estimate mortality from malaria. It also considers the evidence for consequential and indirect mortality and describes P. falciparum as a risk factor for rather than a cause of pediatric mortality. The chapter concludes with a description of the relationship between poverty and malaria and recent trends in malaria mortality in Sub-Saharan Africa to provide some context for current international efforts to halve the malaria burden by the year 2010 (Nabarro and Taylor 1998).","container-title":"Disease and Mortality in Sub-Saharan Africa. 2nd edition","language":"en","note":"PMID: 21290647","publisher":"The International Bank for Reconstruction and Development / The World Bank","source":"www.ncbi.nlm.nih.gov","title":"Malaria","URL":"https://www.ncbi.nlm.nih.gov/books/NBK2286/","author":[{"family":"Snow","given":"Robert W."},{"family":"Omumbo","given":"Judy A."}],"accessed":{"date-parts":[["2023",5,16]]},"issued":{"date-parts":[["2006"]]}}}],"schema":"https://github.com/citation-style-language/schema/raw/master/csl-citation.json"} </w:instrText>
      </w:r>
      <w:r w:rsidR="0069764C"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(Snow &amp; Omumbo, 2006)</w:t>
      </w:r>
      <w:r w:rsidR="0069764C"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Malaria has substantial economic and social consequences in addition to causing significant morbidity and mortality. </w:t>
      </w:r>
      <w:r w:rsidR="0069764C" w:rsidRPr="00A22E9D">
        <w:rPr>
          <w:rFonts w:ascii="Times New Roman" w:hAnsi="Times New Roman" w:cs="Times New Roman"/>
          <w:sz w:val="24"/>
          <w:szCs w:val="24"/>
        </w:rPr>
        <w:t xml:space="preserve">More than a century of global effort and research directed at improving malaria prevention, diagnosis, and management has resulted in a lower disease and death burden </w:t>
      </w:r>
      <w:r w:rsidR="0069764C"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{"citationID":"BRroYqT4","properties":{"formattedCitation":"(Talapko et al., 2019)","plainCitation":"(Talapko et al., 2019)","noteIndex":0},"citationItems":[{"id":5,"uris":["http://zotero.org/users/local/BeK2zaGK/items/DH8EQEA4"],"itemData":{"id":5,"type":"article-journal","abstract":"Malaria is a severe disease caused by parasites of the genus Plasmodium, which is transmitted to humans by a bite of an infected female mosquito of the species Anopheles. Malaria remains the leading cause of mortality around the world, and early diagnosis and fast-acting treatment prevent unwanted outcomes. It is the most common disease in Africa and some countries of Asia, while in the developed world malaria occurs as imported from endemic areas. The sweet sagewort plant was used as early as the second century BC to treat malaria fever in China. Much later, quinine started being used as an antimalaria drug. A global battle against malaria started in 1955, and Croatia declared 1964 to be the year of eradication of malaria. The World Health Organization carries out a malaria control program on a global scale, focusing on local strengthening of primary health care, early diagnosis of the disease, timely treatment, and disease prevention. Globally, the burden of malaria is lower than ten years ago. However, in the last few years, there has been an increase in the number of malaria cases around the world. It is moving towards targets established by the WHO, but that progress has slowed down.","container-title":"Microorganisms","DOI":"10.3390/microorganisms7060179","ISSN":"2076-2607","issue":"6","journalAbbreviation":"Microorganisms","note":"PMID: 31234443\nPMCID: PMC6617065","page":"179","source":"PubMed Central","title":"Malaria: The Past and the Present","title-short":"Malaria","volume":"7","author":[{"family":"Talapko","given":"Jasminka"},{"family":"Škrlec","given":"Ivana"},{"family":"Alebić","given":"Tamara"},{"family":"Jukić","given":"Melita"},{"family":"Včev","given":"Aleksandar"}],"issued":{"date-parts":[["2019",6,21]]}}}],"schema":"https://github.com/citation-style-language/schema/raw/master/csl-citation.json"} </w:instrText>
      </w:r>
      <w:r w:rsidR="0069764C"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(Talapko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2019)</w:t>
      </w:r>
      <w:r w:rsidR="0069764C" w:rsidRPr="00A22E9D">
        <w:rPr>
          <w:rFonts w:ascii="Times New Roman" w:hAnsi="Times New Roman" w:cs="Times New Roman"/>
          <w:sz w:val="24"/>
          <w:szCs w:val="24"/>
        </w:rPr>
        <w:fldChar w:fldCharType="end"/>
      </w:r>
      <w:r w:rsidR="0069764C" w:rsidRPr="00A22E9D">
        <w:rPr>
          <w:rFonts w:ascii="Times New Roman" w:hAnsi="Times New Roman" w:cs="Times New Roman"/>
          <w:sz w:val="24"/>
          <w:szCs w:val="24"/>
        </w:rPr>
        <w:t xml:space="preserve">. Antimalarial medicines are currently the principal therapeutic choices for malaria. The World Health Organization (WHO) advises multiple medication classes for the treatment of malaria, depending on the type of Plasmodium causing the illness and the clinical status of the patient </w:t>
      </w:r>
      <w:r w:rsidR="0069764C"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{"citationID":"tVREPGhP","properties":{"formattedCitation":"(Lara &amp; Tariq, 2022)","plainCitation":"(Lara &amp; Tariq, 2022)","noteIndex":0},"citationItems":[{"id":7,"uris":["http://zotero.org/users/local/BeK2zaGK/items/CHED8TW4"],"itemData":{"id":7,"type":"webpage","title":"Plasmodium Falciparum Malaria - StatPearls - NCBI Bookshelf","URL":"https://www.ncbi.nlm.nih.gov/books/NBK555962/","author":[{"family":"Lara","given":"Zekar"},{"family":"Tariq","given":"Sharman"}],"accessed":{"date-parts":[["2023",2,1]]},"issued":{"date-parts":[["2022",8,8]]}}}],"schema":"https://github.com/citation-style-language/schema/raw/master/csl-citation.json"} </w:instrText>
      </w:r>
      <w:r w:rsidR="0069764C"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(Lara &amp; Tariq, 2022)</w:t>
      </w:r>
      <w:r w:rsidR="0069764C" w:rsidRPr="00A22E9D">
        <w:rPr>
          <w:rFonts w:ascii="Times New Roman" w:hAnsi="Times New Roman" w:cs="Times New Roman"/>
          <w:sz w:val="24"/>
          <w:szCs w:val="24"/>
        </w:rPr>
        <w:fldChar w:fldCharType="end"/>
      </w:r>
      <w:r w:rsidR="0069764C" w:rsidRPr="00A22E9D">
        <w:rPr>
          <w:rFonts w:ascii="Times New Roman" w:hAnsi="Times New Roman" w:cs="Times New Roman"/>
          <w:sz w:val="24"/>
          <w:szCs w:val="24"/>
        </w:rPr>
        <w:t>.</w:t>
      </w:r>
    </w:p>
    <w:p w14:paraId="1E41FD18" w14:textId="06B0014D" w:rsidR="00930E7A" w:rsidRPr="00A22E9D" w:rsidRDefault="00D272C2"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Despite these treatment possibilities, drug resistance is a major issue in malaria treatment. The incidence of </w:t>
      </w:r>
      <w:r w:rsidRPr="00E43608">
        <w:rPr>
          <w:rFonts w:ascii="Times New Roman" w:hAnsi="Times New Roman" w:cs="Times New Roman"/>
          <w:i/>
          <w:iCs/>
          <w:sz w:val="24"/>
          <w:szCs w:val="24"/>
        </w:rPr>
        <w:t>Plasmodium falciparum</w:t>
      </w:r>
      <w:r w:rsidRPr="00A22E9D">
        <w:rPr>
          <w:rFonts w:ascii="Times New Roman" w:hAnsi="Times New Roman" w:cs="Times New Roman"/>
          <w:sz w:val="24"/>
          <w:szCs w:val="24"/>
        </w:rPr>
        <w:t xml:space="preserve"> parasites resistant to artemisinin derivatives, the primary component of the WHO-recommended first-line treatment for </w:t>
      </w:r>
      <w:r w:rsidRPr="0070076F">
        <w:rPr>
          <w:rFonts w:ascii="Times New Roman" w:hAnsi="Times New Roman" w:cs="Times New Roman"/>
          <w:i/>
          <w:iCs/>
          <w:sz w:val="24"/>
          <w:szCs w:val="24"/>
        </w:rPr>
        <w:t>P. falciparum</w:t>
      </w:r>
      <w:r w:rsidRPr="00A22E9D">
        <w:rPr>
          <w:rFonts w:ascii="Times New Roman" w:hAnsi="Times New Roman" w:cs="Times New Roman"/>
          <w:sz w:val="24"/>
          <w:szCs w:val="24"/>
        </w:rPr>
        <w:t xml:space="preserve"> malaria, has increased in recent years </w:t>
      </w:r>
      <w:r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{"citationID":"5kgUPxi6","properties":{"formattedCitation":"(Leann et al., 2016)","plainCitation":"(Leann et al., 2016)","noteIndex":0},"citationItems":[{"id":12,"uris":["http://zotero.org/users/local/BeK2zaGK/items/8BV6SZWG"],"itemData":{"id":12,"type":"webpage","title":"Artemisinin Action and Resistance in Plasmodium falciparum: Trends in Parasitology","URL":"https://www.cell.com/trends/parasitology/fulltext/S1471-4922(16)30073-3?_returnURL=https%3A%2F%2Flinkinghub.elsevier.com%2Fretrieve%2Fpii%2FS1471492216300733%3Fshowall%3Dtrue","author":[{"family":"Leann","given":"Tilley"},{"family":"Judith","given":"Straimer"},{"family":"Nina F","given":"Gnadig"},{"family":"Stuart A","given":"Ralph"},{"family":"David A","given":"Fidock"}],"accessed":{"date-parts":[["2023",2,1]]},"issued":{"date-parts":[["2016",6,8]]}}}],"schema":"https://github.com/citation-style-language/schema/raw/master/csl-citation.json"} </w:instrText>
      </w:r>
      <w:r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(Leann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2016)</w:t>
      </w:r>
      <w:r w:rsidRPr="00A22E9D">
        <w:rPr>
          <w:rFonts w:ascii="Times New Roman" w:hAnsi="Times New Roman" w:cs="Times New Roman"/>
          <w:sz w:val="24"/>
          <w:szCs w:val="24"/>
        </w:rPr>
        <w:fldChar w:fldCharType="end"/>
      </w:r>
      <w:r w:rsidRPr="00A22E9D">
        <w:rPr>
          <w:rFonts w:ascii="Times New Roman" w:hAnsi="Times New Roman" w:cs="Times New Roman"/>
          <w:sz w:val="24"/>
          <w:szCs w:val="24"/>
        </w:rPr>
        <w:t>. As a result, novel antimalarial drugs that are effective against drug-resistant forms of the parasite, have a favourable safety profile, and are affordable and accessible to people living in malaria-endemic areas are urgently needed. Because of its ability to target specific enzymes in the parasite that causes malaria, arylidenes have been investigated as potential anti-malarial medicines. The malaria parasite relies on a number of metabolic processes not seen in human cells, making them prospective therapeutic targets</w:t>
      </w:r>
      <w:r w:rsidR="00DC0896" w:rsidRPr="00A22E9D">
        <w:rPr>
          <w:rFonts w:ascii="Times New Roman" w:hAnsi="Times New Roman" w:cs="Times New Roman"/>
          <w:sz w:val="24"/>
          <w:szCs w:val="24"/>
        </w:rPr>
        <w:t xml:space="preserve"> </w:t>
      </w:r>
      <w:r w:rsidR="00DC0896" w:rsidRPr="00A22E9D">
        <w:rPr>
          <w:rFonts w:ascii="Times New Roman" w:hAnsi="Times New Roman" w:cs="Times New Roman"/>
          <w:sz w:val="24"/>
          <w:szCs w:val="24"/>
        </w:rPr>
        <w:lastRenderedPageBreak/>
        <w:fldChar w:fldCharType="begin"/>
      </w:r>
      <w:r w:rsidR="00B94962" w:rsidRPr="00A22E9D">
        <w:rPr>
          <w:rFonts w:ascii="Times New Roman" w:hAnsi="Times New Roman" w:cs="Times New Roman"/>
          <w:sz w:val="24"/>
          <w:szCs w:val="24"/>
        </w:rPr>
        <w:instrText xml:space="preserve"> ADDIN ZOTERO_ITEM CSL_CITATION {"citationID":"llPufNC8","properties":{"formattedCitation":"(Cobbold et al., 2021)","plainCitation":"(Cobbold et al., 2021)","noteIndex":0},"citationItems":[{"id":416,"uris":["http://zotero.org/users/local/BeK2zaGK/items/EUM8XSBA"],"itemData":{"id":416,"type":"article-journal","abstract":"The malaria parasite, Plasmodium\nfalciparum, proliferates rapidly in human erythrocytes by actively scavenging multiple carbon sources and essential nutrients from its host cell. However, a global overview of the metabolic capacity of intraerythrocytic stages is missing. Using multiplex 13C‐labelling coupled with untargeted mass spectrometry and unsupervised isotopologue grouping, we have generated a draft metabolome of P.\nfalciparum and its host erythrocyte consisting of 911 and 577 metabolites, respectively, corresponding to 41% of metabolites and over 70% of the metabolic reaction predicted from the parasite genome. An additional 89 metabolites and 92 reactions were identified that were not predicted from genomic reconstructions, with the largest group being associated with metabolite damage‐repair systems. Validation of the draft metabolome revealed four previously uncharacterised enzymes which impact isoprenoid biosynthesis, lipid homeostasis and mitochondrial metabolism and are necessary for parasite development and proliferation. This study defines the metabolic fate of multiple carbon sources in P.\nfalciparum, and highlights the activity of metabolite repair pathways in these rapidly growing parasite stages, opening new avenues for drug discovery., Multiplex stable‐isotope labelling defines the observable metabolome of red blood cell stages of the malaria parasite Plasmodium\nfalciparum and indicates potential roles for metabolic enzymes of unknown function.","container-title":"Molecular Systems Biology","DOI":"10.15252/msb.202010023","ISSN":"1744-4292","issue":"4","journalAbbreviation":"Mol Syst Biol","note":"PMID: 33821563\nPMCID: PMC8022201","page":"e10023","source":"PubMed Central","title":"Non‐canonical metabolic pathways in the malaria parasite detected by isotope‐tracing metabolomics","volume":"17","author":[{"family":"Cobbold","given":"Simon A"},{"family":"V Tutor","given":"Madel"},{"family":"Frasse","given":"Philip"},{"family":"McHugh","given":"Emma"},{"family":"Karnthaler","given":"Markus"},{"family":"Creek","given":"Darren J"},{"family":"Odom John","given":"Audrey"},{"family":"Tilley","given":"Leann"},{"family":"Ralph","given":"Stuart A"},{"family":"McConville","given":"Malcolm J"}],"issued":{"date-parts":[["2021",4,6]]}}}],"schema":"https://github.com/citation-style-language/schema/raw/master/csl-citation.json"} </w:instrText>
      </w:r>
      <w:r w:rsidR="00DC0896" w:rsidRPr="00A22E9D">
        <w:rPr>
          <w:rFonts w:ascii="Times New Roman" w:hAnsi="Times New Roman" w:cs="Times New Roman"/>
          <w:sz w:val="24"/>
          <w:szCs w:val="24"/>
        </w:rPr>
        <w:fldChar w:fldCharType="separate"/>
      </w:r>
      <w:r w:rsidR="00B94962" w:rsidRPr="00A22E9D">
        <w:rPr>
          <w:rFonts w:ascii="Times New Roman" w:hAnsi="Times New Roman" w:cs="Times New Roman"/>
          <w:sz w:val="24"/>
        </w:rPr>
        <w:t xml:space="preserve">(Cobbold </w:t>
      </w:r>
      <w:r w:rsidR="00F57D9D" w:rsidRPr="00F57D9D">
        <w:rPr>
          <w:rFonts w:ascii="Times New Roman" w:hAnsi="Times New Roman" w:cs="Times New Roman"/>
          <w:i/>
          <w:sz w:val="24"/>
        </w:rPr>
        <w:t>et al</w:t>
      </w:r>
      <w:r w:rsidR="00B94962" w:rsidRPr="00A22E9D">
        <w:rPr>
          <w:rFonts w:ascii="Times New Roman" w:hAnsi="Times New Roman" w:cs="Times New Roman"/>
          <w:sz w:val="24"/>
        </w:rPr>
        <w:t>., 2021)</w:t>
      </w:r>
      <w:r w:rsidR="00DC0896" w:rsidRPr="00A22E9D">
        <w:rPr>
          <w:rFonts w:ascii="Times New Roman" w:hAnsi="Times New Roman" w:cs="Times New Roman"/>
          <w:sz w:val="24"/>
          <w:szCs w:val="24"/>
        </w:rPr>
        <w:fldChar w:fldCharType="end"/>
      </w:r>
      <w:r w:rsidRPr="00A22E9D">
        <w:rPr>
          <w:rFonts w:ascii="Times New Roman" w:hAnsi="Times New Roman" w:cs="Times New Roman"/>
          <w:sz w:val="24"/>
          <w:szCs w:val="24"/>
        </w:rPr>
        <w:t>. Arylidenes have been demonstrated to limit the action of these enzymes, suggesting that they could be turned into useful anti-malarial medicines. More study is needed, however, to completely understand their mechanism of action and to maximize their efficacy and safety for human use.</w:t>
      </w:r>
    </w:p>
    <w:p w14:paraId="53B981AC" w14:textId="7EA55FE4" w:rsidR="005B61A7" w:rsidRPr="00A22E9D" w:rsidRDefault="00D272C2"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While these compounds have shown promising results in laboratory studies, they are still in the early stages of research, and it is unknown whether they will be effective or safe in humans. More research is needed to fully comprehend their potential as anti-malaria drugs and their potential risk profile</w:t>
      </w:r>
      <w:r w:rsidR="00973DB7" w:rsidRPr="00A22E9D">
        <w:rPr>
          <w:rFonts w:ascii="Times New Roman" w:hAnsi="Times New Roman" w:cs="Times New Roman"/>
          <w:sz w:val="24"/>
          <w:szCs w:val="24"/>
        </w:rPr>
        <w:t xml:space="preserve"> </w:t>
      </w:r>
      <w:r w:rsidR="00973DB7"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{"citationID":"vtk41Xbd","properties":{"formattedCitation":"(S\\uc0\\u225{} et al., 2011)","plainCitation":"(Sá et al., 2011)","noteIndex":0},"citationItems":[{"id":392,"uris":["http://zotero.org/users/local/BeK2zaGK/items/UEZ439MT"],"itemData":{"id":392,"type":"article-journal","abstract":"Drug-resistant micro-organisms became widespread in the 20th Century, often with devastating consequences, in response to widespread use of natural and synthetic drugs against infectious diseases. Antimalarial resistance provides one of the earliest examples, following the introduction of new medicines that filled important needs for prophylaxis and treatment around the globe. In the present chapter, we offer a brief synopsis of major antimalarial developments from two natural remedies, the qinghaosu and cinchona bark infusions, and of synthetic drugs inspired by the active components of these remedies. We review some contributions that early efficacy studies of antimalarial treatment brought to clinical pharmacology, including convincing documentation of atebrine-resistant malaria in the 1940s, prior to the launching of what soon became first-choice antimalarials, chloroquine and amodiaquine. Finally, we discuss some new observations on the molecular genetics of drug resistance, including delayed parasite clearances that have been increasingly observed in response to artemisinin derivatives in regions of South-East Asia.","container-title":"Essays in biochemistry","DOI":"10.1042/bse0510137","ISSN":"0071-1365","journalAbbreviation":"Essays Biochem","note":"PMID: 22023447\nPMCID: PMC3428136","page":"137-160","source":"PubMed Central","title":"Malaria drug resistance: new observations and developments","title-short":"Malaria drug resistance","volume":"51","author":[{"family":"Sá","given":"Juliana M."},{"family":"Chong","given":"Jason L."},{"family":"Wellems","given":"Thomas E."}],"issued":{"date-parts":[["2011"]]}}}],"schema":"https://github.com/citation-style-language/schema/raw/master/csl-citation.json"} </w:instrText>
      </w:r>
      <w:r w:rsidR="00973DB7" w:rsidRPr="00A22E9D">
        <w:rPr>
          <w:rFonts w:ascii="Times New Roman" w:hAnsi="Times New Roman" w:cs="Times New Roman"/>
          <w:sz w:val="24"/>
          <w:szCs w:val="24"/>
        </w:rPr>
        <w:fldChar w:fldCharType="separate"/>
      </w:r>
      <w:r w:rsidR="007A743A" w:rsidRPr="00A22E9D">
        <w:rPr>
          <w:rFonts w:ascii="Times New Roman" w:hAnsi="Times New Roman" w:cs="Times New Roman"/>
          <w:sz w:val="24"/>
          <w:szCs w:val="24"/>
        </w:rPr>
        <w:t xml:space="preserve">(Sá </w:t>
      </w:r>
      <w:r w:rsidR="00F57D9D" w:rsidRPr="00F57D9D">
        <w:rPr>
          <w:rFonts w:ascii="Times New Roman" w:hAnsi="Times New Roman" w:cs="Times New Roman"/>
          <w:i/>
          <w:sz w:val="24"/>
          <w:szCs w:val="24"/>
        </w:rPr>
        <w:t>et al</w:t>
      </w:r>
      <w:r w:rsidR="007A743A" w:rsidRPr="00A22E9D">
        <w:rPr>
          <w:rFonts w:ascii="Times New Roman" w:hAnsi="Times New Roman" w:cs="Times New Roman"/>
          <w:sz w:val="24"/>
          <w:szCs w:val="24"/>
        </w:rPr>
        <w:t>., 2011)</w:t>
      </w:r>
      <w:r w:rsidR="00973DB7" w:rsidRPr="00A22E9D">
        <w:rPr>
          <w:rFonts w:ascii="Times New Roman" w:hAnsi="Times New Roman" w:cs="Times New Roman"/>
          <w:sz w:val="24"/>
          <w:szCs w:val="24"/>
        </w:rPr>
        <w:fldChar w:fldCharType="end"/>
      </w:r>
      <w:r w:rsidR="00973DB7" w:rsidRPr="00A22E9D">
        <w:rPr>
          <w:rFonts w:ascii="Times New Roman" w:hAnsi="Times New Roman" w:cs="Times New Roman"/>
          <w:sz w:val="24"/>
          <w:szCs w:val="24"/>
        </w:rPr>
        <w:t>.</w:t>
      </w:r>
    </w:p>
    <w:p w14:paraId="334767A0" w14:textId="3CD02A80" w:rsidR="00E85457" w:rsidRPr="00A22E9D" w:rsidRDefault="008A7127"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Malaria and its causal agent, Plasmodium, are important to study because of the considerable illness and mortality they cause around the world. The discovery of novel antimalarial medications is of particular significance in this regard</w:t>
      </w:r>
      <w:r w:rsidR="00E85457" w:rsidRPr="00A22E9D">
        <w:rPr>
          <w:rFonts w:ascii="Times New Roman" w:hAnsi="Times New Roman" w:cs="Times New Roman"/>
          <w:sz w:val="24"/>
          <w:szCs w:val="24"/>
        </w:rPr>
        <w:t xml:space="preserve">.  </w:t>
      </w:r>
    </w:p>
    <w:p w14:paraId="32EBE603" w14:textId="77777777" w:rsidR="009901FD" w:rsidRPr="00A22E9D" w:rsidRDefault="00A125D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The goal of this research is to gain a better understanding of the molecular mechanisms underlying the antimalarial action of Arylidene </w:t>
      </w:r>
      <w:proofErr w:type="spellStart"/>
      <w:r w:rsidRPr="00A22E9D">
        <w:rPr>
          <w:rFonts w:ascii="Times New Roman" w:hAnsi="Times New Roman" w:cs="Times New Roman"/>
          <w:sz w:val="24"/>
          <w:szCs w:val="24"/>
        </w:rPr>
        <w:t>hydrazinyl</w:t>
      </w:r>
      <w:proofErr w:type="spellEnd"/>
      <w:r w:rsidRPr="00A22E9D">
        <w:rPr>
          <w:rFonts w:ascii="Times New Roman" w:hAnsi="Times New Roman" w:cs="Times New Roman"/>
          <w:sz w:val="24"/>
          <w:szCs w:val="24"/>
        </w:rPr>
        <w:t xml:space="preserve"> </w:t>
      </w:r>
      <w:proofErr w:type="spellStart"/>
      <w:r w:rsidRPr="00A22E9D">
        <w:rPr>
          <w:rFonts w:ascii="Times New Roman" w:hAnsi="Times New Roman" w:cs="Times New Roman"/>
          <w:sz w:val="24"/>
          <w:szCs w:val="24"/>
        </w:rPr>
        <w:t>indenoimidazoles</w:t>
      </w:r>
      <w:proofErr w:type="spellEnd"/>
      <w:r w:rsidRPr="00A22E9D">
        <w:rPr>
          <w:rFonts w:ascii="Times New Roman" w:hAnsi="Times New Roman" w:cs="Times New Roman"/>
          <w:sz w:val="24"/>
          <w:szCs w:val="24"/>
        </w:rPr>
        <w:t xml:space="preserve">, which could lead to the creation of more effective and selective malaria treatments. This study will use </w:t>
      </w:r>
      <w:r w:rsidR="00B94962" w:rsidRPr="00A22E9D">
        <w:rPr>
          <w:rFonts w:ascii="Times New Roman" w:hAnsi="Times New Roman" w:cs="Times New Roman"/>
          <w:sz w:val="24"/>
          <w:szCs w:val="24"/>
        </w:rPr>
        <w:t xml:space="preserve">in-vivo studies and </w:t>
      </w:r>
      <w:r w:rsidRPr="00A22E9D">
        <w:rPr>
          <w:rFonts w:ascii="Times New Roman" w:hAnsi="Times New Roman" w:cs="Times New Roman"/>
          <w:sz w:val="24"/>
          <w:szCs w:val="24"/>
        </w:rPr>
        <w:t>molecular d</w:t>
      </w:r>
      <w:r w:rsidR="00B94962" w:rsidRPr="00A22E9D">
        <w:rPr>
          <w:rFonts w:ascii="Times New Roman" w:hAnsi="Times New Roman" w:cs="Times New Roman"/>
          <w:sz w:val="24"/>
          <w:szCs w:val="24"/>
        </w:rPr>
        <w:t>ocking</w:t>
      </w:r>
      <w:r w:rsidRPr="00A22E9D">
        <w:rPr>
          <w:rFonts w:ascii="Times New Roman" w:hAnsi="Times New Roman" w:cs="Times New Roman"/>
          <w:sz w:val="24"/>
          <w:szCs w:val="24"/>
        </w:rPr>
        <w:t xml:space="preserve"> to investigate the interactions between the </w:t>
      </w:r>
      <w:r w:rsidR="00B94962" w:rsidRPr="00A22E9D">
        <w:rPr>
          <w:rFonts w:ascii="Times New Roman" w:hAnsi="Times New Roman" w:cs="Times New Roman"/>
          <w:sz w:val="24"/>
          <w:szCs w:val="24"/>
        </w:rPr>
        <w:t>selected test compound</w:t>
      </w:r>
      <w:r w:rsidRPr="00A22E9D">
        <w:rPr>
          <w:rFonts w:ascii="Times New Roman" w:hAnsi="Times New Roman" w:cs="Times New Roman"/>
          <w:sz w:val="24"/>
          <w:szCs w:val="24"/>
        </w:rPr>
        <w:t xml:space="preserve"> and </w:t>
      </w:r>
      <w:r w:rsidR="00B94962" w:rsidRPr="00A22E9D">
        <w:rPr>
          <w:rFonts w:ascii="Times New Roman" w:hAnsi="Times New Roman" w:cs="Times New Roman"/>
          <w:sz w:val="24"/>
          <w:szCs w:val="24"/>
        </w:rPr>
        <w:t>a</w:t>
      </w:r>
      <w:r w:rsidRPr="00A22E9D">
        <w:rPr>
          <w:rFonts w:ascii="Times New Roman" w:hAnsi="Times New Roman" w:cs="Times New Roman"/>
          <w:sz w:val="24"/>
          <w:szCs w:val="24"/>
        </w:rPr>
        <w:t xml:space="preserve"> key protein in infected red blood cells at an atomic level. This will provide a detailed understanding of the structural alterations that occur in infected cells following chemical treatment.</w:t>
      </w:r>
    </w:p>
    <w:p w14:paraId="14B8916D" w14:textId="25AE8332" w:rsidR="00686CCA" w:rsidRPr="00A22E9D" w:rsidRDefault="00A125D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In summary, the purpose of this study is to use </w:t>
      </w:r>
      <w:r w:rsidR="00B94962" w:rsidRPr="00A22E9D">
        <w:rPr>
          <w:rFonts w:ascii="Times New Roman" w:hAnsi="Times New Roman" w:cs="Times New Roman"/>
          <w:sz w:val="24"/>
          <w:szCs w:val="24"/>
        </w:rPr>
        <w:t xml:space="preserve">in-vivo and in-silico studies </w:t>
      </w:r>
      <w:r w:rsidRPr="00A22E9D">
        <w:rPr>
          <w:rFonts w:ascii="Times New Roman" w:hAnsi="Times New Roman" w:cs="Times New Roman"/>
          <w:sz w:val="24"/>
          <w:szCs w:val="24"/>
        </w:rPr>
        <w:t xml:space="preserve">to investigate the effects of Arylidene </w:t>
      </w:r>
      <w:proofErr w:type="spellStart"/>
      <w:r w:rsidRPr="00A22E9D">
        <w:rPr>
          <w:rFonts w:ascii="Times New Roman" w:hAnsi="Times New Roman" w:cs="Times New Roman"/>
          <w:sz w:val="24"/>
          <w:szCs w:val="24"/>
        </w:rPr>
        <w:t>hydrazinyl</w:t>
      </w:r>
      <w:proofErr w:type="spellEnd"/>
      <w:r w:rsidRPr="00A22E9D">
        <w:rPr>
          <w:rFonts w:ascii="Times New Roman" w:hAnsi="Times New Roman" w:cs="Times New Roman"/>
          <w:sz w:val="24"/>
          <w:szCs w:val="24"/>
        </w:rPr>
        <w:t xml:space="preserve"> </w:t>
      </w:r>
      <w:proofErr w:type="spellStart"/>
      <w:r w:rsidRPr="00A22E9D">
        <w:rPr>
          <w:rFonts w:ascii="Times New Roman" w:hAnsi="Times New Roman" w:cs="Times New Roman"/>
          <w:sz w:val="24"/>
          <w:szCs w:val="24"/>
        </w:rPr>
        <w:t>indenoimidazoles</w:t>
      </w:r>
      <w:proofErr w:type="spellEnd"/>
      <w:r w:rsidRPr="00A22E9D">
        <w:rPr>
          <w:rFonts w:ascii="Times New Roman" w:hAnsi="Times New Roman" w:cs="Times New Roman"/>
          <w:sz w:val="24"/>
          <w:szCs w:val="24"/>
        </w:rPr>
        <w:t xml:space="preserve"> on Plasmodium-infected red blood cells in order to better understand their antimalarial mechanisms</w:t>
      </w:r>
      <w:r w:rsidR="00B94962" w:rsidRPr="00A22E9D">
        <w:rPr>
          <w:rFonts w:ascii="Times New Roman" w:hAnsi="Times New Roman" w:cs="Times New Roman"/>
          <w:sz w:val="24"/>
          <w:szCs w:val="24"/>
        </w:rPr>
        <w:t xml:space="preserve"> and prospective effect on the mice</w:t>
      </w:r>
      <w:r w:rsidRPr="00A22E9D">
        <w:rPr>
          <w:rFonts w:ascii="Times New Roman" w:hAnsi="Times New Roman" w:cs="Times New Roman"/>
          <w:sz w:val="24"/>
          <w:szCs w:val="24"/>
        </w:rPr>
        <w:t>, which will aid in the development of more effective drugs for the treatment of malaria.</w:t>
      </w:r>
    </w:p>
    <w:p w14:paraId="05ADB33E" w14:textId="64550A89" w:rsidR="00E417D5" w:rsidRPr="00A22E9D" w:rsidRDefault="00C10034" w:rsidP="00CA4B8F">
      <w:pPr>
        <w:pStyle w:val="Heading3"/>
        <w:spacing w:line="480" w:lineRule="auto"/>
        <w:rPr>
          <w:rFonts w:cs="Times New Roman"/>
        </w:rPr>
      </w:pPr>
      <w:bookmarkStart w:id="10" w:name="_Toc145500369"/>
      <w:r w:rsidRPr="00A22E9D">
        <w:rPr>
          <w:rFonts w:cs="Times New Roman"/>
        </w:rPr>
        <w:lastRenderedPageBreak/>
        <w:t>1.</w:t>
      </w:r>
      <w:r w:rsidR="00445EBF" w:rsidRPr="00A22E9D">
        <w:rPr>
          <w:rFonts w:cs="Times New Roman"/>
        </w:rPr>
        <w:t>2</w:t>
      </w:r>
      <w:r w:rsidRPr="00A22E9D">
        <w:rPr>
          <w:rFonts w:cs="Times New Roman"/>
        </w:rPr>
        <w:t xml:space="preserve"> </w:t>
      </w:r>
      <w:r w:rsidR="00AB31DF" w:rsidRPr="00A22E9D">
        <w:rPr>
          <w:rFonts w:cs="Times New Roman"/>
        </w:rPr>
        <w:t>Aims and</w:t>
      </w:r>
      <w:r w:rsidR="00E417D5" w:rsidRPr="00A22E9D">
        <w:rPr>
          <w:rFonts w:cs="Times New Roman"/>
        </w:rPr>
        <w:t xml:space="preserve"> Objectives</w:t>
      </w:r>
      <w:bookmarkEnd w:id="10"/>
    </w:p>
    <w:p w14:paraId="0552B01E" w14:textId="6AD9F016" w:rsidR="00971621" w:rsidRPr="00A22E9D" w:rsidRDefault="0013215F"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Whilst arylidene </w:t>
      </w:r>
      <w:proofErr w:type="spellStart"/>
      <w:r w:rsidRPr="00A22E9D">
        <w:rPr>
          <w:rFonts w:ascii="Times New Roman" w:hAnsi="Times New Roman" w:cs="Times New Roman"/>
          <w:sz w:val="24"/>
          <w:szCs w:val="24"/>
        </w:rPr>
        <w:t>hydrazinyl</w:t>
      </w:r>
      <w:proofErr w:type="spellEnd"/>
      <w:r w:rsidRPr="00A22E9D">
        <w:rPr>
          <w:rFonts w:ascii="Times New Roman" w:hAnsi="Times New Roman" w:cs="Times New Roman"/>
          <w:sz w:val="24"/>
          <w:szCs w:val="24"/>
        </w:rPr>
        <w:t xml:space="preserve"> </w:t>
      </w:r>
      <w:proofErr w:type="spellStart"/>
      <w:r w:rsidRPr="00A22E9D">
        <w:rPr>
          <w:rFonts w:ascii="Times New Roman" w:hAnsi="Times New Roman" w:cs="Times New Roman"/>
          <w:sz w:val="24"/>
          <w:szCs w:val="24"/>
        </w:rPr>
        <w:t>indenoimidazoles</w:t>
      </w:r>
      <w:proofErr w:type="spellEnd"/>
      <w:r w:rsidRPr="00A22E9D">
        <w:rPr>
          <w:rFonts w:ascii="Times New Roman" w:hAnsi="Times New Roman" w:cs="Times New Roman"/>
          <w:sz w:val="24"/>
          <w:szCs w:val="24"/>
        </w:rPr>
        <w:t xml:space="preserve"> have been found as promising chemicals for malaria treatment, the molecular processes by which they operate on Plasmodium-infected red blood cells remain unknown. As a result, the primary goal of this study is to use</w:t>
      </w:r>
      <w:r w:rsidR="00AB31DF" w:rsidRPr="00A22E9D">
        <w:rPr>
          <w:rFonts w:ascii="Times New Roman" w:hAnsi="Times New Roman" w:cs="Times New Roman"/>
          <w:sz w:val="24"/>
          <w:szCs w:val="24"/>
        </w:rPr>
        <w:t xml:space="preserve"> in-vivo ad in-silico studies</w:t>
      </w:r>
      <w:r w:rsidRPr="00A22E9D">
        <w:rPr>
          <w:rFonts w:ascii="Times New Roman" w:hAnsi="Times New Roman" w:cs="Times New Roman"/>
          <w:sz w:val="24"/>
          <w:szCs w:val="24"/>
        </w:rPr>
        <w:t xml:space="preserve"> to evaluate the effects of Arylidene </w:t>
      </w:r>
      <w:proofErr w:type="spellStart"/>
      <w:r w:rsidRPr="00A22E9D">
        <w:rPr>
          <w:rFonts w:ascii="Times New Roman" w:hAnsi="Times New Roman" w:cs="Times New Roman"/>
          <w:sz w:val="24"/>
          <w:szCs w:val="24"/>
        </w:rPr>
        <w:t>hydrazinyl</w:t>
      </w:r>
      <w:proofErr w:type="spellEnd"/>
      <w:r w:rsidRPr="00A22E9D">
        <w:rPr>
          <w:rFonts w:ascii="Times New Roman" w:hAnsi="Times New Roman" w:cs="Times New Roman"/>
          <w:sz w:val="24"/>
          <w:szCs w:val="24"/>
        </w:rPr>
        <w:t xml:space="preserve"> </w:t>
      </w:r>
      <w:proofErr w:type="spellStart"/>
      <w:r w:rsidRPr="00A22E9D">
        <w:rPr>
          <w:rFonts w:ascii="Times New Roman" w:hAnsi="Times New Roman" w:cs="Times New Roman"/>
          <w:sz w:val="24"/>
          <w:szCs w:val="24"/>
        </w:rPr>
        <w:t>indenoimidazoles</w:t>
      </w:r>
      <w:proofErr w:type="spellEnd"/>
      <w:r w:rsidRPr="00A22E9D">
        <w:rPr>
          <w:rFonts w:ascii="Times New Roman" w:hAnsi="Times New Roman" w:cs="Times New Roman"/>
          <w:sz w:val="24"/>
          <w:szCs w:val="24"/>
        </w:rPr>
        <w:t xml:space="preserve"> on plasmodium-infected red blood cells</w:t>
      </w:r>
      <w:r w:rsidR="00AB31DF" w:rsidRPr="00A22E9D">
        <w:rPr>
          <w:rFonts w:ascii="Times New Roman" w:hAnsi="Times New Roman" w:cs="Times New Roman"/>
          <w:sz w:val="24"/>
          <w:szCs w:val="24"/>
        </w:rPr>
        <w:t>, so as to;</w:t>
      </w:r>
    </w:p>
    <w:p w14:paraId="7A9E1AF1" w14:textId="48EBBB4F" w:rsidR="0006790E" w:rsidRPr="00A22E9D" w:rsidRDefault="0013215F">
      <w:pPr>
        <w:pStyle w:val="ListParagraph"/>
        <w:numPr>
          <w:ilvl w:val="0"/>
          <w:numId w:val="2"/>
        </w:num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To better understand the methods through which certain drug molecules interact with infected cells and parasites.</w:t>
      </w:r>
    </w:p>
    <w:p w14:paraId="2C1C6B6E" w14:textId="6BCC992C" w:rsidR="0006790E" w:rsidRPr="00A22E9D" w:rsidRDefault="004D6C71">
      <w:pPr>
        <w:pStyle w:val="ListParagraph"/>
        <w:numPr>
          <w:ilvl w:val="0"/>
          <w:numId w:val="2"/>
        </w:num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To find possible drug candidates that have the potential to be effective in the treatment of malaria.</w:t>
      </w:r>
    </w:p>
    <w:p w14:paraId="3FC964C7" w14:textId="022895BF" w:rsidR="0006790E" w:rsidRPr="00A22E9D" w:rsidRDefault="004D6C71">
      <w:pPr>
        <w:pStyle w:val="ListParagraph"/>
        <w:numPr>
          <w:ilvl w:val="0"/>
          <w:numId w:val="2"/>
        </w:num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To assess the drug compounds' potential toxicity to human red blood cells</w:t>
      </w:r>
      <w:r w:rsidR="00FB3B7F" w:rsidRPr="00A22E9D">
        <w:rPr>
          <w:rFonts w:ascii="Times New Roman" w:hAnsi="Times New Roman" w:cs="Times New Roman"/>
          <w:sz w:val="24"/>
          <w:szCs w:val="24"/>
        </w:rPr>
        <w:t>.</w:t>
      </w:r>
      <w:r w:rsidR="00C0653F" w:rsidRPr="00A22E9D">
        <w:rPr>
          <w:rFonts w:ascii="Times New Roman" w:hAnsi="Times New Roman" w:cs="Times New Roman"/>
          <w:sz w:val="24"/>
          <w:szCs w:val="24"/>
        </w:rPr>
        <w:t xml:space="preserve"> </w:t>
      </w:r>
    </w:p>
    <w:p w14:paraId="1AEA0D94" w14:textId="222A47D3" w:rsidR="0006790E" w:rsidRPr="00A22E9D" w:rsidRDefault="004D6C71">
      <w:pPr>
        <w:pStyle w:val="ListParagraph"/>
        <w:numPr>
          <w:ilvl w:val="0"/>
          <w:numId w:val="2"/>
        </w:num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To evaluate the binding affinity and specificity of Arylidene </w:t>
      </w:r>
      <w:proofErr w:type="spellStart"/>
      <w:r w:rsidRPr="00A22E9D">
        <w:rPr>
          <w:rFonts w:ascii="Times New Roman" w:hAnsi="Times New Roman" w:cs="Times New Roman"/>
          <w:sz w:val="24"/>
          <w:szCs w:val="24"/>
        </w:rPr>
        <w:t>hydrazinyl</w:t>
      </w:r>
      <w:proofErr w:type="spellEnd"/>
      <w:r w:rsidRPr="00A22E9D">
        <w:rPr>
          <w:rFonts w:ascii="Times New Roman" w:hAnsi="Times New Roman" w:cs="Times New Roman"/>
          <w:sz w:val="24"/>
          <w:szCs w:val="24"/>
        </w:rPr>
        <w:t xml:space="preserve"> </w:t>
      </w:r>
      <w:proofErr w:type="spellStart"/>
      <w:r w:rsidRPr="00A22E9D">
        <w:rPr>
          <w:rFonts w:ascii="Times New Roman" w:hAnsi="Times New Roman" w:cs="Times New Roman"/>
          <w:sz w:val="24"/>
          <w:szCs w:val="24"/>
        </w:rPr>
        <w:t>indenoimidazoles</w:t>
      </w:r>
      <w:proofErr w:type="spellEnd"/>
      <w:r w:rsidRPr="00A22E9D">
        <w:rPr>
          <w:rFonts w:ascii="Times New Roman" w:hAnsi="Times New Roman" w:cs="Times New Roman"/>
          <w:sz w:val="24"/>
          <w:szCs w:val="24"/>
        </w:rPr>
        <w:t xml:space="preserve"> for plasmodium-infected red blood cells</w:t>
      </w:r>
      <w:r w:rsidR="00FB3B7F" w:rsidRPr="00A22E9D">
        <w:rPr>
          <w:rFonts w:ascii="Times New Roman" w:hAnsi="Times New Roman" w:cs="Times New Roman"/>
          <w:sz w:val="24"/>
          <w:szCs w:val="24"/>
        </w:rPr>
        <w:t>.</w:t>
      </w:r>
      <w:r w:rsidR="00C0653F" w:rsidRPr="00A22E9D">
        <w:rPr>
          <w:rFonts w:ascii="Times New Roman" w:hAnsi="Times New Roman" w:cs="Times New Roman"/>
          <w:sz w:val="24"/>
          <w:szCs w:val="24"/>
        </w:rPr>
        <w:t xml:space="preserve"> </w:t>
      </w:r>
    </w:p>
    <w:p w14:paraId="1DC74205" w14:textId="32744B75" w:rsidR="00595D05" w:rsidRPr="00A22E9D" w:rsidRDefault="00913915">
      <w:pPr>
        <w:pStyle w:val="ListParagraph"/>
        <w:numPr>
          <w:ilvl w:val="0"/>
          <w:numId w:val="2"/>
        </w:num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To provide insight on the mechanism of action of Arylidene </w:t>
      </w:r>
      <w:proofErr w:type="spellStart"/>
      <w:r w:rsidRPr="00A22E9D">
        <w:rPr>
          <w:rFonts w:ascii="Times New Roman" w:hAnsi="Times New Roman" w:cs="Times New Roman"/>
          <w:sz w:val="24"/>
          <w:szCs w:val="24"/>
        </w:rPr>
        <w:t>hydrazinyl</w:t>
      </w:r>
      <w:proofErr w:type="spellEnd"/>
      <w:r w:rsidRPr="00A22E9D">
        <w:rPr>
          <w:rFonts w:ascii="Times New Roman" w:hAnsi="Times New Roman" w:cs="Times New Roman"/>
          <w:sz w:val="24"/>
          <w:szCs w:val="24"/>
        </w:rPr>
        <w:t xml:space="preserve"> </w:t>
      </w:r>
      <w:proofErr w:type="spellStart"/>
      <w:r w:rsidRPr="00A22E9D">
        <w:rPr>
          <w:rFonts w:ascii="Times New Roman" w:hAnsi="Times New Roman" w:cs="Times New Roman"/>
          <w:sz w:val="24"/>
          <w:szCs w:val="24"/>
        </w:rPr>
        <w:t>indenoimidazoles</w:t>
      </w:r>
      <w:proofErr w:type="spellEnd"/>
      <w:r w:rsidRPr="00A22E9D">
        <w:rPr>
          <w:rFonts w:ascii="Times New Roman" w:hAnsi="Times New Roman" w:cs="Times New Roman"/>
          <w:sz w:val="24"/>
          <w:szCs w:val="24"/>
        </w:rPr>
        <w:t xml:space="preserve"> on plasmodium-infected red blood cells, with the goal of informing the development of new and more effective antimalarial medicines</w:t>
      </w:r>
      <w:r w:rsidR="00FB3B7F" w:rsidRPr="00A22E9D">
        <w:rPr>
          <w:rFonts w:ascii="Times New Roman" w:hAnsi="Times New Roman" w:cs="Times New Roman"/>
          <w:sz w:val="24"/>
          <w:szCs w:val="24"/>
        </w:rPr>
        <w:t>.</w:t>
      </w:r>
      <w:r w:rsidR="00595D05" w:rsidRPr="00A22E9D">
        <w:rPr>
          <w:rFonts w:ascii="Times New Roman" w:hAnsi="Times New Roman" w:cs="Times New Roman"/>
          <w:sz w:val="24"/>
          <w:szCs w:val="24"/>
        </w:rPr>
        <w:br w:type="page"/>
      </w:r>
    </w:p>
    <w:p w14:paraId="2CDFDDE3" w14:textId="20693659" w:rsidR="00595D05" w:rsidRPr="00A22E9D" w:rsidRDefault="00595D05" w:rsidP="00CA4B8F">
      <w:pPr>
        <w:pStyle w:val="Heading1"/>
        <w:spacing w:line="480" w:lineRule="auto"/>
        <w:rPr>
          <w:rFonts w:cs="Times New Roman"/>
        </w:rPr>
      </w:pPr>
      <w:bookmarkStart w:id="11" w:name="_Toc145500370"/>
      <w:r w:rsidRPr="00A22E9D">
        <w:rPr>
          <w:rFonts w:cs="Times New Roman"/>
        </w:rPr>
        <w:lastRenderedPageBreak/>
        <w:t>CHAPTER TWO</w:t>
      </w:r>
      <w:bookmarkEnd w:id="11"/>
    </w:p>
    <w:p w14:paraId="417FD10B" w14:textId="545EE69F" w:rsidR="00B8426C" w:rsidRPr="00A22E9D" w:rsidRDefault="00595D05" w:rsidP="00CA4B8F">
      <w:pPr>
        <w:pStyle w:val="Heading2"/>
        <w:spacing w:line="480" w:lineRule="auto"/>
        <w:rPr>
          <w:rFonts w:cs="Times New Roman"/>
        </w:rPr>
      </w:pPr>
      <w:bookmarkStart w:id="12" w:name="_Toc145500371"/>
      <w:r w:rsidRPr="00A22E9D">
        <w:rPr>
          <w:rFonts w:cs="Times New Roman"/>
        </w:rPr>
        <w:t>LITERATURE REVI</w:t>
      </w:r>
      <w:r w:rsidR="00B8426C" w:rsidRPr="00A22E9D">
        <w:rPr>
          <w:rFonts w:cs="Times New Roman"/>
        </w:rPr>
        <w:t>EW</w:t>
      </w:r>
      <w:bookmarkEnd w:id="12"/>
    </w:p>
    <w:p w14:paraId="3BC08B77" w14:textId="00F908C3" w:rsidR="00B8426C" w:rsidRPr="00A22E9D" w:rsidRDefault="001B3530" w:rsidP="00CA4B8F">
      <w:pPr>
        <w:pStyle w:val="Heading3"/>
        <w:spacing w:line="480" w:lineRule="auto"/>
        <w:rPr>
          <w:rFonts w:cs="Times New Roman"/>
        </w:rPr>
      </w:pPr>
      <w:bookmarkStart w:id="13" w:name="_Toc145500372"/>
      <w:r w:rsidRPr="00A22E9D">
        <w:rPr>
          <w:rFonts w:cs="Times New Roman"/>
        </w:rPr>
        <w:t xml:space="preserve">2.1 </w:t>
      </w:r>
      <w:r w:rsidR="00B8426C" w:rsidRPr="00A22E9D">
        <w:rPr>
          <w:rFonts w:cs="Times New Roman"/>
        </w:rPr>
        <w:t>Malaria and its impact globally</w:t>
      </w:r>
      <w:bookmarkEnd w:id="13"/>
    </w:p>
    <w:p w14:paraId="5D44829D" w14:textId="63CEE6DE" w:rsidR="00FF7E2D" w:rsidRPr="00A22E9D" w:rsidRDefault="00F65B06"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Malaria is a disease with a long history that dates back to antiquity. It was recorded in writings as early as 2700 BC in both Egyptian and Chinese literature, with symptoms including lethal recurrent fevers and splenomegaly. The disease had reached Rome by 200 BC, and by the eleventh century, it had spread throughout Europe. It made its way to England in the fifteenth century. Plasmodium, a parasite that infects humans through the bite of infected Anopheles mosquitos, is the causative agent of malaria. Malaria symptoms include fever, chills, headache, muscle aches, and fatigue </w:t>
      </w:r>
      <w:r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{"citationID":"BaNhLQPS","properties":{"formattedCitation":"(Snow &amp; Omumbo, 2006)","plainCitation":"(Snow &amp; Omumbo, 2006)","noteIndex":0},"citationItems":[{"id":388,"uris":["http://zotero.org/users/local/BeK2zaGK/items/95J7H84U"],"itemData":{"id":388,"type":"chapter","abstract":"This chapter describes the determinants and distribution of P. falciparum infection risk in Sub-Saharan Africa and uses populations at risk to estimate mortality from malaria. It also considers the evidence for consequential and indirect mortality and describes P. falciparum as a risk factor for rather than a cause of pediatric mortality. The chapter concludes with a description of the relationship between poverty and malaria and recent trends in malaria mortality in Sub-Saharan Africa to provide some context for current international efforts to halve the malaria burden by the year 2010 (Nabarro and Taylor 1998).","container-title":"Disease and Mortality in Sub-Saharan Africa. 2nd edition","language":"en","note":"PMID: 21290647","publisher":"The International Bank for Reconstruction and Development / The World Bank","source":"www.ncbi.nlm.nih.gov","title":"Malaria","URL":"https://www.ncbi.nlm.nih.gov/books/NBK2286/","author":[{"family":"Snow","given":"Robert W."},{"family":"Omumbo","given":"Judy A."}],"accessed":{"date-parts":[["2023",5,16]]},"issued":{"date-parts":[["2006"]]}}}],"schema":"https://github.com/citation-style-language/schema/raw/master/csl-citation.json"} </w:instrText>
      </w:r>
      <w:r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(Snow &amp; Omumbo, 2006)</w:t>
      </w:r>
      <w:r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w:t>
      </w:r>
      <w:r w:rsidR="00210146" w:rsidRPr="00A22E9D">
        <w:rPr>
          <w:rFonts w:ascii="Times New Roman" w:hAnsi="Times New Roman" w:cs="Times New Roman"/>
          <w:sz w:val="24"/>
          <w:szCs w:val="24"/>
        </w:rPr>
        <w:t xml:space="preserve">When the infection is severe, it can cause anaemia, kidney failure, and cerebral malaria (a type of malaria that affects the brain). Malaria is a critical public health issue in Sub-Saharan Africa, where the majority of cases and fatalities occur. It is estimated that about 200 million cases of malaria occur each year, with over 400,000 deaths </w:t>
      </w:r>
      <w:r w:rsidR="00913802" w:rsidRPr="00A22E9D">
        <w:rPr>
          <w:rFonts w:ascii="Times New Roman" w:hAnsi="Times New Roman" w:cs="Times New Roman"/>
          <w:sz w:val="24"/>
          <w:szCs w:val="24"/>
        </w:rPr>
        <w:fldChar w:fldCharType="begin"/>
      </w:r>
      <w:r w:rsidR="00913802" w:rsidRPr="00A22E9D">
        <w:rPr>
          <w:rFonts w:ascii="Times New Roman" w:hAnsi="Times New Roman" w:cs="Times New Roman"/>
          <w:sz w:val="24"/>
          <w:szCs w:val="24"/>
        </w:rPr>
        <w:instrText xml:space="preserve"> ADDIN ZOTERO_ITEM CSL_CITATION {"citationID":"aBLRWsDF","properties":{"formattedCitation":"(Prevention, 2021)","plainCitation":"(Prevention, 2021)","noteIndex":0},"citationItems":[{"id":14,"uris":["http://zotero.org/users/local/BeK2zaGK/items/CLI32JXQ"],"itemData":{"id":14,"type":"webpage","abstract":"Information on malaria's global impact including statistics, social and economic impact and vulernable populations.","language":"en-us","title":"CDC - Malaria - Malaria Worldwide - Impact of Malaria","URL":"https://www.cdc.gov/malaria/malaria_worldwide/impact.html","author":[{"family":"Prevention","given":"CDC-Centers for Disease Control","dropping-particle":"and"}],"accessed":{"date-parts":[["2023",2,1]]},"issued":{"date-parts":[["2021",12,16]]}}}],"schema":"https://github.com/citation-style-language/schema/raw/master/csl-citation.json"} </w:instrText>
      </w:r>
      <w:r w:rsidR="00913802"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(Prevention, 2021)</w:t>
      </w:r>
      <w:r w:rsidR="00913802" w:rsidRPr="00A22E9D">
        <w:rPr>
          <w:rFonts w:ascii="Times New Roman" w:hAnsi="Times New Roman" w:cs="Times New Roman"/>
          <w:sz w:val="24"/>
          <w:szCs w:val="24"/>
        </w:rPr>
        <w:fldChar w:fldCharType="end"/>
      </w:r>
      <w:r w:rsidR="00210146" w:rsidRPr="00A22E9D">
        <w:rPr>
          <w:rFonts w:ascii="Times New Roman" w:hAnsi="Times New Roman" w:cs="Times New Roman"/>
          <w:sz w:val="24"/>
          <w:szCs w:val="24"/>
        </w:rPr>
        <w:t>.</w:t>
      </w:r>
    </w:p>
    <w:p w14:paraId="2C928DBB" w14:textId="53D59488" w:rsidR="00E54BE3" w:rsidRPr="00A22E9D" w:rsidRDefault="00224F2E"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Malaria infections and deaths have been decreasing significantly in recent years as a result of greater efforts to battle the disease</w:t>
      </w:r>
      <w:r w:rsidR="008969D6" w:rsidRPr="00A22E9D">
        <w:rPr>
          <w:rFonts w:ascii="Times New Roman" w:hAnsi="Times New Roman" w:cs="Times New Roman"/>
          <w:sz w:val="24"/>
          <w:szCs w:val="24"/>
        </w:rPr>
        <w:t xml:space="preserve"> </w:t>
      </w:r>
      <w:r w:rsidR="008969D6" w:rsidRPr="00A22E9D">
        <w:rPr>
          <w:rFonts w:ascii="Times New Roman" w:hAnsi="Times New Roman" w:cs="Times New Roman"/>
          <w:sz w:val="24"/>
          <w:szCs w:val="24"/>
        </w:rPr>
        <w:fldChar w:fldCharType="begin"/>
      </w:r>
      <w:r w:rsidR="008969D6" w:rsidRPr="00A22E9D">
        <w:rPr>
          <w:rFonts w:ascii="Times New Roman" w:hAnsi="Times New Roman" w:cs="Times New Roman"/>
          <w:sz w:val="24"/>
          <w:szCs w:val="24"/>
        </w:rPr>
        <w:instrText xml:space="preserve"> ADDIN ZOTERO_ITEM CSL_CITATION {"citationID":"sEWo0yQS","properties":{"formattedCitation":"(Shretta et al., 2017)","plainCitation":"(Shretta et al., 2017)","noteIndex":0},"citationItems":[{"id":420,"uris":["http://zotero.org/users/local/BeK2zaGK/items/4UUU72DU"],"itemData":{"id":420,"type":"chapter","abstract":"The world has made tremendous progress in the fight against malaria in the past 15 years. According to the World Malaria Report, malaria case incidence was reduced by 41 percent and malaria mortality rates were reduced by 62 percent between 2000 and 2015 (WHO 2016c). At the beginning of 2016, malaria was considered to be endemic in 91 countries and territories, down from 108 in 2000.","container-title":"Major Infectious Diseases. 3rd edition","language":"en","note":"PMID: 30212099\nDOI: 10.1596/978-1-4648-0524-0_ch12","publisher":"The International Bank for Reconstruction and Development / The World Bank","source":"www.ncbi.nlm.nih.gov","title":"Malaria Elimination and Eradication","URL":"https://www.ncbi.nlm.nih.gov/books/NBK525190/","author":[{"family":"Shretta","given":"Rima"},{"family":"Liu","given":"Jenny"},{"family":"Cotter","given":"Chris"},{"family":"Cohen","given":"Justin"},{"family":"Dolenz","given":"Charlotte"},{"family":"Makomva","given":"Kudzai"},{"family":"Newby","given":"Gretchen"},{"family":"Ménard","given":"Didier"},{"family":"Phillips","given":"Allison"},{"family":"Tatarsky","given":"Allison"},{"family":"Gosling","given":"Roly"},{"family":"Feachem","given":"Richard"}],"accessed":{"date-parts":[["2023",5,29]]},"issued":{"date-parts":[["2017",11,3]]}}}],"schema":"https://github.com/citation-style-language/schema/raw/master/csl-citation.json"} </w:instrText>
      </w:r>
      <w:r w:rsidR="008969D6" w:rsidRPr="00A22E9D">
        <w:rPr>
          <w:rFonts w:ascii="Times New Roman" w:hAnsi="Times New Roman" w:cs="Times New Roman"/>
          <w:sz w:val="24"/>
          <w:szCs w:val="24"/>
        </w:rPr>
        <w:fldChar w:fldCharType="separate"/>
      </w:r>
      <w:r w:rsidR="008969D6" w:rsidRPr="00A22E9D">
        <w:rPr>
          <w:rFonts w:ascii="Times New Roman" w:hAnsi="Times New Roman" w:cs="Times New Roman"/>
          <w:sz w:val="24"/>
        </w:rPr>
        <w:t xml:space="preserve">(Shretta </w:t>
      </w:r>
      <w:r w:rsidR="00F57D9D" w:rsidRPr="00F57D9D">
        <w:rPr>
          <w:rFonts w:ascii="Times New Roman" w:hAnsi="Times New Roman" w:cs="Times New Roman"/>
          <w:i/>
          <w:sz w:val="24"/>
        </w:rPr>
        <w:t>et al</w:t>
      </w:r>
      <w:r w:rsidR="008969D6" w:rsidRPr="00A22E9D">
        <w:rPr>
          <w:rFonts w:ascii="Times New Roman" w:hAnsi="Times New Roman" w:cs="Times New Roman"/>
          <w:sz w:val="24"/>
        </w:rPr>
        <w:t>., 2017)</w:t>
      </w:r>
      <w:r w:rsidR="008969D6"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The World Health Organization (WHO) started the Roll Back Malaria (RBM) initiative in 2000, with the goal of halving malaria fatalities by 2010 and reducing them by 75% by 2015. The RBM collaboration and other efforts have resulted in tremendous progress in lowering malaria burden, but much more work remains to be done to achieve global elimination of the disease. This reduction in the disease's impact is the result of enormous efforts and research over the last century focused at improving malaria prevention, diagnosis, and management worldwide </w:t>
      </w:r>
      <w:r w:rsidR="00F84E54"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{"citationID":"iqNf2qFF","properties":{"formattedCitation":"(Plewes et al., 2019)","plainCitation":"(Plewes et al., 2019)","noteIndex":0},"citationItems":[{"id":19,"uris":["http://zotero.org/users/local/BeK2zaGK/items/K9BFK6Z7"],"itemData":{"id":19,"type":"article-journal","abstract":"Aging is defined as a dynamic event influenced by biological, physiological, psychological, environmental, behavioral, and social processes intermingled. It can also be considered an age-dependent or age-progressive decline in physiological function, resulting in an elevated mortality rate and reduced reproductive function.\nLumefantrine, an antimalarial drug, is having poor solubility and variable bioavailability. This work is aimed to prepare and evaluate co-precipitate of lumefantrine-Eudragit E PO to improve its dissolution by anti-solvent precipitation.\nThe anti-solvent precipitation technique was used to prepare co-precipitate of lumefantrine-Eudragit E PO at different ratios and based on their solubility; the optimized ratio (1:0.5) was further evaluated for solid state characterization, dissolution and compared with lumefantrine and pure precipitated lumefantrine.\nThe optimized ratio of co-precipitate (1:0.5) was further evaluated which showed a substantial rise in drug solubility of lumefantrine. SEM photographs indicated dispersion of drug in polymer matrix however, no interaction was observed in FTIR studies. Their DSC and XRPD data revealed the conversion of lumefantrine to its amorphous form. Further, a significant improvement in the rate of dissolution was demonstrated by co-precipitate as compare to pure drug or solely precipitated drug. This may be attributed to the partial conversion of lumefantrine in amorphous form and solubilizing capacity of Eudragit E PO.\nThus, co-precipitate of lumefantrine-Eudragit E PO was found to be useful in dissolution improvement and can be further studied for stabilization of co-precipitates.\nLa luméfantrine, un médicament antipaludique, a une faible solubilité et une biodisponibilité variable. Ce travail vise à préparer et évaluer le coprécipité de luméfantrine-Eudragit E PO pour améliorer sa dissolution par précipitation anti-solvant.\nLa technique de précipitation anti-solvant a été utilisée pour préparer un coprécipité de luméfantrine-Eudragit E PO à différents rapports et en fonction de leur solubilité; le rapport optimisé (1: 0,5) a été en outre évalué pour la caractérisation à l’état solide, la dissolution et comparé à la luméfantrine et à la luméfantrine précipitée pure.\nLe rapport optimisé de coprécipité (1: 0,5) a été en outre évalué, ce qui a montré une augmentation substantielle de la solubilité du médicament de la luméfantrine. Les photographies MEB ont indiqué une dispersion du médicament dans la matrice polymère, cependant, aucune interaction n’a été observée dans les études FTIR. Leurs données DSC et XRPD ont révélé la conversion de la luméfantrine en sa forme amorphe. En outre, une amélioration significative de la vitesse de dissolution a été démontrée par le coprécipité par rapport au médicament pur ou au médicament précipité uniquement. Cela peut être attribué à la conversion partielle de la luméfantrine sous forme amorphe et à la capacité de solubilisation d’Eudragit E PO.\nAinsi, le coprécipité de luméfantrine-Eudragit E PO s’est avéré utile dans l’amélioration de la dissolution et peut être davantage étudié pour la stabilisation des coprécipités.\nThere are important challenges when investigating individual post-translational modifications (PTMs) or protein interaction network and delineating if PTMs or their changes and cross-talks are involved during infection, disease initiation or as a result of disease progression. Proteomics and in silico approaches now offer the possibility to complement each other to further understand the regulatory involvement of these modifications in parasites and infection biology. Accordingly, the current review highlights key expressed or altered proteins and PTMs are invisible switches that turn on and off the function of most of the proteins. PTMs include phosphorylation, glycosylation, ubiquitylation, palmitoylation, myristoylation, prenylation, acetylation, methylation, and epigenetic PTMs in P. falciparum which have been recently identified. But also other low-abundant or overlooked PTMs that might be important for the parasite's survival, infectivity, antigenicity, immunomodulation and pathogenesis. We here emphasize the PTMs as regulatory pathways playing major roles in the biology, pathogenicity, metabolic pathways, survival, host-parasite interactions and the life cycle of P. falciparum. Further validations and functional characterizations of such proteins might confirm the discovery of therapeutic targets and might most likely provide valuable data for the treatment of P. falciparum, the main cause of severe malaria in human.\nInfectious and chronic diseases are the cause of high death rates globally. Antibiotics are bioactive agents used for the treatment of bacterial infections. Chronic and infectious diseases usually result in the weakening of the immune systems of the patients making them prone to infections. The combination two or more antibiotics or the combination of antibiotics with non-antibiotic drugs for the treatment of infectious and chronic diseases offer some benefits such as target several selected different weaknesses at once; it prevents bacterial evolution that can resist drug efficacy; it has the potential to prolong the life of the patient; it relieves some symptoms associated with some diseases, etc. In this chapter, the efficacy of antibiotics when used in the treatment of selected conditions such as malaria, human immunodeficiency virus, and cancer were discussed.","collection-title":"Updates in Tropical Medicine","container-title":"Infectious Disease Clinics of North America","DOI":"10.1016/j.idc.2018.10.002","ISSN":"0891-5520","issue":"1","journalAbbreviation":"Infectious Disease Clinics of North America","language":"en","page":"39-60","source":"ScienceDirect","title":"Malaria: What’s New in the Management of Malaria?","title-short":"Malaria","volume":"33","author":[{"family":"Plewes","given":"Katherine"},{"family":"Leopold","given":"Stije J."},{"family":"Kingston","given":"Hugh W. F."},{"family":"Dondorp","given":"Arjen M."}],"issued":{"date-parts":[["2019",3,1]]}}}],"schema":"https://github.com/citation-style-language/schema/raw/master/csl-citation.json"} </w:instrText>
      </w:r>
      <w:r w:rsidR="00F84E54"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(Plewes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2019)</w:t>
      </w:r>
      <w:r w:rsidR="00F84E54" w:rsidRPr="00A22E9D">
        <w:rPr>
          <w:rFonts w:ascii="Times New Roman" w:hAnsi="Times New Roman" w:cs="Times New Roman"/>
          <w:sz w:val="24"/>
          <w:szCs w:val="24"/>
        </w:rPr>
        <w:fldChar w:fldCharType="end"/>
      </w:r>
      <w:r w:rsidRPr="00A22E9D">
        <w:rPr>
          <w:rFonts w:ascii="Times New Roman" w:hAnsi="Times New Roman" w:cs="Times New Roman"/>
          <w:sz w:val="24"/>
          <w:szCs w:val="24"/>
        </w:rPr>
        <w:t>.</w:t>
      </w:r>
    </w:p>
    <w:p w14:paraId="32AB8DA3" w14:textId="07E3ACD4" w:rsidR="00130F0E" w:rsidRPr="00A22E9D" w:rsidRDefault="00F3180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Malaria has substantial economic and social consequences in addition to causing significant morbidity and mortality. The disease can cause absence from work and school, which can reduce </w:t>
      </w:r>
      <w:r w:rsidRPr="00A22E9D">
        <w:rPr>
          <w:rFonts w:ascii="Times New Roman" w:hAnsi="Times New Roman" w:cs="Times New Roman"/>
          <w:sz w:val="24"/>
          <w:szCs w:val="24"/>
        </w:rPr>
        <w:lastRenderedPageBreak/>
        <w:t xml:space="preserve">economic production and educational attainment. Malaria can also raise healthcare expenses for individuals and governments alike, as well as contribute to poverty and food insecurity </w:t>
      </w:r>
      <w:r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{"citationID":"Fkd8Tck9","properties":{"formattedCitation":"({\\i{}World Malaria Report 2020}, n.d.)","plainCitation":"(World Malaria Report 2020, n.d.)","noteIndex":0},"citationItems":[{"id":22,"uris":["http://zotero.org/users/local/BeK2zaGK/items/MNBNTDZY"],"itemData":{"id":22,"type":"webpage","abstract":"20 years of global progress &amp; challenges","language":"en","title":"World malaria report 2020","URL":"https://www.who.int/publications-detail-redirect/9789240015791","accessed":{"date-parts":[["2023",2,1]]}}}],"schema":"https://github.com/citation-style-language/schema/raw/master/csl-citation.json"} </w:instrText>
      </w:r>
      <w:r w:rsidRPr="00A22E9D">
        <w:rPr>
          <w:rFonts w:ascii="Times New Roman" w:hAnsi="Times New Roman" w:cs="Times New Roman"/>
          <w:sz w:val="24"/>
          <w:szCs w:val="24"/>
        </w:rPr>
        <w:fldChar w:fldCharType="separate"/>
      </w:r>
      <w:r w:rsidR="00020286" w:rsidRPr="00A22E9D">
        <w:rPr>
          <w:rFonts w:ascii="Times New Roman" w:hAnsi="Times New Roman" w:cs="Times New Roman"/>
          <w:sz w:val="24"/>
          <w:szCs w:val="24"/>
        </w:rPr>
        <w:t>(</w:t>
      </w:r>
      <w:r w:rsidR="00020286" w:rsidRPr="00A22E9D">
        <w:rPr>
          <w:rFonts w:ascii="Times New Roman" w:hAnsi="Times New Roman" w:cs="Times New Roman"/>
          <w:i/>
          <w:iCs/>
          <w:sz w:val="24"/>
          <w:szCs w:val="24"/>
        </w:rPr>
        <w:t>World Malaria Report 2020</w:t>
      </w:r>
      <w:r w:rsidR="00020286" w:rsidRPr="00A22E9D">
        <w:rPr>
          <w:rFonts w:ascii="Times New Roman" w:hAnsi="Times New Roman" w:cs="Times New Roman"/>
          <w:sz w:val="24"/>
          <w:szCs w:val="24"/>
        </w:rPr>
        <w:t>)</w:t>
      </w:r>
      <w:r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Malaria has a substantial worldwide health and development impact. </w:t>
      </w:r>
      <w:r w:rsidR="00130F0E" w:rsidRPr="00A22E9D">
        <w:rPr>
          <w:rFonts w:ascii="Times New Roman" w:hAnsi="Times New Roman" w:cs="Times New Roman"/>
          <w:sz w:val="24"/>
          <w:szCs w:val="24"/>
        </w:rPr>
        <w:t>Some of the key impacts include:</w:t>
      </w:r>
    </w:p>
    <w:p w14:paraId="40B32DE2" w14:textId="3F8E626F" w:rsidR="00C34BDB" w:rsidRPr="00A22E9D" w:rsidRDefault="00130F0E"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Mortality</w:t>
      </w:r>
      <w:r w:rsidR="00C34BDB" w:rsidRPr="00A22E9D">
        <w:rPr>
          <w:rFonts w:ascii="Times New Roman" w:hAnsi="Times New Roman" w:cs="Times New Roman"/>
          <w:sz w:val="24"/>
          <w:szCs w:val="24"/>
        </w:rPr>
        <w:t xml:space="preserve">: Malaria is the major cause of death in many underdeveloped nations, especially in Sub-Saharan Africa. Malaria claimed the lives of 409,000 people globally in 2019, the majority of them were children under the age of five. </w:t>
      </w:r>
      <w:r w:rsidR="00233C72" w:rsidRPr="00A22E9D">
        <w:rPr>
          <w:rFonts w:ascii="Times New Roman" w:hAnsi="Times New Roman" w:cs="Times New Roman"/>
          <w:sz w:val="24"/>
          <w:szCs w:val="24"/>
        </w:rPr>
        <w:t xml:space="preserve"> </w:t>
      </w:r>
    </w:p>
    <w:p w14:paraId="3FEE0A19" w14:textId="527DFE72" w:rsidR="00B8426C" w:rsidRPr="00A22E9D" w:rsidRDefault="00130F0E"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Morbidity: </w:t>
      </w:r>
      <w:r w:rsidR="00C34BDB" w:rsidRPr="00A22E9D">
        <w:rPr>
          <w:rFonts w:ascii="Times New Roman" w:hAnsi="Times New Roman" w:cs="Times New Roman"/>
          <w:sz w:val="24"/>
          <w:szCs w:val="24"/>
        </w:rPr>
        <w:t>Malaria can cause a variety of symptoms such as fever, chills, headache, lethargy, muscle pain, and anaemia. These symptoms can lead to diminished productivity and a lower quality of life.</w:t>
      </w:r>
      <w:r w:rsidR="003B51FA" w:rsidRPr="00A22E9D">
        <w:rPr>
          <w:rFonts w:ascii="Times New Roman" w:hAnsi="Times New Roman" w:cs="Times New Roman"/>
          <w:sz w:val="24"/>
          <w:szCs w:val="24"/>
        </w:rPr>
        <w:t xml:space="preserve"> </w:t>
      </w:r>
      <w:r w:rsidRPr="00A22E9D">
        <w:rPr>
          <w:rFonts w:ascii="Times New Roman" w:hAnsi="Times New Roman" w:cs="Times New Roman"/>
          <w:sz w:val="24"/>
          <w:szCs w:val="24"/>
        </w:rPr>
        <w:t>Economic impact:</w:t>
      </w:r>
      <w:r w:rsidR="00C34BDB" w:rsidRPr="00A22E9D">
        <w:rPr>
          <w:rFonts w:ascii="Times New Roman" w:hAnsi="Times New Roman" w:cs="Times New Roman"/>
          <w:sz w:val="24"/>
          <w:szCs w:val="24"/>
        </w:rPr>
        <w:t xml:space="preserve"> Malaria has the potential to have a considerable impact on economic development and poverty alleviation efforts. The condition has the potential to diminish productivity, raise healthcare costs, and reduce investment in impacted areas.</w:t>
      </w:r>
      <w:r w:rsidR="003B51FA"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Disproportionate impact on vulnerable populations: </w:t>
      </w:r>
      <w:r w:rsidR="00A01157" w:rsidRPr="00A22E9D">
        <w:rPr>
          <w:rFonts w:ascii="Times New Roman" w:hAnsi="Times New Roman" w:cs="Times New Roman"/>
          <w:sz w:val="24"/>
          <w:szCs w:val="24"/>
        </w:rPr>
        <w:t>Malaria disproportionately affects vulnerable populations such as pregnant women, children, and the poor. Pregnant women are more vulnerable to severe malaria, which can result in maternal an</w:t>
      </w:r>
      <w:r w:rsidR="00A84680" w:rsidRPr="00A22E9D">
        <w:rPr>
          <w:rFonts w:ascii="Times New Roman" w:hAnsi="Times New Roman" w:cs="Times New Roman"/>
          <w:sz w:val="24"/>
          <w:szCs w:val="24"/>
        </w:rPr>
        <w:t>a</w:t>
      </w:r>
      <w:r w:rsidR="00A01157" w:rsidRPr="00A22E9D">
        <w:rPr>
          <w:rFonts w:ascii="Times New Roman" w:hAnsi="Times New Roman" w:cs="Times New Roman"/>
          <w:sz w:val="24"/>
          <w:szCs w:val="24"/>
        </w:rPr>
        <w:t xml:space="preserve">emia, poor birth weight, and even death. </w:t>
      </w:r>
      <w:r w:rsidRPr="00A22E9D">
        <w:rPr>
          <w:rFonts w:ascii="Times New Roman" w:hAnsi="Times New Roman" w:cs="Times New Roman"/>
          <w:sz w:val="24"/>
          <w:szCs w:val="24"/>
        </w:rPr>
        <w:t>Impact on education:</w:t>
      </w:r>
      <w:r w:rsidR="00A01157" w:rsidRPr="00A22E9D">
        <w:rPr>
          <w:rFonts w:ascii="Times New Roman" w:hAnsi="Times New Roman" w:cs="Times New Roman"/>
          <w:sz w:val="24"/>
          <w:szCs w:val="24"/>
        </w:rPr>
        <w:t xml:space="preserve"> Malaria is a major cause of school absenteeism, particularly among youngsters in Sub-Saharan Africa. This has the potential to harm education and future economic possibilities. Effect on health-care systems: Malaria poses a huge strain on health-care systems, especially in developing nations. This can result in a shortage of resources for addressing other health conditions and a lack of access to healthcare for many people </w:t>
      </w:r>
      <w:r w:rsidR="00A01157"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{"citationID":"6TErCdjs","properties":{"formattedCitation":"(Halliday et al., 2020)","plainCitation":"(Halliday et al., 2020)","noteIndex":0},"citationItems":[{"id":30,"uris":["http://zotero.org/users/local/BeK2zaGK/items/8NPSGBEF"],"itemData":{"id":30,"type":"article-journal","abstract":"Introduction  Evidence indicates children who suffer from ill-­ health are less likely to attend or complete schooling. Malaria is an important cause of morbidity and mortality in school-­ age children. However, they are less likely to receive malaria treatment at health facilities and evidence for how to improve schoolchildren’s access to care is limited. This study aimed to evaluate the impact of a programme of school-­based malaria case management on schoolchildren’s attendance, health and education.\nMethods  A cluster randomised controlled trial was conducted in 58 primary schools in Zomba District, Malawi, 2011–2015. The intervention, implemented in 29 randomly selected schools, provided malaria rapid diagnostic tests and artemisinin-­based combination therapy to diagnose and treat uncomplicated malaria as part of basic first aid kits known as ‘Learner Treatment Kits’ (LTK). The primary outcome was school attendance, assessed through teacher-­recorded daily attendance registers and independent periodic attendance spot checks. Secondary outcomes included prevalence of Plasmodium spp infection, anaemia, educational performance, self-­reported child well-­being and health-­seeking behaviour. A total of 9571 children from standards 1–7 were randomly selected for assessment of school attendance, with subsamples assessed for the secondary outcomes.\nResults  Between November 2013 and March 2015, 97 trained teachers in 29 schools provided 32 685 unique consultations. Female schoolchildren were significantly more likely than male to seek a consultation (unadjusted OR=1.78 (95% CI 1.58 to 2.00). No significant intervention effect was observed on the proportion of child-­days recorded as absent in teacher registers (n=9017 OR=0.90 (95% CI 0.77 to 1.05), p=0.173) or of children absent during random school visits—spot checks (n=5791 OR=1.09 (95% CI 0.87 to 1.36), p=0.474). There was no significant impact on child-­reported well-­being, prevalence of Plasmodium spp, anaemia or education scores.\nConclusion  Despite high community demand, the LTK programme did not reduce schoolchildren’s absenteeism or improve health or education outcomes in this study setting. Trial registration number  C linicalTrials.gov NCT02213211.","container-title":"BMJ Global Health","DOI":"10.1136/bmjgh-2019-001666","ISSN":"2059-7908","issue":"1","journalAbbreviation":"BMJ Glob Health","language":"en","page":"e001666","source":"DOI.org (Crossref)","title":"Impact of school-based malaria case management on school attendance, health and education outcomes: a cluster randomised trial in southern Malawi","title-short":"Impact of school-based malaria case management on school attendance, health and education outcomes","volume":"5","author":[{"family":"Halliday","given":"Katherine E"},{"family":"Witek-McManus","given":"Stefan S"},{"family":"Opondo","given":"Charles"},{"family":"Mtali","given":"Austin"},{"family":"Allen","given":"Elizabeth"},{"family":"Bauleni","given":"Andrew"},{"family":"Ndau","given":"Saidi"},{"family":"Phondiwa","given":"Emmanuel"},{"family":"Ali","given":"Doreen"},{"family":"Kachigunda","given":"Virginia"},{"family":"Sande","given":"John H"},{"family":"Jawati","given":"Mpumulo"},{"family":"Verney","given":"Allison"},{"family":"Chimuna","given":"Tiyese"},{"family":"Melody","given":"David"},{"family":"Moestue","given":"Helen"},{"family":"Roschnik","given":"Natalie"},{"family":"Brooker","given":"Simon J"},{"family":"Mathanga","given":"Don P"}],"issued":{"date-parts":[["2020",1]]}}}],"schema":"https://github.com/citation-style-language/schema/raw/master/csl-citation.json"} </w:instrText>
      </w:r>
      <w:r w:rsidR="00A01157"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(Halliday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2020)</w:t>
      </w:r>
      <w:r w:rsidR="00A01157" w:rsidRPr="00A22E9D">
        <w:rPr>
          <w:rFonts w:ascii="Times New Roman" w:hAnsi="Times New Roman" w:cs="Times New Roman"/>
          <w:sz w:val="24"/>
          <w:szCs w:val="24"/>
        </w:rPr>
        <w:fldChar w:fldCharType="end"/>
      </w:r>
      <w:r w:rsidR="00A01157" w:rsidRPr="00A22E9D">
        <w:rPr>
          <w:rFonts w:ascii="Times New Roman" w:hAnsi="Times New Roman" w:cs="Times New Roman"/>
          <w:sz w:val="24"/>
          <w:szCs w:val="24"/>
        </w:rPr>
        <w:t xml:space="preserve">. Malaria is being combated by the WHO and other organizations through a combination of methods such as insecticide-treated bed nets, indoor residual spraying, and antimalarial medication. Furthermore, research is ongoing to create new techniques to restrict the spread of malaria, such as vaccinations and genetically modified mosquitos </w:t>
      </w:r>
      <w:r w:rsidR="007259E5"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{"citationID":"bkdS2X9k","properties":{"formattedCitation":"(Marshall &amp; Taylor, 2009)","plainCitation":"(Marshall &amp; Taylor, 2009)","noteIndex":0},"citationItems":[{"id":35,"uris":["http://zotero.org/users/local/BeK2zaGK/items/MR7URZ2A"],"itemData":{"id":35,"type":"article-journal","abstract":"John Marshall and Charles Taylor review recent advances in the development of transgenic mosquitoes for malaria control.","container-title":"PLoS Medicine","DOI":"10.1371/journal.pmed.1000020","ISSN":"1549-1277","issue":"2","journalAbbreviation":"PLoS Med","note":"PMID: 19209953\nPMCID: PMC2637918","page":"e1000020","source":"PubMed Central","title":"Malaria Control with Transgenic Mosquitoes","volume":"6","author":[{"family":"Marshall","given":"John M"},{"family":"Taylor","given":"Charles E"}],"issued":{"date-parts":[["2009",2]]}}}],"schema":"https://github.com/citation-style-language/schema/raw/master/csl-citation.json"} </w:instrText>
      </w:r>
      <w:r w:rsidR="007259E5"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(Marshall &amp; Taylor, 2009)</w:t>
      </w:r>
      <w:r w:rsidR="007259E5" w:rsidRPr="00A22E9D">
        <w:rPr>
          <w:rFonts w:ascii="Times New Roman" w:hAnsi="Times New Roman" w:cs="Times New Roman"/>
          <w:sz w:val="24"/>
          <w:szCs w:val="24"/>
        </w:rPr>
        <w:fldChar w:fldCharType="end"/>
      </w:r>
      <w:r w:rsidR="00A01157" w:rsidRPr="00A22E9D">
        <w:rPr>
          <w:rFonts w:ascii="Times New Roman" w:hAnsi="Times New Roman" w:cs="Times New Roman"/>
          <w:sz w:val="24"/>
          <w:szCs w:val="24"/>
        </w:rPr>
        <w:t>.</w:t>
      </w:r>
    </w:p>
    <w:p w14:paraId="616D6DE0" w14:textId="6CEECDCD" w:rsidR="00B8426C" w:rsidRPr="00A22E9D" w:rsidRDefault="005B6EC6" w:rsidP="00CA4B8F">
      <w:pPr>
        <w:pStyle w:val="Heading3"/>
        <w:spacing w:line="480" w:lineRule="auto"/>
        <w:rPr>
          <w:rFonts w:cs="Times New Roman"/>
        </w:rPr>
      </w:pPr>
      <w:bookmarkStart w:id="14" w:name="_Toc145500373"/>
      <w:r w:rsidRPr="00A22E9D">
        <w:rPr>
          <w:rStyle w:val="Heading3Char"/>
          <w:rFonts w:cs="Times New Roman"/>
          <w:b/>
          <w:bCs/>
        </w:rPr>
        <w:lastRenderedPageBreak/>
        <w:t xml:space="preserve">2.2 </w:t>
      </w:r>
      <w:r w:rsidR="00B8426C" w:rsidRPr="00A22E9D">
        <w:rPr>
          <w:rStyle w:val="Heading3Char"/>
          <w:rFonts w:cs="Times New Roman"/>
          <w:b/>
          <w:bCs/>
        </w:rPr>
        <w:t xml:space="preserve">Current treatment options available </w:t>
      </w:r>
      <w:r w:rsidR="007E30F8" w:rsidRPr="00A22E9D">
        <w:rPr>
          <w:rStyle w:val="Heading3Char"/>
          <w:rFonts w:cs="Times New Roman"/>
          <w:b/>
          <w:bCs/>
        </w:rPr>
        <w:t>and the need for new antimalarial compounds</w:t>
      </w:r>
      <w:r w:rsidR="007E30F8" w:rsidRPr="00A22E9D">
        <w:rPr>
          <w:rFonts w:cs="Times New Roman"/>
        </w:rPr>
        <w:t>.</w:t>
      </w:r>
      <w:bookmarkEnd w:id="14"/>
    </w:p>
    <w:p w14:paraId="4DFF9B73" w14:textId="77777777" w:rsidR="00644663" w:rsidRPr="00A22E9D" w:rsidRDefault="00644663"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There are several treatment options available for malaria, which include:</w:t>
      </w:r>
    </w:p>
    <w:p w14:paraId="37DC3DB7" w14:textId="77777777" w:rsidR="0068152F" w:rsidRPr="00A22E9D" w:rsidRDefault="00644663">
      <w:pPr>
        <w:pStyle w:val="ListParagraph"/>
        <w:numPr>
          <w:ilvl w:val="2"/>
          <w:numId w:val="1"/>
        </w:numPr>
        <w:spacing w:line="480" w:lineRule="auto"/>
        <w:jc w:val="both"/>
        <w:rPr>
          <w:rFonts w:ascii="Times New Roman" w:hAnsi="Times New Roman" w:cs="Times New Roman"/>
          <w:sz w:val="24"/>
          <w:szCs w:val="24"/>
        </w:rPr>
      </w:pPr>
      <w:r w:rsidRPr="00A22E9D">
        <w:rPr>
          <w:rStyle w:val="Heading4Char"/>
          <w:rFonts w:cs="Times New Roman"/>
        </w:rPr>
        <w:t>Antimalarial drugs</w:t>
      </w:r>
      <w:r w:rsidRPr="00A22E9D">
        <w:rPr>
          <w:rFonts w:ascii="Times New Roman" w:hAnsi="Times New Roman" w:cs="Times New Roman"/>
          <w:sz w:val="24"/>
          <w:szCs w:val="24"/>
        </w:rPr>
        <w:t>:</w:t>
      </w:r>
    </w:p>
    <w:p w14:paraId="18272229" w14:textId="0E02B559" w:rsidR="00D476E6" w:rsidRPr="00A22E9D" w:rsidRDefault="00967F59"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Antimalarial medicines are the most often used malaria treatment.</w:t>
      </w:r>
      <w:r w:rsidR="0068152F" w:rsidRPr="00A22E9D">
        <w:rPr>
          <w:rFonts w:ascii="Times New Roman" w:hAnsi="Times New Roman" w:cs="Times New Roman"/>
          <w:sz w:val="24"/>
          <w:szCs w:val="24"/>
        </w:rPr>
        <w:t xml:space="preserve"> </w:t>
      </w:r>
      <w:r w:rsidRPr="00A22E9D">
        <w:rPr>
          <w:rFonts w:ascii="Times New Roman" w:hAnsi="Times New Roman" w:cs="Times New Roman"/>
          <w:sz w:val="24"/>
          <w:szCs w:val="24"/>
        </w:rPr>
        <w:t>These medications are used to eliminate the parasites that cause the sickness. They constitute the mainstay of malaria treatment and have helped to reduce the disease's global impact</w:t>
      </w:r>
      <w:r w:rsidR="00D64D51" w:rsidRPr="00A22E9D">
        <w:rPr>
          <w:rFonts w:ascii="Times New Roman" w:hAnsi="Times New Roman" w:cs="Times New Roman"/>
          <w:sz w:val="24"/>
          <w:szCs w:val="24"/>
        </w:rPr>
        <w:t xml:space="preserve"> </w:t>
      </w:r>
      <w:r w:rsidR="00D64D51"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{"citationID":"DCUlbAZN","properties":{"formattedCitation":"(Staines &amp; Krishna, 2012)","plainCitation":"(Staines &amp; Krishna, 2012)","noteIndex":0},"citationItems":[{"id":54,"uris":["http://zotero.org/users/local/BeK2zaGK/items/VBW64WSD"],"itemData":{"id":54,"type":"book","abstract":"Malaria has defeated previous efforts at eradication and remains a massive global public health problem despite being readily preventable and treatable. It is a devastating disease that also extracts huge economic costs from the poorest countries in endemic regions. Starting with an overview of the disease and its current political, financial and technical context, this Milestones in Drug Therapy volume describes the history, chemistry, mechanisms of action and resistance, preclinical and clinical use, pharmacokinetics and safety and tolerability of the current range of antimalarial drugs. There is particular emphasis on artemisinins and related peroxides, as these drugs have now become the frontline treatment for malaria. Next generation antimalarials, molecular markers for detecting resistance, the importance of diagnostics and disease prevention are also covered in detail.","note":"journalAbbreviation: Treatment and Prevention of Malaria: Antimalarial Drug Chemistry, Action and Use\npage: 315\ncontainer-title: Treatment and Prevention of Malaria: Antimalarial Drug Chemistry, Action and Use\nDOI: 10.1007/978-3-0346-0480-2","number-of-pages":"1","source":"ResearchGate","title":"Treatment and prevention of Malaria: Antimalarial drug chemistry, action and use","title-short":"Treatment and prevention of Malaria","author":[{"family":"Staines","given":"Henry"},{"family":"Krishna","given":"Sanjeev"}],"issued":{"date-parts":[["2012",1,1]]}}}],"schema":"https://github.com/citation-style-language/schema/raw/master/csl-citation.json"} </w:instrText>
      </w:r>
      <w:r w:rsidR="00D64D51"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(Staines &amp; Krishna, 2012)</w:t>
      </w:r>
      <w:r w:rsidR="00D64D51"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Artemisinin-based combination treatments (ACTs), which are currently recommended by the World Health Organization (WHO) as the first-line treatment for uncomplicated malaria, are examples of common antimalarial medications. ACTs are medication combinations that contain artemisinin in one of the medicines. Artemisinin is a highly effective antimalarial medication that decreases parasite load in the blood quickly </w:t>
      </w:r>
      <w:r w:rsidR="00D20BA1"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{"citationID":"Dr9OsrRv","properties":{"formattedCitation":"(Maiga et al., 2021)","plainCitation":"(Maiga et al., 2021)","noteIndex":0},"citationItems":[{"id":44,"uris":["http://zotero.org/users/local/BeK2zaGK/items/MMZRWC6Y"],"itemData":{"id":44,"type":"article-journal","abstract":"Artemisinin-based combination therapy (ACT) was deployed in 2005 as an alternative to chloroquine and is considered the most efficacious treatment currently available for uncomplicated falciparum malaria. While widespread artemisinin resistance has not been reported to date in Africa, recent studies have reported partial resistance in Rwanda. The purpose of this study is to provide a current systematic review and meta-analysis on ACT at Mali study sites, where falciparum malaria is highly endemic.","container-title":"Malaria Journal","DOI":"10.1186/s12936-021-03890-0","ISSN":"1475-2875","issue":"1","journalAbbreviation":"Malaria Journal","page":"356","source":"BioMed Central","title":"Artemisinin-based combination therapy for uncomplicated Plasmodium falciparum malaria in Mali: a systematic review and meta-analysis","title-short":"Artemisinin-based combination therapy for uncomplicated Plasmodium falciparum malaria in Mali","volume":"20","author":[{"family":"Maiga","given":"Fatoumata O."},{"family":"Wele","given":"Mamadou"},{"family":"Toure","given":"Sounkou M."},{"family":"Keita","given":"Makan"},{"family":"Tangara","given":"Cheick Oumar"},{"family":"Refeld","given":"Randi R."},{"family":"Thiero","given":"Oumar"},{"family":"Kayentao","given":"Kassoum"},{"family":"Diakite","given":"Mahamadou"},{"family":"Dara","given":"Antoine"},{"family":"Li","given":"Jian"},{"family":"Toure","given":"Mahamoudou"},{"family":"Sagara","given":"Issaka"},{"family":"Djimdé","given":"Abdoulaye"},{"family":"Mather","given":"Frances J."},{"family":"Doumbia","given":"Seydou O."},{"family":"Shaffer","given":"Jeffrey G."}],"issued":{"date-parts":[["2021",8,30]]}}}],"schema":"https://github.com/citation-style-language/schema/raw/master/csl-citation.json"} </w:instrText>
      </w:r>
      <w:r w:rsidR="00D20BA1"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(Maiga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2021)</w:t>
      </w:r>
      <w:r w:rsidR="00D20BA1" w:rsidRPr="00A22E9D">
        <w:rPr>
          <w:rFonts w:ascii="Times New Roman" w:hAnsi="Times New Roman" w:cs="Times New Roman"/>
          <w:sz w:val="24"/>
          <w:szCs w:val="24"/>
        </w:rPr>
        <w:fldChar w:fldCharType="end"/>
      </w:r>
      <w:r w:rsidR="00D64D51" w:rsidRPr="00A22E9D">
        <w:rPr>
          <w:rFonts w:ascii="Times New Roman" w:hAnsi="Times New Roman" w:cs="Times New Roman"/>
          <w:sz w:val="24"/>
          <w:szCs w:val="24"/>
        </w:rPr>
        <w:t>.</w:t>
      </w:r>
      <w:r w:rsidR="009A3B18" w:rsidRPr="00A22E9D">
        <w:rPr>
          <w:rFonts w:ascii="Times New Roman" w:hAnsi="Times New Roman" w:cs="Times New Roman"/>
          <w:sz w:val="24"/>
          <w:szCs w:val="24"/>
        </w:rPr>
        <w:t xml:space="preserve"> Chloroquine and </w:t>
      </w:r>
      <w:proofErr w:type="spellStart"/>
      <w:r w:rsidR="009A3B18" w:rsidRPr="00A22E9D">
        <w:rPr>
          <w:rFonts w:ascii="Times New Roman" w:hAnsi="Times New Roman" w:cs="Times New Roman"/>
          <w:sz w:val="24"/>
          <w:szCs w:val="24"/>
        </w:rPr>
        <w:t>sulfadoxine</w:t>
      </w:r>
      <w:proofErr w:type="spellEnd"/>
      <w:r w:rsidR="009A3B18" w:rsidRPr="00A22E9D">
        <w:rPr>
          <w:rFonts w:ascii="Times New Roman" w:hAnsi="Times New Roman" w:cs="Times New Roman"/>
          <w:sz w:val="24"/>
          <w:szCs w:val="24"/>
        </w:rPr>
        <w:t xml:space="preserve">-pyrimethamine (SP) are older medications that are still used in locations where malaria is resistant to ACTs </w:t>
      </w:r>
      <w:r w:rsidR="009A3B18"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{"citationID":"4Qus05l1","properties":{"formattedCitation":"(Roux et al., 2021)","plainCitation":"(Roux et al., 2021)","noteIndex":0},"citationItems":[{"id":39,"uris":["http://zotero.org/users/local/BeK2zaGK/items/KVUMQPH5"],"itemData":{"id":39,"type":"article-journal","abstract":"Malaria is a great concern for global health and accounts for a large amount of morbidity and mortality, particularly in Africa, with sub-Saharan Africa carrying the greatest burden of the disease. Malaria control tools such as insecticide-treated bed nets, indoor residual spraying, and antimalarial drugs have been relatively successful in reducing the burden of malaria; however, sub-Saharan African countries encounter great challenges, the greatest being antimalarial drug resistance. Chloroquine (CQ) was the first-line drug in the 20th century until it was replaced by sulfadoxine–pyrimethamine (SP) as a consequence of resistance. The extensive use of these antimalarials intensified the spread of resistance throughout sub-Saharan Africa, thus resulting in a loss of efficacy for the treatment of malaria. SP was replaced by artemisinin-based combination therapy (ACT) after the emergence of resistance toward SP; however, the use of ACTs is now threatened by the emergence of resistant parasites. The decreased selective pressure on CQ and SP allowed for the reintroduction of sensitivity toward those antimalarials in regions of sub-Saharan Africa where they were not the primary drug for treatment. Therefore, the emergence and spread of antimalarial drug resistance should be tracked to prevent further spread of the resistant parasites, and the re-emergence of sensitivity should be monitored to detect the possible reappearance of sensitivity in sub-Saharan Africa.","container-title":"Frontiers in Genetics","ISSN":"1664-8021","source":"Frontiers","title":"Chloroquine and Sulfadoxine–Pyrimethamine Resistance in Sub-Saharan Africa—A Review","URL":"https://www.frontiersin.org/articles/10.3389/fgene.2021.668574","volume":"12","author":[{"family":"Roux","given":"Alexandra T."},{"family":"Maharaj","given":"Leah"},{"family":"Oyegoke","given":"Olukunle"},{"family":"Akoniyon","given":"Oluwasegun P."},{"family":"Adeleke","given":"Matthew Adekunle"},{"family":"Maharaj","given":"Rajendra"},{"family":"Okpeku","given":"Moses"}],"accessed":{"date-parts":[["2023",2,1]]},"issued":{"date-parts":[["2021"]]}}}],"schema":"https://github.com/citation-style-language/schema/raw/master/csl-citation.json"} </w:instrText>
      </w:r>
      <w:r w:rsidR="009A3B18"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(Roux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2021)</w:t>
      </w:r>
      <w:r w:rsidR="009A3B18" w:rsidRPr="00A22E9D">
        <w:rPr>
          <w:rFonts w:ascii="Times New Roman" w:hAnsi="Times New Roman" w:cs="Times New Roman"/>
          <w:sz w:val="24"/>
          <w:szCs w:val="24"/>
        </w:rPr>
        <w:fldChar w:fldCharType="end"/>
      </w:r>
      <w:r w:rsidR="009A3B18" w:rsidRPr="00A22E9D">
        <w:rPr>
          <w:rFonts w:ascii="Times New Roman" w:hAnsi="Times New Roman" w:cs="Times New Roman"/>
          <w:sz w:val="24"/>
          <w:szCs w:val="24"/>
        </w:rPr>
        <w:t xml:space="preserve">. Monotherapies based on artemisinin: Artemisinin-based monotherapies are single medications that contain the most effective antimalarial treatment, artemisinin. However, because using artemisinin alone can result in medication resistance, WHO does not advocate it. In non-immune </w:t>
      </w:r>
      <w:r w:rsidR="00A51417" w:rsidRPr="00A22E9D">
        <w:rPr>
          <w:rFonts w:ascii="Times New Roman" w:hAnsi="Times New Roman" w:cs="Times New Roman"/>
          <w:sz w:val="24"/>
          <w:szCs w:val="24"/>
        </w:rPr>
        <w:t>travellers</w:t>
      </w:r>
      <w:r w:rsidR="009A3B18" w:rsidRPr="00A22E9D">
        <w:rPr>
          <w:rFonts w:ascii="Times New Roman" w:hAnsi="Times New Roman" w:cs="Times New Roman"/>
          <w:sz w:val="24"/>
          <w:szCs w:val="24"/>
        </w:rPr>
        <w:t>, doxycycline, azithromycin, and atovaquone-proguanil are also utilized as an alternate treatment</w:t>
      </w:r>
      <w:r w:rsidR="00646273" w:rsidRPr="00A22E9D">
        <w:rPr>
          <w:rFonts w:ascii="Times New Roman" w:hAnsi="Times New Roman" w:cs="Times New Roman"/>
          <w:sz w:val="24"/>
          <w:szCs w:val="24"/>
        </w:rPr>
        <w:t xml:space="preserve"> </w:t>
      </w:r>
      <w:r w:rsidR="00646273"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{"citationID":"MCddBqKt","properties":{"formattedCitation":"(Tan et al., 2011)","plainCitation":"(Tan et al., 2011)","noteIndex":0},"citationItems":[{"id":59,"uris":["http://zotero.org/users/local/BeK2zaGK/items/W8C2RDSC"],"itemData":{"id":59,"type":"article-journal","abstract":"Doxycycline, a synthetically derived tetracycline, is a partially efficacious causal prophylactic (liver stage of Plasmodium) drug and a slow acting blood schizontocidal agent highly effective for the prevention of malaria. When used in conjunction with a fast acting schizontocidal agent, it is also highly effective for malaria treatment. Doxycycline is especially useful as a prophylaxis in areas with chloroquine and multidrug-resistant Plasmodium falciparum malaria. Although not recommended for pregnant women and children &lt; 8 years of age, severe adverse events are rarely reported for doxycycline. This report examines the evidence behind current recommendations for the use of doxycycline for malaria and summarizes the available literature on its safety and tolerability.","container-title":"The American Journal of Tropical Medicine and Hygiene","DOI":"10.4269/ajtmh.2011.10-0285","ISSN":"0002-9637","issue":"4","journalAbbreviation":"Am J Trop Med Hyg","note":"PMID: 21460003\nPMCID: PMC3062442","page":"517-531","source":"PubMed Central","title":"Doxycycline for Malaria Chemoprophylaxis and Treatment: Report from the CDC Expert Meeting on Malaria Chemoprophylaxis","title-short":"Doxycycline for Malaria Chemoprophylaxis and Treatment","volume":"84","author":[{"family":"Tan","given":"Kathrine R."},{"family":"Magill","given":"Alan J."},{"family":"Parise","given":"Monica E."},{"family":"Arguin","given":"Paul M."}],"issued":{"date-parts":[["2011",4,5]]}}}],"schema":"https://github.com/citation-style-language/schema/raw/master/csl-citation.json"} </w:instrText>
      </w:r>
      <w:r w:rsidR="00646273"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(Tan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2011)</w:t>
      </w:r>
      <w:r w:rsidR="00646273" w:rsidRPr="00A22E9D">
        <w:rPr>
          <w:rFonts w:ascii="Times New Roman" w:hAnsi="Times New Roman" w:cs="Times New Roman"/>
          <w:sz w:val="24"/>
          <w:szCs w:val="24"/>
        </w:rPr>
        <w:fldChar w:fldCharType="end"/>
      </w:r>
      <w:r w:rsidR="009A3B18" w:rsidRPr="00A22E9D">
        <w:rPr>
          <w:rFonts w:ascii="Times New Roman" w:hAnsi="Times New Roman" w:cs="Times New Roman"/>
          <w:sz w:val="24"/>
          <w:szCs w:val="24"/>
        </w:rPr>
        <w:t>.</w:t>
      </w:r>
    </w:p>
    <w:p w14:paraId="25123723" w14:textId="6BD01E91" w:rsidR="0049534C" w:rsidRPr="00A22E9D" w:rsidRDefault="0049534C"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The appropriate choice of antimalarial drug depends on the species of the parasite causing the infection, the severity of the disease, and the patient's general health status, as well as the resistance patterns of the parasite in the area where the patient was infected.</w:t>
      </w:r>
      <w:r w:rsidR="004453F6" w:rsidRPr="00A22E9D">
        <w:rPr>
          <w:rFonts w:ascii="Times New Roman" w:hAnsi="Times New Roman" w:cs="Times New Roman"/>
          <w:sz w:val="24"/>
          <w:szCs w:val="24"/>
        </w:rPr>
        <w:t xml:space="preserve"> </w:t>
      </w:r>
      <w:r w:rsidRPr="00A22E9D">
        <w:rPr>
          <w:rFonts w:ascii="Times New Roman" w:hAnsi="Times New Roman" w:cs="Times New Roman"/>
          <w:sz w:val="24"/>
          <w:szCs w:val="24"/>
        </w:rPr>
        <w:t>Resistance to antimalarial drugs is a major concern, and WHO closely monitors the emergence of resistance and updates its treatment guidelines accordingly. Adherence to the full course of the appropriate antimalarial drug is important to ensure the parasite is fully eliminated and to prevent the development of resistance</w:t>
      </w:r>
      <w:r w:rsidR="002649FE" w:rsidRPr="00A22E9D">
        <w:rPr>
          <w:rFonts w:ascii="Times New Roman" w:hAnsi="Times New Roman" w:cs="Times New Roman"/>
          <w:sz w:val="24"/>
          <w:szCs w:val="24"/>
        </w:rPr>
        <w:t xml:space="preserve"> </w:t>
      </w:r>
      <w:r w:rsidR="004453F6" w:rsidRPr="00A22E9D">
        <w:rPr>
          <w:rFonts w:ascii="Times New Roman" w:hAnsi="Times New Roman" w:cs="Times New Roman"/>
          <w:sz w:val="24"/>
          <w:szCs w:val="24"/>
        </w:rPr>
        <w:fldChar w:fldCharType="begin"/>
      </w:r>
      <w:r w:rsidR="004453F6" w:rsidRPr="00A22E9D">
        <w:rPr>
          <w:rFonts w:ascii="Times New Roman" w:hAnsi="Times New Roman" w:cs="Times New Roman"/>
          <w:sz w:val="24"/>
          <w:szCs w:val="24"/>
        </w:rPr>
        <w:instrText xml:space="preserve"> ADDIN ZOTERO_ITEM CSL_CITATION {"citationID":"3tOW2YBT","properties":{"formattedCitation":"(White, 2004)","plainCitation":"(White, 2004)","noteIndex":0},"citationItems":[{"id":47,"uris":["http://zotero.org/users/local/BeK2zaGK/items/3ASJCFTU"],"itemData":{"id":47,"type":"article-journal","abstract":"Malaria, the most prevalent and most pernicious parasitic disease of humans, is estimated to kill between one and two million people, mainly children, each year. Resistance has emerged to all classes of antimalarial drugs except the artemisinins and is responsible for a recent increase in malaria-related mortality, particularly in Africa. The de novo emergence of resistance can be prevented by the use of antimalarial drug combinations. Artemisinin-derivative combinations are particularly effective, since they act rapidly and are well tolerated and highly effective. Widespread use of these drugs could roll back malaria.","container-title":"Journal of Clinical Investigation","DOI":"10.1172/JCI200421682","ISSN":"0021-9738","issue":"8","journalAbbreviation":"J Clin Invest","note":"PMID: 15085184\nPMCID: PMC385418","page":"1084-1092","source":"PubMed Central","title":"Antimalarial drug resistance","volume":"113","author":[{"family":"White","given":"Nicholas J."}],"issued":{"date-parts":[["2004",4,15]]}}}],"schema":"https://github.com/citation-style-language/schema/raw/master/csl-citation.json"} </w:instrText>
      </w:r>
      <w:r w:rsidR="004453F6"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(White, 2004)</w:t>
      </w:r>
      <w:r w:rsidR="004453F6" w:rsidRPr="00A22E9D">
        <w:rPr>
          <w:rFonts w:ascii="Times New Roman" w:hAnsi="Times New Roman" w:cs="Times New Roman"/>
          <w:sz w:val="24"/>
          <w:szCs w:val="24"/>
        </w:rPr>
        <w:fldChar w:fldCharType="end"/>
      </w:r>
      <w:r w:rsidR="002649FE" w:rsidRPr="00A22E9D">
        <w:rPr>
          <w:rFonts w:ascii="Times New Roman" w:hAnsi="Times New Roman" w:cs="Times New Roman"/>
          <w:sz w:val="24"/>
          <w:szCs w:val="24"/>
        </w:rPr>
        <w:t>.</w:t>
      </w:r>
    </w:p>
    <w:p w14:paraId="4F8D04CF" w14:textId="507D7034" w:rsidR="0049534C" w:rsidRPr="00A22E9D" w:rsidRDefault="0049534C"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In some cases, patients may require a second-line treatment, usually with another antimalarial drug or a combination of drugs, in case of resistance or for severe cases of malaria. Antimalarial drugs may have side effects, which vary depending on the drug and the patient. These side effects should be closely monitored by healthcare professionals and appropriate measures taken if necessary.</w:t>
      </w:r>
    </w:p>
    <w:p w14:paraId="6468AB1F" w14:textId="77777777" w:rsidR="00474306" w:rsidRPr="00A22E9D" w:rsidRDefault="00644663">
      <w:pPr>
        <w:pStyle w:val="ListParagraph"/>
        <w:numPr>
          <w:ilvl w:val="2"/>
          <w:numId w:val="1"/>
        </w:numPr>
        <w:spacing w:line="480" w:lineRule="auto"/>
        <w:jc w:val="both"/>
        <w:rPr>
          <w:rFonts w:ascii="Times New Roman" w:hAnsi="Times New Roman" w:cs="Times New Roman"/>
          <w:sz w:val="24"/>
          <w:szCs w:val="24"/>
        </w:rPr>
      </w:pPr>
      <w:r w:rsidRPr="00A22E9D">
        <w:rPr>
          <w:rStyle w:val="Heading4Char"/>
          <w:rFonts w:cs="Times New Roman"/>
        </w:rPr>
        <w:t>Quinine</w:t>
      </w:r>
      <w:r w:rsidRPr="00A22E9D">
        <w:rPr>
          <w:rFonts w:ascii="Times New Roman" w:hAnsi="Times New Roman" w:cs="Times New Roman"/>
          <w:sz w:val="24"/>
          <w:szCs w:val="24"/>
        </w:rPr>
        <w:t xml:space="preserve">: </w:t>
      </w:r>
    </w:p>
    <w:p w14:paraId="2A3CFCA1" w14:textId="2003F2FB" w:rsidR="00B4363B" w:rsidRPr="00A22E9D" w:rsidRDefault="00644663"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Quinine is an older antimalarial drug that is still used in some areas,</w:t>
      </w:r>
      <w:r w:rsidR="00474306" w:rsidRPr="00A22E9D">
        <w:rPr>
          <w:rFonts w:ascii="Times New Roman" w:hAnsi="Times New Roman" w:cs="Times New Roman"/>
          <w:sz w:val="24"/>
          <w:szCs w:val="24"/>
        </w:rPr>
        <w:t xml:space="preserve"> </w:t>
      </w:r>
      <w:r w:rsidRPr="00A22E9D">
        <w:rPr>
          <w:rFonts w:ascii="Times New Roman" w:hAnsi="Times New Roman" w:cs="Times New Roman"/>
          <w:sz w:val="24"/>
          <w:szCs w:val="24"/>
        </w:rPr>
        <w:t>particularly for treating severe malaria.</w:t>
      </w:r>
      <w:r w:rsidR="00474306" w:rsidRPr="00A22E9D">
        <w:rPr>
          <w:rFonts w:ascii="Times New Roman" w:hAnsi="Times New Roman" w:cs="Times New Roman"/>
          <w:sz w:val="24"/>
          <w:szCs w:val="24"/>
        </w:rPr>
        <w:t xml:space="preserve"> </w:t>
      </w:r>
      <w:r w:rsidR="00FA158F" w:rsidRPr="00A22E9D">
        <w:rPr>
          <w:rFonts w:ascii="Times New Roman" w:hAnsi="Times New Roman" w:cs="Times New Roman"/>
          <w:sz w:val="24"/>
          <w:szCs w:val="24"/>
        </w:rPr>
        <w:t xml:space="preserve">Quinine is used to treat severe malaria caused by </w:t>
      </w:r>
      <w:r w:rsidR="00F57D9D" w:rsidRPr="00F57D9D">
        <w:rPr>
          <w:rFonts w:ascii="Times New Roman" w:hAnsi="Times New Roman" w:cs="Times New Roman"/>
          <w:i/>
          <w:sz w:val="24"/>
          <w:szCs w:val="24"/>
        </w:rPr>
        <w:t xml:space="preserve">Plasmodium </w:t>
      </w:r>
      <w:proofErr w:type="spellStart"/>
      <w:r w:rsidR="00F57D9D" w:rsidRPr="00F57D9D">
        <w:rPr>
          <w:rFonts w:ascii="Times New Roman" w:hAnsi="Times New Roman" w:cs="Times New Roman"/>
          <w:i/>
          <w:sz w:val="24"/>
          <w:szCs w:val="24"/>
        </w:rPr>
        <w:t>faciparum</w:t>
      </w:r>
      <w:proofErr w:type="spellEnd"/>
      <w:r w:rsidR="00FA158F" w:rsidRPr="00A22E9D">
        <w:rPr>
          <w:rFonts w:ascii="Times New Roman" w:hAnsi="Times New Roman" w:cs="Times New Roman"/>
          <w:sz w:val="24"/>
          <w:szCs w:val="24"/>
        </w:rPr>
        <w:t>, particularly when the patient is unable to take other antimalarial drugs.</w:t>
      </w:r>
      <w:r w:rsidR="002809AE" w:rsidRPr="00A22E9D">
        <w:rPr>
          <w:rFonts w:ascii="Times New Roman" w:hAnsi="Times New Roman" w:cs="Times New Roman"/>
          <w:sz w:val="24"/>
          <w:szCs w:val="24"/>
        </w:rPr>
        <w:t xml:space="preserve"> </w:t>
      </w:r>
      <w:r w:rsidR="00FA158F" w:rsidRPr="00A22E9D">
        <w:rPr>
          <w:rFonts w:ascii="Times New Roman" w:hAnsi="Times New Roman" w:cs="Times New Roman"/>
          <w:sz w:val="24"/>
          <w:szCs w:val="24"/>
        </w:rPr>
        <w:t>Quinine is given intravenously or intramuscularly, and the treatment course typically lasts for 7-10 days</w:t>
      </w:r>
      <w:r w:rsidR="002649FE" w:rsidRPr="00A22E9D">
        <w:rPr>
          <w:rFonts w:ascii="Times New Roman" w:hAnsi="Times New Roman" w:cs="Times New Roman"/>
          <w:sz w:val="24"/>
          <w:szCs w:val="24"/>
        </w:rPr>
        <w:t xml:space="preserve"> </w:t>
      </w:r>
      <w:r w:rsidR="00A47744"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{"citationID":"IFE3g0c8","properties":{"formattedCitation":"(Achan et al., 2011)","plainCitation":"(Achan et al., 2011)","noteIndex":0},"citationItems":[{"id":64,"uris":["http://zotero.org/users/local/BeK2zaGK/items/NDWNIBSI"],"itemData":{"id":64,"type":"article-journal","abstract":"Quinine remains an important anti-malarial drug almost 400 years after its effectiveness was first documented. However, its continued use is challenged by its poor tolerability, poor compliance with complex dosing regimens, and the availability of more efficacious anti-malarial drugs. This article reviews the historical role of quinine, considers its current usage and provides insight into its appropriate future use in the treatment of malaria. In light of recent research findings intravenous artesunate should be the first-line drug for severe malaria, with quinine as an alternative. The role of rectal quinine as pre-referral treatment for severe malaria has not been fully explored, but it remains a promising intervention. In pregnancy, quinine continues to play a critical role in the management of malaria, especially in the first trimester, and it will remain a mainstay of treatment until safer alternatives become available. For uncomplicated malaria, artemisinin-based combination therapy (ACT) offers a better option than quinine though the difficulty of maintaining a steady supply of ACT in resource-limited settings renders the rapid withdrawal of quinine for uncomplicated malaria cases risky. The best approach would be to identify solutions to ACT stock-outs, maintain quinine in case of ACT stock-outs, and evaluate strategies for improving quinine treatment outcomes by combining it with antibiotics. In HIV and TB infected populations, concerns about potential interactions between quinine and antiretroviral and anti-tuberculosis drugs exist, and these will need further research and pharmacovigilance.","container-title":"Malaria Journal","DOI":"10.1186/1475-2875-10-144","ISSN":"1475-2875","journalAbbreviation":"Malar J","language":"eng","note":"PMID: 21609473\nPMCID: PMC3121651","page":"144","source":"PubMed","title":"Quinine, an old anti-malarial drug in a modern world: role in the treatment of malaria","title-short":"Quinine, an old anti-malarial drug in a modern world","volume":"10","author":[{"family":"Achan","given":"Jane"},{"family":"Talisuna","given":"Ambrose O."},{"family":"Erhart","given":"Annette"},{"family":"Yeka","given":"Adoke"},{"family":"Tibenderana","given":"James K."},{"family":"Baliraine","given":"Frederick N."},{"family":"Rosenthal","given":"Philip J."},{"family":"D'Alessandro","given":"Umberto"}],"issued":{"date-parts":[["2011",5,24]]}}}],"schema":"https://github.com/citation-style-language/schema/raw/master/csl-citation.json"} </w:instrText>
      </w:r>
      <w:r w:rsidR="00A47744"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(Achan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2011)</w:t>
      </w:r>
      <w:r w:rsidR="00A47744" w:rsidRPr="00A22E9D">
        <w:rPr>
          <w:rFonts w:ascii="Times New Roman" w:hAnsi="Times New Roman" w:cs="Times New Roman"/>
          <w:sz w:val="24"/>
          <w:szCs w:val="24"/>
        </w:rPr>
        <w:fldChar w:fldCharType="end"/>
      </w:r>
      <w:r w:rsidR="002649FE" w:rsidRPr="00A22E9D">
        <w:rPr>
          <w:rFonts w:ascii="Times New Roman" w:hAnsi="Times New Roman" w:cs="Times New Roman"/>
          <w:sz w:val="24"/>
          <w:szCs w:val="24"/>
        </w:rPr>
        <w:t>.</w:t>
      </w:r>
      <w:r w:rsidR="002809AE" w:rsidRPr="00A22E9D">
        <w:rPr>
          <w:rFonts w:ascii="Times New Roman" w:hAnsi="Times New Roman" w:cs="Times New Roman"/>
          <w:sz w:val="24"/>
          <w:szCs w:val="24"/>
        </w:rPr>
        <w:t xml:space="preserve"> </w:t>
      </w:r>
      <w:r w:rsidR="00FA158F" w:rsidRPr="00A22E9D">
        <w:rPr>
          <w:rFonts w:ascii="Times New Roman" w:hAnsi="Times New Roman" w:cs="Times New Roman"/>
          <w:sz w:val="24"/>
          <w:szCs w:val="24"/>
        </w:rPr>
        <w:t xml:space="preserve">Quinine is associated with a number of side effects, such as </w:t>
      </w:r>
      <w:proofErr w:type="spellStart"/>
      <w:r w:rsidR="00FA158F" w:rsidRPr="00A22E9D">
        <w:rPr>
          <w:rFonts w:ascii="Times New Roman" w:hAnsi="Times New Roman" w:cs="Times New Roman"/>
          <w:sz w:val="24"/>
          <w:szCs w:val="24"/>
        </w:rPr>
        <w:t>cinchonism</w:t>
      </w:r>
      <w:proofErr w:type="spellEnd"/>
      <w:r w:rsidR="00FA158F" w:rsidRPr="00A22E9D">
        <w:rPr>
          <w:rFonts w:ascii="Times New Roman" w:hAnsi="Times New Roman" w:cs="Times New Roman"/>
          <w:sz w:val="24"/>
          <w:szCs w:val="24"/>
        </w:rPr>
        <w:t xml:space="preserve"> (tinnitus, headache, nausea, and confusion), thrombocytopenia, and hypoglyc</w:t>
      </w:r>
      <w:r w:rsidR="00A51417" w:rsidRPr="00A22E9D">
        <w:rPr>
          <w:rFonts w:ascii="Times New Roman" w:hAnsi="Times New Roman" w:cs="Times New Roman"/>
          <w:sz w:val="24"/>
          <w:szCs w:val="24"/>
        </w:rPr>
        <w:t>a</w:t>
      </w:r>
      <w:r w:rsidR="00FA158F" w:rsidRPr="00A22E9D">
        <w:rPr>
          <w:rFonts w:ascii="Times New Roman" w:hAnsi="Times New Roman" w:cs="Times New Roman"/>
          <w:sz w:val="24"/>
          <w:szCs w:val="24"/>
        </w:rPr>
        <w:t>emia. These side effects need to be closely monitored by healthcare professionals, and appropriate measures taken if necessary.</w:t>
      </w:r>
      <w:r w:rsidR="002809AE" w:rsidRPr="00A22E9D">
        <w:rPr>
          <w:rFonts w:ascii="Times New Roman" w:hAnsi="Times New Roman" w:cs="Times New Roman"/>
          <w:sz w:val="24"/>
          <w:szCs w:val="24"/>
        </w:rPr>
        <w:t xml:space="preserve"> </w:t>
      </w:r>
      <w:r w:rsidR="00FA158F" w:rsidRPr="00A22E9D">
        <w:rPr>
          <w:rFonts w:ascii="Times New Roman" w:hAnsi="Times New Roman" w:cs="Times New Roman"/>
          <w:sz w:val="24"/>
          <w:szCs w:val="24"/>
        </w:rPr>
        <w:t>Quinine is not recommended for the treatment of uncomplicated malaria, as it is less effective than ACTs and other antimalarials.</w:t>
      </w:r>
      <w:r w:rsidR="002809AE" w:rsidRPr="00A22E9D">
        <w:rPr>
          <w:rFonts w:ascii="Times New Roman" w:hAnsi="Times New Roman" w:cs="Times New Roman"/>
          <w:sz w:val="24"/>
          <w:szCs w:val="24"/>
        </w:rPr>
        <w:t xml:space="preserve"> </w:t>
      </w:r>
      <w:r w:rsidR="00FA158F" w:rsidRPr="00A22E9D">
        <w:rPr>
          <w:rFonts w:ascii="Times New Roman" w:hAnsi="Times New Roman" w:cs="Times New Roman"/>
          <w:sz w:val="24"/>
          <w:szCs w:val="24"/>
        </w:rPr>
        <w:t>Resistance to quinine has been reported in some areas, which further limits its utility as a treatment option</w:t>
      </w:r>
      <w:r w:rsidR="002649FE" w:rsidRPr="00A22E9D">
        <w:rPr>
          <w:rFonts w:ascii="Times New Roman" w:hAnsi="Times New Roman" w:cs="Times New Roman"/>
          <w:sz w:val="24"/>
          <w:szCs w:val="24"/>
        </w:rPr>
        <w:t xml:space="preserve"> </w:t>
      </w:r>
      <w:r w:rsidR="00A47744"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{"citationID":"UlfWbGbc","properties":{"formattedCitation":"(Achan et al., 2009)","plainCitation":"(Achan et al., 2009)","noteIndex":0},"citationItems":[{"id":67,"uris":["http://zotero.org/users/local/BeK2zaGK/items/Q7T9WGGF"],"itemData":{"id":67,"type":"article-journal","abstract":"Objective To compare the effectiveness of oral quinine with that of artemether-lumefantrine in treating uncomplicated malaria in children., Design Randomised, open label effectiveness study., Setting Outpatient clinic of Uganda’s national referral hospital in Kampala., Participants 175 children aged 6 to 59 months with uncomplicated malaria., Interventions Participants were randomised to receive oral quinine or artemether-lumefantrine administered by care givers at home., Main outcome measures Primary outcomes were parasitological cure rates after 28 days of follow-up unadjusted and adjusted by genotyping to distinguish recrudescence from new infections. Secondary outcomes were adherence to study drug, presence of gametocytes, recovery of haemoglobin concentration from baseline at day 28, and safety profiles., Results Using survival analysis the cure rate unadjusted by genotyping was 96% for the artemether-lumefantrine group compared with 64% for the quinine group (hazard ratio 10.7, 95% confidence interval 3.3 to 35.5, P=0.001). In the quinine group 69% (18/26) of parasitological failures were due to recrudescence compared with none in the artemether-lumefantrine group. The mean adherence to artemether-lumefantrine was 94.5% compared with 85.4% to quinine (P=0.0008). Having adherence levels of 80% or more was associated with a decreased risk of treatment failure (0.44, 0.19 to 1.02, P=0.06). Adverse events did not differ between the two groups., Conclusions The effectiveness of a seven day course of quinine for the treatment of uncomplicated malaria in Ugandan children was significantly lower than that of artemether-lumefantrine. These findings question the advisability of the recommendation for quinine therapy for uncomplicated malaria in Africa., Trial registration ClinicalTrials.gov NCT00540202.","container-title":"The BMJ","DOI":"10.1136/bmj.b2763","ISSN":"0959-8138","journalAbbreviation":"BMJ","note":"PMID: 19622553\nPMCID: PMC2714631","page":"b2763","source":"PubMed Central","title":"Effectiveness of quinine versus artemether-lumefantrine for treating uncomplicated falciparum malaria in Ugandan children: randomised trial","title-short":"Effectiveness of quinine versus artemether-lumefantrine for treating uncomplicated falciparum malaria in Ugandan children","volume":"339","author":[{"family":"Achan","given":"Jane"},{"family":"Tibenderana","given":"James K"},{"family":"Kyabayinze","given":"Daniel"},{"family":"Wabwire Mangen","given":"Fred"},{"family":"Kamya","given":"Moses R"},{"family":"Dorsey","given":"Grant"},{"family":"D’Alessandro","given":"Umberto"},{"family":"Rosenthal","given":"Philip J"},{"family":"Talisuna","given":"Ambrose O"}],"issued":{"date-parts":[["2009",7,21]]}}}],"schema":"https://github.com/citation-style-language/schema/raw/master/csl-citation.json"} </w:instrText>
      </w:r>
      <w:r w:rsidR="00A47744"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(Achan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2009)</w:t>
      </w:r>
      <w:r w:rsidR="00A47744" w:rsidRPr="00A22E9D">
        <w:rPr>
          <w:rFonts w:ascii="Times New Roman" w:hAnsi="Times New Roman" w:cs="Times New Roman"/>
          <w:sz w:val="24"/>
          <w:szCs w:val="24"/>
        </w:rPr>
        <w:fldChar w:fldCharType="end"/>
      </w:r>
      <w:r w:rsidR="002649FE" w:rsidRPr="00A22E9D">
        <w:rPr>
          <w:rFonts w:ascii="Times New Roman" w:hAnsi="Times New Roman" w:cs="Times New Roman"/>
          <w:sz w:val="24"/>
          <w:szCs w:val="24"/>
        </w:rPr>
        <w:t>.</w:t>
      </w:r>
      <w:r w:rsidR="00A47744" w:rsidRPr="00A22E9D">
        <w:rPr>
          <w:rFonts w:ascii="Times New Roman" w:hAnsi="Times New Roman" w:cs="Times New Roman"/>
          <w:sz w:val="24"/>
          <w:szCs w:val="24"/>
        </w:rPr>
        <w:t xml:space="preserve"> </w:t>
      </w:r>
      <w:r w:rsidR="00FA158F" w:rsidRPr="00A22E9D">
        <w:rPr>
          <w:rFonts w:ascii="Times New Roman" w:hAnsi="Times New Roman" w:cs="Times New Roman"/>
          <w:sz w:val="24"/>
          <w:szCs w:val="24"/>
        </w:rPr>
        <w:t>WHO recommends that quinine should only be used in specific situations when other options are not available, and it should be used in combination with other antimalarial drugs.</w:t>
      </w:r>
      <w:r w:rsidR="002809AE" w:rsidRPr="00A22E9D">
        <w:rPr>
          <w:rFonts w:ascii="Times New Roman" w:hAnsi="Times New Roman" w:cs="Times New Roman"/>
          <w:sz w:val="24"/>
          <w:szCs w:val="24"/>
        </w:rPr>
        <w:t xml:space="preserve"> </w:t>
      </w:r>
      <w:r w:rsidR="00FA158F" w:rsidRPr="00A22E9D">
        <w:rPr>
          <w:rFonts w:ascii="Times New Roman" w:hAnsi="Times New Roman" w:cs="Times New Roman"/>
          <w:sz w:val="24"/>
          <w:szCs w:val="24"/>
        </w:rPr>
        <w:t>In some cases, the use of quinine may be considered as a second-line treatment option if the patient is unable to take other antimalarial drugs or if the strain of malaria is resistant to other drugs.</w:t>
      </w:r>
    </w:p>
    <w:p w14:paraId="1B9160AC" w14:textId="2B596ADB" w:rsidR="005F0932" w:rsidRPr="00A22E9D" w:rsidRDefault="00FB40ED">
      <w:pPr>
        <w:pStyle w:val="ListParagraph"/>
        <w:numPr>
          <w:ilvl w:val="2"/>
          <w:numId w:val="1"/>
        </w:numPr>
        <w:spacing w:line="480" w:lineRule="auto"/>
        <w:jc w:val="both"/>
        <w:rPr>
          <w:rFonts w:ascii="Times New Roman" w:hAnsi="Times New Roman" w:cs="Times New Roman"/>
          <w:sz w:val="24"/>
          <w:szCs w:val="24"/>
        </w:rPr>
      </w:pPr>
      <w:r w:rsidRPr="00A22E9D">
        <w:rPr>
          <w:rStyle w:val="Heading4Char"/>
          <w:rFonts w:cs="Times New Roman"/>
        </w:rPr>
        <w:t>O</w:t>
      </w:r>
      <w:r w:rsidR="007F5200" w:rsidRPr="00A22E9D">
        <w:rPr>
          <w:rStyle w:val="Heading4Char"/>
          <w:rFonts w:cs="Times New Roman"/>
        </w:rPr>
        <w:t>ther medications</w:t>
      </w:r>
      <w:r w:rsidRPr="00A22E9D">
        <w:rPr>
          <w:rStyle w:val="Heading4Char"/>
          <w:rFonts w:cs="Times New Roman"/>
        </w:rPr>
        <w:t xml:space="preserve"> </w:t>
      </w:r>
      <w:r w:rsidR="007F5200" w:rsidRPr="00A22E9D">
        <w:rPr>
          <w:rStyle w:val="Heading4Char"/>
          <w:rFonts w:cs="Times New Roman"/>
        </w:rPr>
        <w:t>used to prevent</w:t>
      </w:r>
      <w:r w:rsidRPr="00A22E9D">
        <w:rPr>
          <w:rStyle w:val="Heading4Char"/>
          <w:rFonts w:cs="Times New Roman"/>
        </w:rPr>
        <w:t xml:space="preserve"> </w:t>
      </w:r>
      <w:r w:rsidR="007F5200" w:rsidRPr="00A22E9D">
        <w:rPr>
          <w:rStyle w:val="Heading4Char"/>
          <w:rFonts w:cs="Times New Roman"/>
        </w:rPr>
        <w:t>and treat malaria</w:t>
      </w:r>
      <w:r w:rsidR="007F5200" w:rsidRPr="00A22E9D">
        <w:rPr>
          <w:rFonts w:ascii="Times New Roman" w:hAnsi="Times New Roman" w:cs="Times New Roman"/>
          <w:sz w:val="24"/>
          <w:szCs w:val="24"/>
        </w:rPr>
        <w:t>:</w:t>
      </w:r>
    </w:p>
    <w:p w14:paraId="104E01B8" w14:textId="554924EA" w:rsidR="007F5200" w:rsidRPr="00A22E9D" w:rsidRDefault="007F5200"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Primaquine is an 8-aminoquinoline drug that is used to clear the liver stage of the parasite, which is important to prevent relapses in vivax malaria. Primaquine is usually given in combination with other antimalarials such as chloroquine or ACTs</w:t>
      </w:r>
      <w:r w:rsidR="005F0932" w:rsidRPr="00A22E9D">
        <w:rPr>
          <w:rFonts w:ascii="Times New Roman" w:hAnsi="Times New Roman" w:cs="Times New Roman"/>
          <w:sz w:val="24"/>
          <w:szCs w:val="24"/>
        </w:rPr>
        <w:t xml:space="preserve"> </w:t>
      </w:r>
      <w:r w:rsidR="00D92269"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{"citationID":"geKXmygm","properties":{"formattedCitation":"(Ashley et al., 2014)","plainCitation":"(Ashley et al., 2014)","noteIndex":0},"citationItems":[{"id":70,"uris":["http://zotero.org/users/local/BeK2zaGK/items/Y69T8BBA"],"itemData":{"id":70,"type":"article-journal","abstract":"Primaquine is the only generally available anti-malarial that prevents relapse in vivax and ovale malaria, and the only potent gametocytocide in falciparum malaria. Primaquine becomes increasingly important as malaria-endemic countries move towards elimination, and although it is widely recommended, it is commonly not given to malaria patients because of haemolytic toxicity in subjects who are glucose-6-phosphate dehydrogenase (G6PD) deficient (gene frequency typically 3-30% in malaria endemic areas; &gt;180 different genetic variants). In six decades of primaquine use in approximately 200 million people, 14 deaths have been reported. Confining the estimate to reports with known denominators gives an estimated mortality of one in 621,428 (upper 95% CI: one in 407,807). All but one death followed multiple dosing to prevent vivax malaria relapse. Review of dose-response relationships and clinical trials of primaquine in G6PD deficiency suggests that the currently recommended WHO single low dose (0.25 mg base/kg) to block falciparum malaria transmission confers a very low risk of haemolytic toxicity.","container-title":"Malaria Journal","DOI":"10.1186/1475-2875-13-418","ISSN":"1475-2875","issue":"1","journalAbbreviation":"Malaria Journal","page":"418","source":"BioMed Central","title":"Primaquine: the risks and the benefits","title-short":"Primaquine","volume":"13","author":[{"family":"Ashley","given":"Elizabeth A."},{"family":"Recht","given":"Judith"},{"family":"White","given":"Nicholas J."}],"issued":{"date-parts":[["2014",11,3]]}}}],"schema":"https://github.com/citation-style-language/schema/raw/master/csl-citation.json"} </w:instrText>
      </w:r>
      <w:r w:rsidR="00D92269"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(Ashley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2014)</w:t>
      </w:r>
      <w:r w:rsidR="00D92269" w:rsidRPr="00A22E9D">
        <w:rPr>
          <w:rFonts w:ascii="Times New Roman" w:hAnsi="Times New Roman" w:cs="Times New Roman"/>
          <w:sz w:val="24"/>
          <w:szCs w:val="24"/>
        </w:rPr>
        <w:fldChar w:fldCharType="end"/>
      </w:r>
      <w:r w:rsidR="00FB40ED" w:rsidRPr="00A22E9D">
        <w:rPr>
          <w:rFonts w:ascii="Times New Roman" w:hAnsi="Times New Roman" w:cs="Times New Roman"/>
          <w:sz w:val="24"/>
          <w:szCs w:val="24"/>
        </w:rPr>
        <w:t xml:space="preserve">. Another medication is </w:t>
      </w:r>
      <w:r w:rsidRPr="00A22E9D">
        <w:rPr>
          <w:rFonts w:ascii="Times New Roman" w:hAnsi="Times New Roman" w:cs="Times New Roman"/>
          <w:sz w:val="24"/>
          <w:szCs w:val="24"/>
        </w:rPr>
        <w:t xml:space="preserve">Atovaquone-proguanil </w:t>
      </w:r>
      <w:r w:rsidR="00FB40ED" w:rsidRPr="00A22E9D">
        <w:rPr>
          <w:rFonts w:ascii="Times New Roman" w:hAnsi="Times New Roman" w:cs="Times New Roman"/>
          <w:sz w:val="24"/>
          <w:szCs w:val="24"/>
        </w:rPr>
        <w:t xml:space="preserve">which </w:t>
      </w:r>
      <w:r w:rsidRPr="00A22E9D">
        <w:rPr>
          <w:rFonts w:ascii="Times New Roman" w:hAnsi="Times New Roman" w:cs="Times New Roman"/>
          <w:sz w:val="24"/>
          <w:szCs w:val="24"/>
        </w:rPr>
        <w:t xml:space="preserve">is a combination drug that is used to prevent and treat </w:t>
      </w:r>
      <w:r w:rsidRPr="00A22E9D">
        <w:rPr>
          <w:rFonts w:ascii="Times New Roman" w:hAnsi="Times New Roman" w:cs="Times New Roman"/>
          <w:sz w:val="24"/>
          <w:szCs w:val="24"/>
        </w:rPr>
        <w:lastRenderedPageBreak/>
        <w:t>malaria in non-immune travellers. It is taken daily, starting one or two days before travel, and continuing for seven days after leaving the malaria-endemic area</w:t>
      </w:r>
      <w:r w:rsidR="00571AA6" w:rsidRPr="00A22E9D">
        <w:rPr>
          <w:rFonts w:ascii="Times New Roman" w:hAnsi="Times New Roman" w:cs="Times New Roman"/>
          <w:sz w:val="24"/>
          <w:szCs w:val="24"/>
        </w:rPr>
        <w:t xml:space="preserve"> </w:t>
      </w:r>
      <w:r w:rsidR="00571AA6"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{"citationID":"A8Vuzv4q","properties":{"formattedCitation":"(Osei\\uc0\\u8208{}Akoto et al., 2005)","plainCitation":"(Osei‐Akoto et al., 2005)","noteIndex":0},"citationItems":[{"id":74,"uris":["http://zotero.org/users/local/BeK2zaGK/items/SSPQZTXD"],"itemData":{"id":74,"type":"article-journal","abstract":"Many conventional treatments for uncomplicated malaria are failing because malaria parasites develop resistance to them. One way to combat this resistance is to treat people with a combination of drugs, such as atovaquone‐proguanil.To compare ...","container-title":"The Cochrane Database of Systematic Reviews","DOI":"10.1002/14651858.CD004529.pub2","ISSN":"1465-1858","issue":"4","language":"en","note":"publisher: John Wiley and Sons, Inc. and the Cochrane Library\nPMID: 16235366","source":"www.ncbi.nlm.nih.gov","title":"Atovaquone‐proguanil for treating uncomplicated malaria","URL":"https://www.ncbi.nlm.nih.gov/pmc/articles/PMC6532621/","volume":"2005","author":[{"family":"Osei‐Akoto","given":"Alex"},{"family":"Orton","given":"Lois C."},{"family":"Owusu‐Ofori","given":"Shirley"}],"accessed":{"date-parts":[["2023",2,2]]},"issued":{"date-parts":[["2005",10]]}}}],"schema":"https://github.com/citation-style-language/schema/raw/master/csl-citation.json"} </w:instrText>
      </w:r>
      <w:r w:rsidR="00571AA6" w:rsidRPr="00A22E9D">
        <w:rPr>
          <w:rFonts w:ascii="Times New Roman" w:hAnsi="Times New Roman" w:cs="Times New Roman"/>
          <w:sz w:val="24"/>
          <w:szCs w:val="24"/>
        </w:rPr>
        <w:fldChar w:fldCharType="separate"/>
      </w:r>
      <w:r w:rsidR="007A743A" w:rsidRPr="00A22E9D">
        <w:rPr>
          <w:rFonts w:ascii="Times New Roman" w:hAnsi="Times New Roman" w:cs="Times New Roman"/>
          <w:sz w:val="24"/>
          <w:szCs w:val="24"/>
        </w:rPr>
        <w:t xml:space="preserve">(Osei‐Akoto </w:t>
      </w:r>
      <w:r w:rsidR="00F57D9D" w:rsidRPr="00F57D9D">
        <w:rPr>
          <w:rFonts w:ascii="Times New Roman" w:hAnsi="Times New Roman" w:cs="Times New Roman"/>
          <w:i/>
          <w:sz w:val="24"/>
          <w:szCs w:val="24"/>
        </w:rPr>
        <w:t>et al</w:t>
      </w:r>
      <w:r w:rsidR="007A743A" w:rsidRPr="00A22E9D">
        <w:rPr>
          <w:rFonts w:ascii="Times New Roman" w:hAnsi="Times New Roman" w:cs="Times New Roman"/>
          <w:sz w:val="24"/>
          <w:szCs w:val="24"/>
        </w:rPr>
        <w:t>., 2005)</w:t>
      </w:r>
      <w:r w:rsidR="00571AA6" w:rsidRPr="00A22E9D">
        <w:rPr>
          <w:rFonts w:ascii="Times New Roman" w:hAnsi="Times New Roman" w:cs="Times New Roman"/>
          <w:sz w:val="24"/>
          <w:szCs w:val="24"/>
        </w:rPr>
        <w:fldChar w:fldCharType="end"/>
      </w:r>
      <w:r w:rsidR="00FB40ED" w:rsidRPr="00A22E9D">
        <w:rPr>
          <w:rFonts w:ascii="Times New Roman" w:hAnsi="Times New Roman" w:cs="Times New Roman"/>
          <w:sz w:val="24"/>
          <w:szCs w:val="24"/>
        </w:rPr>
        <w:t>. We also have</w:t>
      </w:r>
      <w:r w:rsidRPr="00A22E9D">
        <w:rPr>
          <w:rFonts w:ascii="Times New Roman" w:hAnsi="Times New Roman" w:cs="Times New Roman"/>
          <w:sz w:val="24"/>
          <w:szCs w:val="24"/>
        </w:rPr>
        <w:t xml:space="preserve"> Doxycycline a tetracycline antibiotic that is used as an alternative antimalarial prophylaxis for non-immune travel</w:t>
      </w:r>
      <w:r w:rsidR="00571AA6" w:rsidRPr="00A22E9D">
        <w:rPr>
          <w:rFonts w:ascii="Times New Roman" w:hAnsi="Times New Roman" w:cs="Times New Roman"/>
          <w:sz w:val="24"/>
          <w:szCs w:val="24"/>
        </w:rPr>
        <w:t>l</w:t>
      </w:r>
      <w:r w:rsidRPr="00A22E9D">
        <w:rPr>
          <w:rFonts w:ascii="Times New Roman" w:hAnsi="Times New Roman" w:cs="Times New Roman"/>
          <w:sz w:val="24"/>
          <w:szCs w:val="24"/>
        </w:rPr>
        <w:t>ers</w:t>
      </w:r>
      <w:r w:rsidR="002649FE" w:rsidRPr="00A22E9D">
        <w:rPr>
          <w:rFonts w:ascii="Times New Roman" w:hAnsi="Times New Roman" w:cs="Times New Roman"/>
          <w:sz w:val="24"/>
          <w:szCs w:val="24"/>
        </w:rPr>
        <w:t xml:space="preserve"> </w:t>
      </w:r>
      <w:r w:rsidR="00683F1A"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{"citationID":"Z1W5aIaA","properties":{"formattedCitation":"(Tan et al., 2011)","plainCitation":"(Tan et al., 2011)","noteIndex":0},"citationItems":[{"id":59,"uris":["http://zotero.org/users/local/BeK2zaGK/items/W8C2RDSC"],"itemData":{"id":59,"type":"article-journal","abstract":"Doxycycline, a synthetically derived tetracycline, is a partially efficacious causal prophylactic (liver stage of Plasmodium) drug and a slow acting blood schizontocidal agent highly effective for the prevention of malaria. When used in conjunction with a fast acting schizontocidal agent, it is also highly effective for malaria treatment. Doxycycline is especially useful as a prophylaxis in areas with chloroquine and multidrug-resistant Plasmodium falciparum malaria. Although not recommended for pregnant women and children &lt; 8 years of age, severe adverse events are rarely reported for doxycycline. This report examines the evidence behind current recommendations for the use of doxycycline for malaria and summarizes the available literature on its safety and tolerability.","container-title":"The American Journal of Tropical Medicine and Hygiene","DOI":"10.4269/ajtmh.2011.10-0285","ISSN":"0002-9637","issue":"4","journalAbbreviation":"Am J Trop Med Hyg","note":"PMID: 21460003\nPMCID: PMC3062442","page":"517-531","source":"PubMed Central","title":"Doxycycline for Malaria Chemoprophylaxis and Treatment: Report from the CDC Expert Meeting on Malaria Chemoprophylaxis","title-short":"Doxycycline for Malaria Chemoprophylaxis and Treatment","volume":"84","author":[{"family":"Tan","given":"Kathrine R."},{"family":"Magill","given":"Alan J."},{"family":"Parise","given":"Monica E."},{"family":"Arguin","given":"Paul M."}],"issued":{"date-parts":[["2011",4,5]]}}}],"schema":"https://github.com/citation-style-language/schema/raw/master/csl-citation.json"} </w:instrText>
      </w:r>
      <w:r w:rsidR="00683F1A"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(Tan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2011)</w:t>
      </w:r>
      <w:r w:rsidR="00683F1A" w:rsidRPr="00A22E9D">
        <w:rPr>
          <w:rFonts w:ascii="Times New Roman" w:hAnsi="Times New Roman" w:cs="Times New Roman"/>
          <w:sz w:val="24"/>
          <w:szCs w:val="24"/>
        </w:rPr>
        <w:fldChar w:fldCharType="end"/>
      </w:r>
      <w:r w:rsidR="002649FE" w:rsidRPr="00A22E9D">
        <w:rPr>
          <w:rFonts w:ascii="Times New Roman" w:hAnsi="Times New Roman" w:cs="Times New Roman"/>
          <w:sz w:val="24"/>
          <w:szCs w:val="24"/>
        </w:rPr>
        <w:t xml:space="preserve">. </w:t>
      </w:r>
      <w:r w:rsidRPr="00A22E9D">
        <w:rPr>
          <w:rFonts w:ascii="Times New Roman" w:hAnsi="Times New Roman" w:cs="Times New Roman"/>
          <w:sz w:val="24"/>
          <w:szCs w:val="24"/>
        </w:rPr>
        <w:t>Azithromycin is a macrolide antibiotic that is used as an alternative antimalarial prophylaxis for non-immune travellers.</w:t>
      </w:r>
      <w:r w:rsidR="005F0932" w:rsidRPr="00A22E9D">
        <w:rPr>
          <w:rFonts w:ascii="Times New Roman" w:hAnsi="Times New Roman" w:cs="Times New Roman"/>
          <w:sz w:val="24"/>
          <w:szCs w:val="24"/>
        </w:rPr>
        <w:t xml:space="preserve"> </w:t>
      </w:r>
      <w:r w:rsidRPr="00A22E9D">
        <w:rPr>
          <w:rFonts w:ascii="Times New Roman" w:hAnsi="Times New Roman" w:cs="Times New Roman"/>
          <w:sz w:val="24"/>
          <w:szCs w:val="24"/>
        </w:rPr>
        <w:t>Proguanil is a synthetic biguanide that is used as a prophylactic agent against malaria, usually in combination with chloroquine or atovaquone-proguanil.</w:t>
      </w:r>
    </w:p>
    <w:p w14:paraId="4A2768CF" w14:textId="77777777" w:rsidR="007F5200" w:rsidRPr="00A22E9D" w:rsidRDefault="007F5200"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It's important to note that these drugs have a different mechanism of action, indication and side effects, and the choice of drugs will depend on the patient's general health status, the resistance patterns of the parasite in the area where the patient was infected, and the severity of the disease. Also, consulting a healthcare professional and following their recommendations is crucial when taking any of these drugs.</w:t>
      </w:r>
    </w:p>
    <w:p w14:paraId="1D790BF8" w14:textId="77777777" w:rsidR="00496A87" w:rsidRPr="00A22E9D" w:rsidRDefault="00644663">
      <w:pPr>
        <w:pStyle w:val="ListParagraph"/>
        <w:numPr>
          <w:ilvl w:val="2"/>
          <w:numId w:val="1"/>
        </w:numPr>
        <w:spacing w:line="480" w:lineRule="auto"/>
        <w:jc w:val="both"/>
        <w:rPr>
          <w:rFonts w:ascii="Times New Roman" w:hAnsi="Times New Roman" w:cs="Times New Roman"/>
          <w:sz w:val="24"/>
          <w:szCs w:val="24"/>
        </w:rPr>
      </w:pPr>
      <w:r w:rsidRPr="00A22E9D">
        <w:rPr>
          <w:rStyle w:val="Heading4Char"/>
          <w:rFonts w:cs="Times New Roman"/>
        </w:rPr>
        <w:t>Supportive therapy</w:t>
      </w:r>
      <w:r w:rsidRPr="00A22E9D">
        <w:rPr>
          <w:rFonts w:ascii="Times New Roman" w:hAnsi="Times New Roman" w:cs="Times New Roman"/>
          <w:sz w:val="24"/>
          <w:szCs w:val="24"/>
        </w:rPr>
        <w:t xml:space="preserve">: </w:t>
      </w:r>
    </w:p>
    <w:p w14:paraId="328A269B" w14:textId="4E192008" w:rsidR="00C35170" w:rsidRPr="00A22E9D" w:rsidRDefault="00644663"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Malaria can cause serious complications, such as severe </w:t>
      </w:r>
      <w:r w:rsidR="006D0AC6" w:rsidRPr="00A22E9D">
        <w:rPr>
          <w:rFonts w:ascii="Times New Roman" w:hAnsi="Times New Roman" w:cs="Times New Roman"/>
          <w:sz w:val="24"/>
          <w:szCs w:val="24"/>
        </w:rPr>
        <w:t>anaemia</w:t>
      </w:r>
      <w:r w:rsidRPr="00A22E9D">
        <w:rPr>
          <w:rFonts w:ascii="Times New Roman" w:hAnsi="Times New Roman" w:cs="Times New Roman"/>
          <w:sz w:val="24"/>
          <w:szCs w:val="24"/>
        </w:rPr>
        <w:t>,</w:t>
      </w:r>
      <w:r w:rsidR="00496A87" w:rsidRPr="00A22E9D">
        <w:rPr>
          <w:rFonts w:ascii="Times New Roman" w:hAnsi="Times New Roman" w:cs="Times New Roman"/>
          <w:sz w:val="24"/>
          <w:szCs w:val="24"/>
        </w:rPr>
        <w:t xml:space="preserve"> </w:t>
      </w:r>
      <w:r w:rsidRPr="00A22E9D">
        <w:rPr>
          <w:rFonts w:ascii="Times New Roman" w:hAnsi="Times New Roman" w:cs="Times New Roman"/>
          <w:sz w:val="24"/>
          <w:szCs w:val="24"/>
        </w:rPr>
        <w:t>cerebral malaria, and acute renal failure, that require supportive therapy. Supportive therapy includes providing fluids and electrolytes, oxygen, and blood transfusions if needed.</w:t>
      </w:r>
      <w:r w:rsidR="00496A87" w:rsidRPr="00A22E9D">
        <w:rPr>
          <w:rFonts w:ascii="Times New Roman" w:hAnsi="Times New Roman" w:cs="Times New Roman"/>
          <w:sz w:val="24"/>
          <w:szCs w:val="24"/>
        </w:rPr>
        <w:t xml:space="preserve"> </w:t>
      </w:r>
      <w:r w:rsidR="00C35170" w:rsidRPr="00A22E9D">
        <w:rPr>
          <w:rFonts w:ascii="Times New Roman" w:hAnsi="Times New Roman" w:cs="Times New Roman"/>
          <w:sz w:val="24"/>
          <w:szCs w:val="24"/>
        </w:rPr>
        <w:t>Supportive therapy is an important aspect of treating malaria as it helps to manage the symptoms and complications of the disease</w:t>
      </w:r>
      <w:r w:rsidR="00BB34DB" w:rsidRPr="00A22E9D">
        <w:rPr>
          <w:rFonts w:ascii="Times New Roman" w:hAnsi="Times New Roman" w:cs="Times New Roman"/>
          <w:sz w:val="24"/>
          <w:szCs w:val="24"/>
        </w:rPr>
        <w:t xml:space="preserve"> </w:t>
      </w:r>
      <w:r w:rsidR="00BB34DB" w:rsidRPr="00A22E9D">
        <w:rPr>
          <w:rFonts w:ascii="Times New Roman" w:hAnsi="Times New Roman" w:cs="Times New Roman"/>
          <w:sz w:val="24"/>
          <w:szCs w:val="24"/>
        </w:rPr>
        <w:fldChar w:fldCharType="begin"/>
      </w:r>
      <w:r w:rsidR="00BB34DB" w:rsidRPr="00A22E9D">
        <w:rPr>
          <w:rFonts w:ascii="Times New Roman" w:hAnsi="Times New Roman" w:cs="Times New Roman"/>
          <w:sz w:val="24"/>
          <w:szCs w:val="24"/>
        </w:rPr>
        <w:instrText xml:space="preserve"> ADDIN ZOTERO_ITEM CSL_CITATION {"citationID":"SJJFTWQa","properties":{"formattedCitation":"(Newton &amp; Krishna, 1998)","plainCitation":"(Newton &amp; Krishna, 1998)","noteIndex":0},"citationItems":[{"id":424,"uris":["http://zotero.org/users/local/BeK2zaGK/items/I7P64XMW"],"itemData":{"id":424,"type":"article-journal","abstract":"Severe falciparum malaria is one of the most lethal parasitic infections in the world and is responsible for more than one million deaths in African children per year. Changes to management over the last 40 years have not improved survival. A reduction in the mortality and morbidity may only come about by a better understanding of the pathophysiological processes that are responsible for severe disease and that determine the outcome before antimalarials have had time to work. This review discusses potential adjunctive therapies for severe malaria that are under development following such detailed clinical and pathophysiological studies.","container-title":"Pharmacology &amp; Therapeutics","DOI":"10.1016/S0163-7258(98)00008-4","ISSN":"0163-7258","issue":"1","journalAbbreviation":"Pharmacology &amp; Therapeutics","language":"en","page":"1-53","source":"ScienceDirect","title":"Severe Falciparum Malaria in Children: Current Understanding of Pathophysiology and Supportive Treatment","title-short":"Severe Falciparum Malaria in Children","volume":"79","author":[{"family":"Newton","given":"Charles R. J. C."},{"family":"Krishna","given":"Sanjeev"}],"issued":{"date-parts":[["1998",7,1]]}}}],"schema":"https://github.com/citation-style-language/schema/raw/master/csl-citation.json"} </w:instrText>
      </w:r>
      <w:r w:rsidR="00BB34DB" w:rsidRPr="00A22E9D">
        <w:rPr>
          <w:rFonts w:ascii="Times New Roman" w:hAnsi="Times New Roman" w:cs="Times New Roman"/>
          <w:sz w:val="24"/>
          <w:szCs w:val="24"/>
        </w:rPr>
        <w:fldChar w:fldCharType="separate"/>
      </w:r>
      <w:r w:rsidR="00BB34DB" w:rsidRPr="00A22E9D">
        <w:rPr>
          <w:rFonts w:ascii="Times New Roman" w:hAnsi="Times New Roman" w:cs="Times New Roman"/>
          <w:sz w:val="24"/>
        </w:rPr>
        <w:t>(Newton &amp; Krishna, 1998)</w:t>
      </w:r>
      <w:r w:rsidR="00BB34DB" w:rsidRPr="00A22E9D">
        <w:rPr>
          <w:rFonts w:ascii="Times New Roman" w:hAnsi="Times New Roman" w:cs="Times New Roman"/>
          <w:sz w:val="24"/>
          <w:szCs w:val="24"/>
        </w:rPr>
        <w:fldChar w:fldCharType="end"/>
      </w:r>
      <w:r w:rsidR="00C35170" w:rsidRPr="00A22E9D">
        <w:rPr>
          <w:rFonts w:ascii="Times New Roman" w:hAnsi="Times New Roman" w:cs="Times New Roman"/>
          <w:sz w:val="24"/>
          <w:szCs w:val="24"/>
        </w:rPr>
        <w:t>.</w:t>
      </w:r>
    </w:p>
    <w:p w14:paraId="1415F170" w14:textId="7C8B31AD" w:rsidR="00B4363B" w:rsidRPr="00A22E9D" w:rsidRDefault="00C35170"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Fluid and electrolyte management</w:t>
      </w:r>
      <w:r w:rsidR="005B02B8" w:rsidRPr="00A22E9D">
        <w:rPr>
          <w:rFonts w:ascii="Times New Roman" w:hAnsi="Times New Roman" w:cs="Times New Roman"/>
          <w:sz w:val="24"/>
          <w:szCs w:val="24"/>
        </w:rPr>
        <w:t>,</w:t>
      </w:r>
      <w:r w:rsidRPr="00A22E9D">
        <w:rPr>
          <w:rFonts w:ascii="Times New Roman" w:hAnsi="Times New Roman" w:cs="Times New Roman"/>
          <w:sz w:val="24"/>
          <w:szCs w:val="24"/>
        </w:rPr>
        <w:t xml:space="preserve"> </w:t>
      </w:r>
      <w:r w:rsidR="005B02B8" w:rsidRPr="00A22E9D">
        <w:rPr>
          <w:rFonts w:ascii="Times New Roman" w:hAnsi="Times New Roman" w:cs="Times New Roman"/>
          <w:sz w:val="24"/>
          <w:szCs w:val="24"/>
        </w:rPr>
        <w:t>m</w:t>
      </w:r>
      <w:r w:rsidRPr="00A22E9D">
        <w:rPr>
          <w:rFonts w:ascii="Times New Roman" w:hAnsi="Times New Roman" w:cs="Times New Roman"/>
          <w:sz w:val="24"/>
          <w:szCs w:val="24"/>
        </w:rPr>
        <w:t>alaria can cause dehydration and electrolyte imbalances, which can be life-threatening if not corrected. Patients with malaria may require fluids and electrolytes to be given intravenously to prevent or treat dehydration.</w:t>
      </w:r>
      <w:r w:rsidR="00B44B8D" w:rsidRPr="00A22E9D">
        <w:rPr>
          <w:rFonts w:ascii="Times New Roman" w:hAnsi="Times New Roman" w:cs="Times New Roman"/>
          <w:sz w:val="24"/>
          <w:szCs w:val="24"/>
        </w:rPr>
        <w:t xml:space="preserve"> </w:t>
      </w:r>
      <w:r w:rsidRPr="00A22E9D">
        <w:rPr>
          <w:rFonts w:ascii="Times New Roman" w:hAnsi="Times New Roman" w:cs="Times New Roman"/>
          <w:sz w:val="24"/>
          <w:szCs w:val="24"/>
        </w:rPr>
        <w:t>Malaria can cause hypoxia, which is a lack of oxygen in the body</w:t>
      </w:r>
      <w:r w:rsidR="00BB34DB"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Oxygen therapy </w:t>
      </w:r>
      <w:r w:rsidR="00BB34DB" w:rsidRPr="00A22E9D">
        <w:rPr>
          <w:rFonts w:ascii="Times New Roman" w:hAnsi="Times New Roman" w:cs="Times New Roman"/>
          <w:sz w:val="24"/>
          <w:szCs w:val="24"/>
        </w:rPr>
        <w:t xml:space="preserve">is one the ways which </w:t>
      </w:r>
      <w:r w:rsidRPr="00A22E9D">
        <w:rPr>
          <w:rFonts w:ascii="Times New Roman" w:hAnsi="Times New Roman" w:cs="Times New Roman"/>
          <w:sz w:val="24"/>
          <w:szCs w:val="24"/>
        </w:rPr>
        <w:t>can help to improve oxygen levels in the blood and prevent or treat hypoxia.</w:t>
      </w:r>
      <w:r w:rsidR="00B44B8D"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Malaria can cause anaemia, which is a shortage of red blood cells. Severe anaemia can lead to organ damage, and even death. Blood transfusions can be used to replace lost red blood cells and improve oxygen levels in the </w:t>
      </w:r>
      <w:r w:rsidRPr="00A22E9D">
        <w:rPr>
          <w:rFonts w:ascii="Times New Roman" w:hAnsi="Times New Roman" w:cs="Times New Roman"/>
          <w:sz w:val="24"/>
          <w:szCs w:val="24"/>
        </w:rPr>
        <w:lastRenderedPageBreak/>
        <w:t>blood.</w:t>
      </w:r>
      <w:r w:rsidR="00B44B8D" w:rsidRPr="00A22E9D">
        <w:rPr>
          <w:rFonts w:ascii="Times New Roman" w:hAnsi="Times New Roman" w:cs="Times New Roman"/>
          <w:sz w:val="24"/>
          <w:szCs w:val="24"/>
        </w:rPr>
        <w:t xml:space="preserve"> </w:t>
      </w:r>
      <w:r w:rsidRPr="00A22E9D">
        <w:rPr>
          <w:rFonts w:ascii="Times New Roman" w:hAnsi="Times New Roman" w:cs="Times New Roman"/>
          <w:sz w:val="24"/>
          <w:szCs w:val="24"/>
        </w:rPr>
        <w:t>Malaria can cause seizures, particularly in young children</w:t>
      </w:r>
      <w:r w:rsidR="005B02B8" w:rsidRPr="00A22E9D">
        <w:rPr>
          <w:rFonts w:ascii="Times New Roman" w:hAnsi="Times New Roman" w:cs="Times New Roman"/>
          <w:sz w:val="24"/>
          <w:szCs w:val="24"/>
        </w:rPr>
        <w:t xml:space="preserve"> and the use of a</w:t>
      </w:r>
      <w:r w:rsidRPr="00A22E9D">
        <w:rPr>
          <w:rFonts w:ascii="Times New Roman" w:hAnsi="Times New Roman" w:cs="Times New Roman"/>
          <w:sz w:val="24"/>
          <w:szCs w:val="24"/>
        </w:rPr>
        <w:t>nti-convulsant drugs can be used to prevent or treat seizures.</w:t>
      </w:r>
      <w:r w:rsidR="00B44B8D" w:rsidRPr="00A22E9D">
        <w:rPr>
          <w:rFonts w:ascii="Times New Roman" w:hAnsi="Times New Roman" w:cs="Times New Roman"/>
          <w:sz w:val="24"/>
          <w:szCs w:val="24"/>
        </w:rPr>
        <w:t xml:space="preserve"> </w:t>
      </w:r>
      <w:r w:rsidRPr="00A22E9D">
        <w:rPr>
          <w:rFonts w:ascii="Times New Roman" w:hAnsi="Times New Roman" w:cs="Times New Roman"/>
          <w:sz w:val="24"/>
          <w:szCs w:val="24"/>
        </w:rPr>
        <w:t>Malaria can cause fever, which can be treated with anti-pyretic drugs such as paracetamol.</w:t>
      </w:r>
      <w:r w:rsidR="00B44B8D"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Malaria can cause inflammation and swelling in different parts of the body, anti-inflammatory drugs such as steroids can be used to </w:t>
      </w:r>
      <w:r w:rsidR="005B02B8" w:rsidRPr="00A22E9D">
        <w:rPr>
          <w:rFonts w:ascii="Times New Roman" w:hAnsi="Times New Roman" w:cs="Times New Roman"/>
          <w:sz w:val="24"/>
          <w:szCs w:val="24"/>
        </w:rPr>
        <w:t xml:space="preserve">help </w:t>
      </w:r>
      <w:r w:rsidRPr="00A22E9D">
        <w:rPr>
          <w:rFonts w:ascii="Times New Roman" w:hAnsi="Times New Roman" w:cs="Times New Roman"/>
          <w:sz w:val="24"/>
          <w:szCs w:val="24"/>
        </w:rPr>
        <w:t>reduce inflammation and swelling.</w:t>
      </w:r>
      <w:r w:rsidR="00B44B8D" w:rsidRPr="00A22E9D">
        <w:rPr>
          <w:rFonts w:ascii="Times New Roman" w:hAnsi="Times New Roman" w:cs="Times New Roman"/>
          <w:sz w:val="24"/>
          <w:szCs w:val="24"/>
        </w:rPr>
        <w:t xml:space="preserve"> </w:t>
      </w:r>
      <w:r w:rsidRPr="00A22E9D">
        <w:rPr>
          <w:rFonts w:ascii="Times New Roman" w:hAnsi="Times New Roman" w:cs="Times New Roman"/>
          <w:sz w:val="24"/>
          <w:szCs w:val="24"/>
        </w:rPr>
        <w:t>Malaria can cause secondary bacterial infection; antibiotics can be used to treat these infections.</w:t>
      </w:r>
      <w:r w:rsidR="00B44B8D" w:rsidRPr="00A22E9D">
        <w:rPr>
          <w:rFonts w:ascii="Times New Roman" w:hAnsi="Times New Roman" w:cs="Times New Roman"/>
          <w:sz w:val="24"/>
          <w:szCs w:val="24"/>
        </w:rPr>
        <w:t xml:space="preserve"> </w:t>
      </w:r>
      <w:r w:rsidRPr="00A22E9D">
        <w:rPr>
          <w:rFonts w:ascii="Times New Roman" w:hAnsi="Times New Roman" w:cs="Times New Roman"/>
          <w:sz w:val="24"/>
          <w:szCs w:val="24"/>
        </w:rPr>
        <w:t>Depending on the patient's condition, other symptoms such as nausea, vomiting, headache, and muscle pain may need to be treated as well.</w:t>
      </w:r>
    </w:p>
    <w:p w14:paraId="5D631EC9" w14:textId="148F7703" w:rsidR="007E30F8" w:rsidRPr="00A22E9D" w:rsidRDefault="00C35170"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It is crucial to keep in mind that supportive therapy should be customized to meet the unique needs of the patient and should only be administered by properly trained healthcare professionals</w:t>
      </w:r>
      <w:r w:rsidR="00817ADA" w:rsidRPr="00A22E9D">
        <w:rPr>
          <w:rFonts w:ascii="Times New Roman" w:hAnsi="Times New Roman" w:cs="Times New Roman"/>
          <w:sz w:val="24"/>
          <w:szCs w:val="24"/>
        </w:rPr>
        <w:t xml:space="preserve"> </w:t>
      </w:r>
      <w:r w:rsidR="001479A1"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{"citationID":"EvO2cq1D","properties":{"formattedCitation":"(Akinosoglou &amp; Pasvol, 2011)","plainCitation":"(Akinosoglou &amp; Pasvol, 2011)","noteIndex":0},"citationItems":[{"id":78,"uris":["http://zotero.org/users/local/BeK2zaGK/items/AQDJLTPK"],"itemData":{"id":78,"type":"article-journal","container-title":"Clinical Medicine","DOI":"10.7861/clinmedicine.11-5-497","ISSN":"1470-2118","issue":"5","journalAbbreviation":"Clin Med (Lond)","note":"PMID: 22034716\nPMCID: PMC4954250","page":"497-501","source":"PubMed Central","title":"The management of malaria in adults","volume":"11","author":[{"family":"Akinosoglou","given":"Karolina-Anthoula"},{"family":"Pasvol","given":"Geoffrey"}],"issued":{"date-parts":[["2011",10]]}}}],"schema":"https://github.com/citation-style-language/schema/raw/master/csl-citation.json"} </w:instrText>
      </w:r>
      <w:r w:rsidR="001479A1"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(Akinosoglou &amp; Pasvol, 2011)</w:t>
      </w:r>
      <w:r w:rsidR="001479A1" w:rsidRPr="00A22E9D">
        <w:rPr>
          <w:rFonts w:ascii="Times New Roman" w:hAnsi="Times New Roman" w:cs="Times New Roman"/>
          <w:sz w:val="24"/>
          <w:szCs w:val="24"/>
        </w:rPr>
        <w:fldChar w:fldCharType="end"/>
      </w:r>
      <w:r w:rsidR="00817ADA" w:rsidRPr="00A22E9D">
        <w:rPr>
          <w:rFonts w:ascii="Times New Roman" w:hAnsi="Times New Roman" w:cs="Times New Roman"/>
          <w:sz w:val="24"/>
          <w:szCs w:val="24"/>
        </w:rPr>
        <w:t xml:space="preserve">. </w:t>
      </w:r>
      <w:r w:rsidR="00644663" w:rsidRPr="00A22E9D">
        <w:rPr>
          <w:rFonts w:ascii="Times New Roman" w:hAnsi="Times New Roman" w:cs="Times New Roman"/>
          <w:sz w:val="24"/>
          <w:szCs w:val="24"/>
        </w:rPr>
        <w:t xml:space="preserve">It's </w:t>
      </w:r>
      <w:r w:rsidRPr="00A22E9D">
        <w:rPr>
          <w:rFonts w:ascii="Times New Roman" w:hAnsi="Times New Roman" w:cs="Times New Roman"/>
          <w:sz w:val="24"/>
          <w:szCs w:val="24"/>
        </w:rPr>
        <w:t xml:space="preserve">also </w:t>
      </w:r>
      <w:r w:rsidR="00644663" w:rsidRPr="00A22E9D">
        <w:rPr>
          <w:rFonts w:ascii="Times New Roman" w:hAnsi="Times New Roman" w:cs="Times New Roman"/>
          <w:sz w:val="24"/>
          <w:szCs w:val="24"/>
        </w:rPr>
        <w:t>important to note that the appropriate treatment for malaria depends on the species of the parasite causing the infection, the severity of the disease and the patient's general health status, and also the resistance patterns of the parasite in the area where the patient was infected.</w:t>
      </w:r>
    </w:p>
    <w:p w14:paraId="7CE27482" w14:textId="6A415D47" w:rsidR="007E30F8" w:rsidRPr="00A22E9D" w:rsidRDefault="007E30F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There is a need for new antimalarial compounds as current treatment options have some limitations </w:t>
      </w:r>
      <w:r w:rsidR="005E3384"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{"citationID":"ZVtG37BC","properties":{"formattedCitation":"(Tse et al., 2019)","plainCitation":"(Tse et al., 2019)","noteIndex":0},"citationItems":[{"id":81,"uris":["http://zotero.org/users/local/BeK2zaGK/items/KERA6E8J"],"itemData":{"id":81,"type":"article-journal","abstract":"Great progress has been made in recent years to reduce the high level of suffering caused by malaria worldwide. Notably, the use of insecticide-treated mosquito nets for malaria prevention and the use of artemisinin-based combination therapy (ACT) for malaria treatment have made a significant impact. Nevertheless, the development of resistance to the past and present anti-malarial drugs highlights the need for continued research to stay one step ahead. New drugs are needed, particularly those with new mechanisms of action. Here the range of anti-malarial medicines developed over the years are reviewed, beginning with the discovery of quinine in the early 1800s, through to modern day ACT and the recently-approved tafenoquine. A number of new potential anti-malarial drugs currently in development are outlined, along with a description of the hit to lead campaign from which it originated. Finally, promising novel mechanisms of action for these and future anti-malarial medicines are outlined.","container-title":"Malaria Journal","DOI":"10.1186/s12936-019-2724-z","ISSN":"1475-2875","issue":"1","journalAbbreviation":"Malaria Journal","page":"93","source":"BioMed Central","title":"The past, present and future of anti-malarial medicines","volume":"18","author":[{"family":"Tse","given":"Edwin G."},{"family":"Korsik","given":"Marat"},{"family":"Todd","given":"Matthew H."}],"issued":{"date-parts":[["2019",3,22]]}}}],"schema":"https://github.com/citation-style-language/schema/raw/master/csl-citation.json"} </w:instrText>
      </w:r>
      <w:r w:rsidR="005E3384"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(Tse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2019)</w:t>
      </w:r>
      <w:r w:rsidR="005E3384" w:rsidRPr="00A22E9D">
        <w:rPr>
          <w:rFonts w:ascii="Times New Roman" w:hAnsi="Times New Roman" w:cs="Times New Roman"/>
          <w:sz w:val="24"/>
          <w:szCs w:val="24"/>
        </w:rPr>
        <w:fldChar w:fldCharType="end"/>
      </w:r>
      <w:r w:rsidR="00817ADA" w:rsidRPr="00A22E9D">
        <w:rPr>
          <w:rFonts w:ascii="Times New Roman" w:hAnsi="Times New Roman" w:cs="Times New Roman"/>
          <w:sz w:val="24"/>
          <w:szCs w:val="24"/>
        </w:rPr>
        <w:t>.</w:t>
      </w:r>
      <w:r w:rsidR="005E3384" w:rsidRPr="00A22E9D">
        <w:rPr>
          <w:rFonts w:ascii="Times New Roman" w:hAnsi="Times New Roman" w:cs="Times New Roman"/>
          <w:sz w:val="24"/>
          <w:szCs w:val="24"/>
        </w:rPr>
        <w:t xml:space="preserve"> </w:t>
      </w:r>
      <w:r w:rsidRPr="00A22E9D">
        <w:rPr>
          <w:rFonts w:ascii="Times New Roman" w:hAnsi="Times New Roman" w:cs="Times New Roman"/>
          <w:sz w:val="24"/>
          <w:szCs w:val="24"/>
        </w:rPr>
        <w:t>While antimalarial drugs have been successful in reducing the burden of malaria, there are still challenges that need to be addressed.</w:t>
      </w:r>
    </w:p>
    <w:p w14:paraId="5C1010EA" w14:textId="34ACAE76" w:rsidR="007E30F8" w:rsidRPr="00A22E9D" w:rsidRDefault="007E30F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Resistance to antimalarial drugs is a major concern</w:t>
      </w:r>
      <w:r w:rsidR="005B02B8" w:rsidRPr="00A22E9D">
        <w:rPr>
          <w:rFonts w:ascii="Times New Roman" w:hAnsi="Times New Roman" w:cs="Times New Roman"/>
          <w:sz w:val="24"/>
          <w:szCs w:val="24"/>
        </w:rPr>
        <w:t xml:space="preserve"> </w:t>
      </w:r>
      <w:r w:rsidR="005B02B8" w:rsidRPr="00A22E9D">
        <w:rPr>
          <w:rFonts w:ascii="Times New Roman" w:hAnsi="Times New Roman" w:cs="Times New Roman"/>
          <w:sz w:val="24"/>
          <w:szCs w:val="24"/>
        </w:rPr>
        <w:fldChar w:fldCharType="begin"/>
      </w:r>
      <w:r w:rsidR="005B02B8" w:rsidRPr="00A22E9D">
        <w:rPr>
          <w:rFonts w:ascii="Times New Roman" w:hAnsi="Times New Roman" w:cs="Times New Roman"/>
          <w:sz w:val="24"/>
          <w:szCs w:val="24"/>
        </w:rPr>
        <w:instrText xml:space="preserve"> ADDIN ZOTERO_ITEM CSL_CITATION {"citationID":"wMLzuU1d","properties":{"formattedCitation":"(Cui et al., 2015)","plainCitation":"(Cui et al., 2015)","noteIndex":0},"citationItems":[{"id":426,"uris":["http://zotero.org/users/local/BeK2zaGK/items/42FURW9C"],"itemData":{"id":426,"type":"article-journal","abstract":"Antimalarial drugs are key tools for the control and elimination of malaria. Recent decreases in the global malaria burden are likely due, in part, to the deployment of artemisinin-based combination therapies. Therefore, the emergence and potential spread of artemisinin-resistant parasites in southeast Asia and changes in sensitivities to artemisinin partner drugs have raised concerns. In recognition of this urgent threat, the International Centers of Excellence for Malaria Research (ICEMRs) are closely monitoring antimalarial drug efficacy and studying the mechanisms underlying drug resistance. At multiple sentinel sites of the global ICEMR network, research activities include clinical studies to track the efficacies of antimalarial drugs, ex vivo/in vitro assays to measure drug susceptibilities of parasite isolates, and characterization of resistance-mediating parasite polymorphisms. Taken together, these efforts offer an increasingly comprehensive assessment of the efficacies of antimalarial therapies, and enable us to predict the emergence of drug resistance and to guide local antimalarial drug policies. Here we briefly review worldwide antimalarial drug resistance concerns, summarize research activities of the ICEMRs related to drug resistance, and assess the global impacts of the ICEMR programs.","container-title":"The American Journal of Tropical Medicine and Hygiene","DOI":"10.4269/ajtmh.15-0007","ISSN":"0002-9637","issue":"3 Suppl","journalAbbreviation":"Am J Trop Med Hyg","note":"PMID: 26259943\nPMCID: PMC4574275","page":"57-68","source":"PubMed Central","title":"Antimalarial Drug Resistance: Literature Review and Activities and Findings of the ICEMR Network","title-short":"Antimalarial Drug Resistance","volume":"93","author":[{"family":"Cui","given":"Liwang"},{"family":"Mharakurwa","given":"Sungano"},{"family":"Ndiaye","given":"Daouda"},{"family":"Rathod","given":"Pradipsinh K."},{"family":"Rosenthal","given":"Philip J."}],"issued":{"date-parts":[["2015",9,2]]}}}],"schema":"https://github.com/citation-style-language/schema/raw/master/csl-citation.json"} </w:instrText>
      </w:r>
      <w:r w:rsidR="005B02B8" w:rsidRPr="00A22E9D">
        <w:rPr>
          <w:rFonts w:ascii="Times New Roman" w:hAnsi="Times New Roman" w:cs="Times New Roman"/>
          <w:sz w:val="24"/>
          <w:szCs w:val="24"/>
        </w:rPr>
        <w:fldChar w:fldCharType="separate"/>
      </w:r>
      <w:r w:rsidR="005B02B8" w:rsidRPr="00A22E9D">
        <w:rPr>
          <w:rFonts w:ascii="Times New Roman" w:hAnsi="Times New Roman" w:cs="Times New Roman"/>
          <w:sz w:val="24"/>
        </w:rPr>
        <w:t xml:space="preserve">(Cui </w:t>
      </w:r>
      <w:r w:rsidR="00F57D9D" w:rsidRPr="00F57D9D">
        <w:rPr>
          <w:rFonts w:ascii="Times New Roman" w:hAnsi="Times New Roman" w:cs="Times New Roman"/>
          <w:i/>
          <w:sz w:val="24"/>
        </w:rPr>
        <w:t>et al</w:t>
      </w:r>
      <w:r w:rsidR="005B02B8" w:rsidRPr="00A22E9D">
        <w:rPr>
          <w:rFonts w:ascii="Times New Roman" w:hAnsi="Times New Roman" w:cs="Times New Roman"/>
          <w:sz w:val="24"/>
        </w:rPr>
        <w:t>., 2015)</w:t>
      </w:r>
      <w:r w:rsidR="005B02B8" w:rsidRPr="00A22E9D">
        <w:rPr>
          <w:rFonts w:ascii="Times New Roman" w:hAnsi="Times New Roman" w:cs="Times New Roman"/>
          <w:sz w:val="24"/>
          <w:szCs w:val="24"/>
        </w:rPr>
        <w:fldChar w:fldCharType="end"/>
      </w:r>
      <w:r w:rsidRPr="00A22E9D">
        <w:rPr>
          <w:rFonts w:ascii="Times New Roman" w:hAnsi="Times New Roman" w:cs="Times New Roman"/>
          <w:sz w:val="24"/>
          <w:szCs w:val="24"/>
        </w:rPr>
        <w:t>, and the emergence of resistance to artemisinin has limited the effectiveness of ACTs, the current first-line treatment for malaria. This has led to the need for new antimalarial compounds that can be used to treat drug-resistant strains of the disease</w:t>
      </w:r>
      <w:r w:rsidR="005B02B8" w:rsidRPr="00A22E9D">
        <w:rPr>
          <w:rFonts w:ascii="Times New Roman" w:hAnsi="Times New Roman" w:cs="Times New Roman"/>
          <w:sz w:val="24"/>
          <w:szCs w:val="24"/>
        </w:rPr>
        <w:t>. M</w:t>
      </w:r>
      <w:r w:rsidRPr="00A22E9D">
        <w:rPr>
          <w:rFonts w:ascii="Times New Roman" w:hAnsi="Times New Roman" w:cs="Times New Roman"/>
          <w:sz w:val="24"/>
          <w:szCs w:val="24"/>
        </w:rPr>
        <w:t>any of the current antimalarial drugs are not effective against the liver stage of the parasite, which can lead to relapses of the disease</w:t>
      </w:r>
      <w:r w:rsidR="005B02B8" w:rsidRPr="00A22E9D">
        <w:rPr>
          <w:rFonts w:ascii="Times New Roman" w:hAnsi="Times New Roman" w:cs="Times New Roman"/>
          <w:sz w:val="24"/>
          <w:szCs w:val="24"/>
        </w:rPr>
        <w:t xml:space="preserve"> </w:t>
      </w:r>
      <w:r w:rsidR="005B02B8" w:rsidRPr="00A22E9D">
        <w:rPr>
          <w:rFonts w:ascii="Times New Roman" w:hAnsi="Times New Roman" w:cs="Times New Roman"/>
          <w:sz w:val="24"/>
          <w:szCs w:val="24"/>
        </w:rPr>
        <w:fldChar w:fldCharType="begin"/>
      </w:r>
      <w:r w:rsidR="00BE372A" w:rsidRPr="00A22E9D">
        <w:rPr>
          <w:rFonts w:ascii="Times New Roman" w:hAnsi="Times New Roman" w:cs="Times New Roman"/>
          <w:sz w:val="24"/>
          <w:szCs w:val="24"/>
        </w:rPr>
        <w:instrText xml:space="preserve"> ADDIN ZOTERO_ITEM CSL_CITATION {"citationID":"P0Pk83S4","properties":{"formattedCitation":"(Delves et al., 2012)","plainCitation":"(Delves et al., 2012)","noteIndex":0},"citationItems":[{"id":429,"uris":["http://zotero.org/users/local/BeK2zaGK/items/TB8IBKJM"],"itemData":{"id":429,"type":"article-journal","abstract":"Michael Delves and colleagues compare the activity of 50 current and experimental antimalarials against liver, sexual blood, and mosquito stages of selected human and nonhuman parasite species, including Plasmodium falciparum, Plasmodium berghei, and Plasmodium yoelii.","container-title":"PLOS Medicine","DOI":"10.1371/journal.pmed.1001169","ISSN":"1549-1676","issue":"2","journalAbbreviation":"PLOS Medicine","language":"en","note":"publisher: Public Library of Science","page":"e1001169","source":"PLoS Journals","title":"The Activities of Current Antimalarial Drugs on the Life Cycle Stages of Plasmodium: A Comparative Study with Human and Rodent Parasites","title-short":"The Activities of Current Antimalarial Drugs on the Life Cycle Stages of Plasmodium","volume":"9","author":[{"family":"Delves","given":"Michael"},{"family":"Plouffe","given":"David"},{"family":"Scheurer","given":"Christian"},{"family":"Meister","given":"Stephan"},{"family":"Wittlin","given":"Sergio"},{"family":"Winzeler","given":"Elizabeth A."},{"family":"Sinden","given":"Robert E."},{"family":"Leroy","given":"Didier"}],"issued":{"date-parts":[["2012",2,21]]}}}],"schema":"https://github.com/citation-style-language/schema/raw/master/csl-citation.json"} </w:instrText>
      </w:r>
      <w:r w:rsidR="005B02B8" w:rsidRPr="00A22E9D">
        <w:rPr>
          <w:rFonts w:ascii="Times New Roman" w:hAnsi="Times New Roman" w:cs="Times New Roman"/>
          <w:sz w:val="24"/>
          <w:szCs w:val="24"/>
        </w:rPr>
        <w:fldChar w:fldCharType="separate"/>
      </w:r>
      <w:r w:rsidR="00BE372A" w:rsidRPr="00A22E9D">
        <w:rPr>
          <w:rFonts w:ascii="Times New Roman" w:hAnsi="Times New Roman" w:cs="Times New Roman"/>
          <w:sz w:val="24"/>
        </w:rPr>
        <w:t xml:space="preserve">(Delves </w:t>
      </w:r>
      <w:r w:rsidR="00F57D9D" w:rsidRPr="00F57D9D">
        <w:rPr>
          <w:rFonts w:ascii="Times New Roman" w:hAnsi="Times New Roman" w:cs="Times New Roman"/>
          <w:i/>
          <w:sz w:val="24"/>
        </w:rPr>
        <w:t>et al</w:t>
      </w:r>
      <w:r w:rsidR="00BE372A" w:rsidRPr="00A22E9D">
        <w:rPr>
          <w:rFonts w:ascii="Times New Roman" w:hAnsi="Times New Roman" w:cs="Times New Roman"/>
          <w:sz w:val="24"/>
        </w:rPr>
        <w:t>., 2012)</w:t>
      </w:r>
      <w:r w:rsidR="005B02B8" w:rsidRPr="00A22E9D">
        <w:rPr>
          <w:rFonts w:ascii="Times New Roman" w:hAnsi="Times New Roman" w:cs="Times New Roman"/>
          <w:sz w:val="24"/>
          <w:szCs w:val="24"/>
        </w:rPr>
        <w:fldChar w:fldCharType="end"/>
      </w:r>
      <w:r w:rsidRPr="00A22E9D">
        <w:rPr>
          <w:rFonts w:ascii="Times New Roman" w:hAnsi="Times New Roman" w:cs="Times New Roman"/>
          <w:sz w:val="24"/>
          <w:szCs w:val="24"/>
        </w:rPr>
        <w:t>. New antimalarial compounds that can target the liver stage of the parasite are needed to prevent relapses and achieve malaria elimination.</w:t>
      </w:r>
      <w:r w:rsidR="00B44B8D"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Some of the current antimalarial drugs are associated with adverse side effects, which can limit their use in certain populations, such as pregnant women and young children. New antimalarial compounds with fewer side effects are </w:t>
      </w:r>
      <w:r w:rsidRPr="00A22E9D">
        <w:rPr>
          <w:rFonts w:ascii="Times New Roman" w:hAnsi="Times New Roman" w:cs="Times New Roman"/>
          <w:sz w:val="24"/>
          <w:szCs w:val="24"/>
        </w:rPr>
        <w:lastRenderedPageBreak/>
        <w:t>needed to improve treatment for these populations.</w:t>
      </w:r>
      <w:r w:rsidR="00B44B8D" w:rsidRPr="00A22E9D">
        <w:rPr>
          <w:rFonts w:ascii="Times New Roman" w:hAnsi="Times New Roman" w:cs="Times New Roman"/>
          <w:sz w:val="24"/>
          <w:szCs w:val="24"/>
        </w:rPr>
        <w:t xml:space="preserve"> </w:t>
      </w:r>
      <w:r w:rsidRPr="00A22E9D">
        <w:rPr>
          <w:rFonts w:ascii="Times New Roman" w:hAnsi="Times New Roman" w:cs="Times New Roman"/>
          <w:sz w:val="24"/>
          <w:szCs w:val="24"/>
        </w:rPr>
        <w:t>Lack of prophylactic options</w:t>
      </w:r>
      <w:r w:rsidR="00817ADA" w:rsidRPr="00A22E9D">
        <w:rPr>
          <w:rFonts w:ascii="Times New Roman" w:hAnsi="Times New Roman" w:cs="Times New Roman"/>
          <w:sz w:val="24"/>
          <w:szCs w:val="24"/>
        </w:rPr>
        <w:t>, as t</w:t>
      </w:r>
      <w:r w:rsidRPr="00A22E9D">
        <w:rPr>
          <w:rFonts w:ascii="Times New Roman" w:hAnsi="Times New Roman" w:cs="Times New Roman"/>
          <w:sz w:val="24"/>
          <w:szCs w:val="24"/>
        </w:rPr>
        <w:t>here are currently limited prophylactic options for non-immune travel</w:t>
      </w:r>
      <w:r w:rsidR="00B44B8D" w:rsidRPr="00A22E9D">
        <w:rPr>
          <w:rFonts w:ascii="Times New Roman" w:hAnsi="Times New Roman" w:cs="Times New Roman"/>
          <w:sz w:val="24"/>
          <w:szCs w:val="24"/>
        </w:rPr>
        <w:t>l</w:t>
      </w:r>
      <w:r w:rsidRPr="00A22E9D">
        <w:rPr>
          <w:rFonts w:ascii="Times New Roman" w:hAnsi="Times New Roman" w:cs="Times New Roman"/>
          <w:sz w:val="24"/>
          <w:szCs w:val="24"/>
        </w:rPr>
        <w:t>ers to malaria-endemic areas. New antimalarial compounds that can be used for prophylaxis are needed to improve options for trave</w:t>
      </w:r>
      <w:r w:rsidR="00836A49" w:rsidRPr="00A22E9D">
        <w:rPr>
          <w:rFonts w:ascii="Times New Roman" w:hAnsi="Times New Roman" w:cs="Times New Roman"/>
          <w:sz w:val="24"/>
          <w:szCs w:val="24"/>
        </w:rPr>
        <w:t>l</w:t>
      </w:r>
      <w:r w:rsidRPr="00A22E9D">
        <w:rPr>
          <w:rFonts w:ascii="Times New Roman" w:hAnsi="Times New Roman" w:cs="Times New Roman"/>
          <w:sz w:val="24"/>
          <w:szCs w:val="24"/>
        </w:rPr>
        <w:t>lers</w:t>
      </w:r>
      <w:r w:rsidR="00BE372A" w:rsidRPr="00A22E9D">
        <w:rPr>
          <w:rFonts w:ascii="Times New Roman" w:hAnsi="Times New Roman" w:cs="Times New Roman"/>
          <w:sz w:val="24"/>
          <w:szCs w:val="24"/>
        </w:rPr>
        <w:t xml:space="preserve"> </w:t>
      </w:r>
      <w:r w:rsidR="00BE372A" w:rsidRPr="00A22E9D">
        <w:rPr>
          <w:rFonts w:ascii="Times New Roman" w:hAnsi="Times New Roman" w:cs="Times New Roman"/>
          <w:sz w:val="24"/>
          <w:szCs w:val="24"/>
        </w:rPr>
        <w:fldChar w:fldCharType="begin"/>
      </w:r>
      <w:r w:rsidR="00BE372A" w:rsidRPr="00A22E9D">
        <w:rPr>
          <w:rFonts w:ascii="Times New Roman" w:hAnsi="Times New Roman" w:cs="Times New Roman"/>
          <w:sz w:val="24"/>
          <w:szCs w:val="24"/>
        </w:rPr>
        <w:instrText xml:space="preserve"> ADDIN ZOTERO_ITEM CSL_CITATION {"citationID":"FBY6hTpe","properties":{"formattedCitation":"(Jacquerioz &amp; Croft, 2009)","plainCitation":"(Jacquerioz &amp; Croft, 2009)","noteIndex":0},"citationItems":[{"id":431,"uris":["http://zotero.org/users/local/BeK2zaGK/items/BTWUJQHE"],"itemData":{"id":431,"type":"article-journal","container-title":"Cochrane Database of Systematic Reviews","DOI":"10.1002/14651858.CD006491.pub2","ISSN":"1465-1858","issue":"4","language":"en","note":"publisher: John Wiley &amp; Sons, Ltd","source":"www.cochranelibrary.com","title":"Drugs for preventing malaria in travellers","URL":"https://www.cochranelibrary.com/cdsr/doi/10.1002/14651858.CD006491.pub2/full","author":[{"family":"Jacquerioz","given":"Frederique A."},{"family":"Croft","given":"Ashley M."}],"accessed":{"date-parts":[["2023",5,29]]},"issued":{"date-parts":[["2009"]]}}}],"schema":"https://github.com/citation-style-language/schema/raw/master/csl-citation.json"} </w:instrText>
      </w:r>
      <w:r w:rsidR="00BE372A" w:rsidRPr="00A22E9D">
        <w:rPr>
          <w:rFonts w:ascii="Times New Roman" w:hAnsi="Times New Roman" w:cs="Times New Roman"/>
          <w:sz w:val="24"/>
          <w:szCs w:val="24"/>
        </w:rPr>
        <w:fldChar w:fldCharType="separate"/>
      </w:r>
      <w:r w:rsidR="00BE372A" w:rsidRPr="00A22E9D">
        <w:rPr>
          <w:rFonts w:ascii="Times New Roman" w:hAnsi="Times New Roman" w:cs="Times New Roman"/>
          <w:sz w:val="24"/>
        </w:rPr>
        <w:t>(Jacquerioz &amp; Croft, 2009)</w:t>
      </w:r>
      <w:r w:rsidR="00BE372A" w:rsidRPr="00A22E9D">
        <w:rPr>
          <w:rFonts w:ascii="Times New Roman" w:hAnsi="Times New Roman" w:cs="Times New Roman"/>
          <w:sz w:val="24"/>
          <w:szCs w:val="24"/>
        </w:rPr>
        <w:fldChar w:fldCharType="end"/>
      </w:r>
      <w:r w:rsidRPr="00A22E9D">
        <w:rPr>
          <w:rFonts w:ascii="Times New Roman" w:hAnsi="Times New Roman" w:cs="Times New Roman"/>
          <w:sz w:val="24"/>
          <w:szCs w:val="24"/>
        </w:rPr>
        <w:t>.</w:t>
      </w:r>
    </w:p>
    <w:p w14:paraId="503B7A7F" w14:textId="2ECBD024" w:rsidR="007E30F8" w:rsidRPr="00A22E9D" w:rsidRDefault="007E30F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Research to develop new antimalarial compounds is ongoing, and new drugs are currently in different stages of development and testing. Some new antimalarial compounds that are being developed include artemisinin-based derivatives, new 8-aminoquinolines, new biguanides and other new classes of compounds.</w:t>
      </w:r>
      <w:r w:rsidR="00BC51E9" w:rsidRPr="00A22E9D">
        <w:rPr>
          <w:rFonts w:ascii="Times New Roman" w:hAnsi="Times New Roman" w:cs="Times New Roman"/>
          <w:sz w:val="24"/>
          <w:szCs w:val="24"/>
        </w:rPr>
        <w:t xml:space="preserve"> </w:t>
      </w:r>
      <w:r w:rsidR="00BC51E9"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{"citationID":"CQUW3uEf","properties":{"formattedCitation":"(Ashley &amp; Phyo, 2018)","plainCitation":"(Ashley &amp; Phyo, 2018)","noteIndex":0},"citationItems":[{"id":88,"uris":["http://zotero.org/users/local/BeK2zaGK/items/XGNVZSUV"],"itemData":{"id":88,"type":"article-journal","abstract":"The last two decades have seen a surge in antimalarial drug development with product development partnerships taking a leading role. Resistance of Plasmodium falciparum to the artemisinin derivatives, piperaquine and mefloquine in Southeast Asia means new antimalarials are needed with some urgency. There are at least 13 agents in clinical development. Most of these are blood schizonticides for the treatment of uncomplicated falciparum malaria, under evaluation either singly or as part of two-drug combinations. Leading candidates progressing through the pipeline are artefenomel–ferroquine and lumefantrine-KAF156, both in Phase 2b. Treatment of severe malaria continues to rely on two parenteral drugs with ancient forebears: artesunate and quinine, with sevuparin being evaluated as an adjuvant therapy. Tafenoquine is under review by stringent regulatory authorities for approval as a single-dose treatment for Plasmodium vivax relapse prevention. This represents an advance over standard 14-day primaquine regimens; however, the risk of acute haemolytic anaemia in patients with glucose-6-phosphate dehydrogenase deficiency remains. For disease prevention, several of the newer agents show potential but are unlikely to be recommended for use in the main target groups of pregnant women and young children for some years. Latest predictions are that the malaria burden will continue to be high in the coming decades. This fact, coupled with the repeated loss of antimalarials to resistance, indicates that new antimalarials will be needed for years to come. Failure of the artemisinin-based combinations in Southeast Asia has stimulated a reappraisal of current approaches to combination therapy for malaria with incorporation of three or more drugs in a single treatment under consideration.","container-title":"Drugs","DOI":"10.1007/s40265-018-0911-9","ISSN":"0012-6667","issue":"9","journalAbbreviation":"Drugs","note":"PMID: 29802605\nPMCID: PMC6013505","page":"861-879","source":"PubMed Central","title":"Drugs in Development for Malaria","volume":"78","author":[{"family":"Ashley","given":"Elizabeth A."},{"family":"Phyo","given":"Aung Pyae"}],"issued":{"date-parts":[["2018"]]}}}],"schema":"https://github.com/citation-style-language/schema/raw/master/csl-citation.json"} </w:instrText>
      </w:r>
      <w:r w:rsidR="00BC51E9"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(Ashley &amp; Phyo, 2018)</w:t>
      </w:r>
      <w:r w:rsidR="00BC51E9" w:rsidRPr="00A22E9D">
        <w:rPr>
          <w:rFonts w:ascii="Times New Roman" w:hAnsi="Times New Roman" w:cs="Times New Roman"/>
          <w:sz w:val="24"/>
          <w:szCs w:val="24"/>
        </w:rPr>
        <w:fldChar w:fldCharType="end"/>
      </w:r>
    </w:p>
    <w:p w14:paraId="51DD90FC" w14:textId="20B05FF8" w:rsidR="00644663" w:rsidRPr="00A22E9D" w:rsidRDefault="00D914DB" w:rsidP="00CA4B8F">
      <w:pPr>
        <w:pStyle w:val="Heading3"/>
        <w:spacing w:line="480" w:lineRule="auto"/>
        <w:rPr>
          <w:rFonts w:cs="Times New Roman"/>
        </w:rPr>
      </w:pPr>
      <w:bookmarkStart w:id="15" w:name="_Toc145500374"/>
      <w:r w:rsidRPr="00A22E9D">
        <w:rPr>
          <w:rFonts w:cs="Times New Roman"/>
        </w:rPr>
        <w:t xml:space="preserve">2.3 </w:t>
      </w:r>
      <w:r w:rsidR="00845617" w:rsidRPr="00A22E9D">
        <w:rPr>
          <w:rFonts w:cs="Times New Roman"/>
        </w:rPr>
        <w:t xml:space="preserve">Impact of existing antimalarial medications on </w:t>
      </w:r>
      <w:r w:rsidR="00AE05E4" w:rsidRPr="00A22E9D">
        <w:rPr>
          <w:rFonts w:cs="Times New Roman"/>
        </w:rPr>
        <w:t xml:space="preserve">infected </w:t>
      </w:r>
      <w:r w:rsidR="00845617" w:rsidRPr="00A22E9D">
        <w:rPr>
          <w:rFonts w:cs="Times New Roman"/>
        </w:rPr>
        <w:t>red blood cells</w:t>
      </w:r>
      <w:bookmarkEnd w:id="15"/>
      <w:r w:rsidR="00845617" w:rsidRPr="00A22E9D">
        <w:rPr>
          <w:rFonts w:cs="Times New Roman"/>
        </w:rPr>
        <w:t xml:space="preserve"> </w:t>
      </w:r>
    </w:p>
    <w:p w14:paraId="6D6DEDE6" w14:textId="640CD1C7" w:rsidR="00530005" w:rsidRPr="00A22E9D" w:rsidRDefault="00530005"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Chloroquine and hydroxychloroquine are drugs that have been used for many years to</w:t>
      </w:r>
      <w:r w:rsidR="00EB0196" w:rsidRPr="00A22E9D">
        <w:rPr>
          <w:rFonts w:ascii="Times New Roman" w:hAnsi="Times New Roman" w:cs="Times New Roman"/>
          <w:sz w:val="24"/>
          <w:szCs w:val="24"/>
        </w:rPr>
        <w:t xml:space="preserve"> </w:t>
      </w:r>
      <w:r w:rsidRPr="00A22E9D">
        <w:rPr>
          <w:rFonts w:ascii="Times New Roman" w:hAnsi="Times New Roman" w:cs="Times New Roman"/>
          <w:sz w:val="24"/>
          <w:szCs w:val="24"/>
        </w:rPr>
        <w:t>treat malaria</w:t>
      </w:r>
      <w:r w:rsidR="00EB0196" w:rsidRPr="00A22E9D">
        <w:rPr>
          <w:rFonts w:ascii="Times New Roman" w:hAnsi="Times New Roman" w:cs="Times New Roman"/>
          <w:sz w:val="24"/>
          <w:szCs w:val="24"/>
        </w:rPr>
        <w:t xml:space="preserve"> </w:t>
      </w:r>
      <w:r w:rsidR="00EB0196" w:rsidRPr="00A22E9D">
        <w:rPr>
          <w:rFonts w:ascii="Times New Roman" w:hAnsi="Times New Roman" w:cs="Times New Roman"/>
          <w:sz w:val="24"/>
          <w:szCs w:val="24"/>
        </w:rPr>
        <w:fldChar w:fldCharType="begin"/>
      </w:r>
      <w:r w:rsidR="00EB0196" w:rsidRPr="00A22E9D">
        <w:rPr>
          <w:rFonts w:ascii="Times New Roman" w:hAnsi="Times New Roman" w:cs="Times New Roman"/>
          <w:sz w:val="24"/>
          <w:szCs w:val="24"/>
        </w:rPr>
        <w:instrText xml:space="preserve"> ADDIN ZOTERO_ITEM CSL_CITATION {"citationID":"q2zKXQyF","properties":{"formattedCitation":"(Lei et al., 2020)","plainCitation":"(Lei et al., 2020)","noteIndex":0},"citationItems":[{"id":91,"uris":["http://zotero.org/users/local/BeK2zaGK/items/FFZKSTLB"],"itemData":{"id":91,"type":"article-journal","abstract":"Chloroquine (CQ) and Hydroxychloroquine (HCQ) have been commonly used for the treatment and prevention of malaria, and the treatment of autoimmune diseases for several decades. As their new mechanisms of actions are identified in recent years, CQ and ...","container-title":"Pharmacology &amp; Therapeutics","DOI":"10.1016/j.pharmthera.2020.107672","language":"en","note":"publisher: Elsevier\nPMID: 32910933","page":"107672","source":"www.ncbi.nlm.nih.gov","title":"Chloroquine and hydroxychloroquine in the treatment of malaria and repurposing in treating COVID-19","volume":"216","author":[{"family":"Lei","given":"Zi-Ning"},{"family":"Wu","given":"Zhuo-Xun"},{"family":"Dong","given":"Shaowei"},{"family":"Yang","given":"Dong-Hua"},{"family":"Zhang","given":"Litu"},{"family":"Ke","given":"Zunfu"},{"family":"Zou","given":"Chang"},{"family":"Chen","given":"Zhe-Sheng"}],"issued":{"date-parts":[["2020",12]]}}}],"schema":"https://github.com/citation-style-language/schema/raw/master/csl-citation.json"} </w:instrText>
      </w:r>
      <w:r w:rsidR="00EB0196" w:rsidRPr="00A22E9D">
        <w:rPr>
          <w:rFonts w:ascii="Times New Roman" w:hAnsi="Times New Roman" w:cs="Times New Roman"/>
          <w:sz w:val="24"/>
          <w:szCs w:val="24"/>
        </w:rPr>
        <w:fldChar w:fldCharType="separate"/>
      </w:r>
      <w:r w:rsidR="00EB0196" w:rsidRPr="00A22E9D">
        <w:rPr>
          <w:rFonts w:ascii="Times New Roman" w:hAnsi="Times New Roman" w:cs="Times New Roman"/>
          <w:sz w:val="24"/>
        </w:rPr>
        <w:t xml:space="preserve">(Lei </w:t>
      </w:r>
      <w:r w:rsidR="00F57D9D" w:rsidRPr="00F57D9D">
        <w:rPr>
          <w:rFonts w:ascii="Times New Roman" w:hAnsi="Times New Roman" w:cs="Times New Roman"/>
          <w:i/>
          <w:sz w:val="24"/>
        </w:rPr>
        <w:t>et al</w:t>
      </w:r>
      <w:r w:rsidR="00EB0196" w:rsidRPr="00A22E9D">
        <w:rPr>
          <w:rFonts w:ascii="Times New Roman" w:hAnsi="Times New Roman" w:cs="Times New Roman"/>
          <w:sz w:val="24"/>
        </w:rPr>
        <w:t>., 2020)</w:t>
      </w:r>
      <w:r w:rsidR="00EB0196" w:rsidRPr="00A22E9D">
        <w:rPr>
          <w:rFonts w:ascii="Times New Roman" w:hAnsi="Times New Roman" w:cs="Times New Roman"/>
          <w:sz w:val="24"/>
          <w:szCs w:val="24"/>
        </w:rPr>
        <w:fldChar w:fldCharType="end"/>
      </w:r>
      <w:r w:rsidRPr="00A22E9D">
        <w:rPr>
          <w:rFonts w:ascii="Times New Roman" w:hAnsi="Times New Roman" w:cs="Times New Roman"/>
          <w:sz w:val="24"/>
          <w:szCs w:val="24"/>
        </w:rPr>
        <w:t>, as well as a variety of other conditions such as rheumatoid arthritis and lupus.</w:t>
      </w:r>
      <w:r w:rsidR="00EB0196" w:rsidRPr="00A22E9D">
        <w:rPr>
          <w:rFonts w:ascii="Times New Roman" w:hAnsi="Times New Roman" w:cs="Times New Roman"/>
          <w:sz w:val="24"/>
          <w:szCs w:val="24"/>
        </w:rPr>
        <w:t xml:space="preserve"> </w:t>
      </w:r>
      <w:r w:rsidRPr="00A22E9D">
        <w:rPr>
          <w:rFonts w:ascii="Times New Roman" w:hAnsi="Times New Roman" w:cs="Times New Roman"/>
          <w:sz w:val="24"/>
          <w:szCs w:val="24"/>
        </w:rPr>
        <w:t>They work by inhibiting the growth of the Plasmodium parasite by accumulating in the food vacuole of the infected red blood cells and raising the pH, which interferes with the parasite's ability to digest haemoglobin. However, these drugs can also cause a variety of side effects on the host's red blood cells.</w:t>
      </w:r>
      <w:r w:rsidR="007502BF"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When the infected red blood cells rupture, the released haemoglobin is broken down into </w:t>
      </w:r>
      <w:r w:rsidR="00A51417" w:rsidRPr="00A22E9D">
        <w:rPr>
          <w:rFonts w:ascii="Times New Roman" w:hAnsi="Times New Roman" w:cs="Times New Roman"/>
          <w:sz w:val="24"/>
          <w:szCs w:val="24"/>
        </w:rPr>
        <w:t>haem</w:t>
      </w:r>
      <w:r w:rsidRPr="00A22E9D">
        <w:rPr>
          <w:rFonts w:ascii="Times New Roman" w:hAnsi="Times New Roman" w:cs="Times New Roman"/>
          <w:sz w:val="24"/>
          <w:szCs w:val="24"/>
        </w:rPr>
        <w:t>, which is toxic. Chloroquine and hydroxychloroquine can cause the host's red blood cells to become more prone to rupture, releasing more h</w:t>
      </w:r>
      <w:r w:rsidR="00FC618E" w:rsidRPr="00A22E9D">
        <w:rPr>
          <w:rFonts w:ascii="Times New Roman" w:hAnsi="Times New Roman" w:cs="Times New Roman"/>
          <w:sz w:val="24"/>
          <w:szCs w:val="24"/>
        </w:rPr>
        <w:t>a</w:t>
      </w:r>
      <w:r w:rsidRPr="00A22E9D">
        <w:rPr>
          <w:rFonts w:ascii="Times New Roman" w:hAnsi="Times New Roman" w:cs="Times New Roman"/>
          <w:sz w:val="24"/>
          <w:szCs w:val="24"/>
        </w:rPr>
        <w:t xml:space="preserve">em and leading to the formation of hemozoin, a pigment that can cause damage to the host's kidneys, liver and other organs. </w:t>
      </w:r>
      <w:r w:rsidR="007502BF"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{"citationID":"V5DU5HIZ","properties":{"formattedCitation":"(Lei et al., 2020)","plainCitation":"(Lei et al., 2020)","noteIndex":0},"citationItems":[{"id":91,"uris":["http://zotero.org/users/local/BeK2zaGK/items/FFZKSTLB"],"itemData":{"id":91,"type":"article-journal","abstract":"Chloroquine (CQ) and Hydroxychloroquine (HCQ) have been commonly used for the treatment and prevention of malaria, and the treatment of autoimmune diseases for several decades. As their new mechanisms of actions are identified in recent years, CQ and ...","container-title":"Pharmacology &amp; Therapeutics","DOI":"10.1016/j.pharmthera.2020.107672","language":"en","note":"publisher: Elsevier\nPMID: 32910933","page":"107672","source":"www.ncbi.nlm.nih.gov","title":"Chloroquine and hydroxychloroquine in the treatment of malaria and repurposing in treating COVID-19","volume":"216","author":[{"family":"Lei","given":"Zi-Ning"},{"family":"Wu","given":"Zhuo-Xun"},{"family":"Dong","given":"Shaowei"},{"family":"Yang","given":"Dong-Hua"},{"family":"Zhang","given":"Litu"},{"family":"Ke","given":"Zunfu"},{"family":"Zou","given":"Chang"},{"family":"Chen","given":"Zhe-Sheng"}],"issued":{"date-parts":[["2020",12]]}}}],"schema":"https://github.com/citation-style-language/schema/raw/master/csl-citation.json"} </w:instrText>
      </w:r>
      <w:r w:rsidR="007502BF"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(Lei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2020)</w:t>
      </w:r>
      <w:r w:rsidR="007502BF" w:rsidRPr="00A22E9D">
        <w:rPr>
          <w:rFonts w:ascii="Times New Roman" w:hAnsi="Times New Roman" w:cs="Times New Roman"/>
          <w:sz w:val="24"/>
          <w:szCs w:val="24"/>
        </w:rPr>
        <w:fldChar w:fldCharType="end"/>
      </w:r>
      <w:r w:rsidR="00946AE2" w:rsidRPr="00A22E9D">
        <w:rPr>
          <w:rFonts w:ascii="Times New Roman" w:hAnsi="Times New Roman" w:cs="Times New Roman"/>
          <w:sz w:val="24"/>
          <w:szCs w:val="24"/>
        </w:rPr>
        <w:t xml:space="preserve"> </w:t>
      </w:r>
      <w:r w:rsidRPr="00A22E9D">
        <w:rPr>
          <w:rFonts w:ascii="Times New Roman" w:hAnsi="Times New Roman" w:cs="Times New Roman"/>
          <w:sz w:val="24"/>
          <w:szCs w:val="24"/>
        </w:rPr>
        <w:t>Additionally, the drugs can cause a reduction in the number of red blood cells, leading to anaemia, a condition characterized by a lack of oxygen-carrying red blood cells in the body.</w:t>
      </w:r>
    </w:p>
    <w:p w14:paraId="6D77BB6A" w14:textId="35BF10E0" w:rsidR="00530005" w:rsidRPr="00A22E9D" w:rsidRDefault="00530005"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Primaquine is an antimalarial drug that is used to treat </w:t>
      </w:r>
      <w:r w:rsidR="00F57D9D" w:rsidRPr="00F57D9D">
        <w:rPr>
          <w:rFonts w:ascii="Times New Roman" w:hAnsi="Times New Roman" w:cs="Times New Roman"/>
          <w:i/>
          <w:sz w:val="24"/>
          <w:szCs w:val="24"/>
        </w:rPr>
        <w:t>Plasmodium vivax</w:t>
      </w:r>
      <w:r w:rsidRPr="00A22E9D">
        <w:rPr>
          <w:rFonts w:ascii="Times New Roman" w:hAnsi="Times New Roman" w:cs="Times New Roman"/>
          <w:sz w:val="24"/>
          <w:szCs w:val="24"/>
        </w:rPr>
        <w:t xml:space="preserve"> and </w:t>
      </w:r>
      <w:r w:rsidR="00F57D9D" w:rsidRPr="00F57D9D">
        <w:rPr>
          <w:rFonts w:ascii="Times New Roman" w:hAnsi="Times New Roman" w:cs="Times New Roman"/>
          <w:i/>
          <w:sz w:val="24"/>
          <w:szCs w:val="24"/>
        </w:rPr>
        <w:t xml:space="preserve">Plasmodium </w:t>
      </w:r>
      <w:proofErr w:type="spellStart"/>
      <w:r w:rsidR="00F57D9D" w:rsidRPr="00F57D9D">
        <w:rPr>
          <w:rFonts w:ascii="Times New Roman" w:hAnsi="Times New Roman" w:cs="Times New Roman"/>
          <w:i/>
          <w:sz w:val="24"/>
          <w:szCs w:val="24"/>
        </w:rPr>
        <w:t>ovale</w:t>
      </w:r>
      <w:proofErr w:type="spellEnd"/>
      <w:r w:rsidRPr="00A22E9D">
        <w:rPr>
          <w:rFonts w:ascii="Times New Roman" w:hAnsi="Times New Roman" w:cs="Times New Roman"/>
          <w:sz w:val="24"/>
          <w:szCs w:val="24"/>
        </w:rPr>
        <w:t xml:space="preserve"> infections. It works by preventing the dormant liver stage of the parasite from developing into the blood stage, which causes symptoms. Primaquine can cause a condition called methemoglobinemia, which is characterized by the abnormal accumulation of methaemoglobin, </w:t>
      </w:r>
      <w:r w:rsidRPr="00A22E9D">
        <w:rPr>
          <w:rFonts w:ascii="Times New Roman" w:hAnsi="Times New Roman" w:cs="Times New Roman"/>
          <w:sz w:val="24"/>
          <w:szCs w:val="24"/>
        </w:rPr>
        <w:lastRenderedPageBreak/>
        <w:t>a form of haemoglobin that cannot transport oxygen. This can lead to symptoms such as cyanosis, fatigue, and shortness of breath.</w:t>
      </w:r>
      <w:r w:rsidR="00524644" w:rsidRPr="00A22E9D">
        <w:rPr>
          <w:rFonts w:ascii="Times New Roman" w:hAnsi="Times New Roman" w:cs="Times New Roman"/>
          <w:sz w:val="24"/>
          <w:szCs w:val="24"/>
        </w:rPr>
        <w:t xml:space="preserve"> </w:t>
      </w:r>
      <w:r w:rsidR="00524644"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{"citationID":"jBExKY8h","properties":{"formattedCitation":"(Ludlow et al., 2022)","plainCitation":"(Ludlow et al., 2022)","noteIndex":0},"citationItems":[{"id":94,"uris":["http://zotero.org/users/local/BeK2zaGK/items/USVHLILF"],"itemData":{"id":94,"type":"book","abstract":"Methemoglobinemia is a condition with life-threatening potential in which diminution of the oxygen-carrying capacity of circulating hemoglobin occurs due to conversion of some or all of the four iron species from the reduced ferrous [Fe2+] state to the oxidized ferric [Fe3+] state. Ferric iron is unable to bind and transport oxygen. Increased levels of methemoglobin results in functional anemia.","language":"en","note":"container-title: StatPearls [Internet]\nPMID: 30726002","publisher":"StatPearls Publishing","source":"www.ncbi.nlm.nih.gov","title":"Methemoglobinemia","URL":"https://www.ncbi.nlm.nih.gov/books/NBK537317/","author":[{"family":"Ludlow","given":"John T."},{"family":"Wilkerson","given":"Richard G."},{"family":"Nappe","given":"Thomas M."}],"accessed":{"date-parts":[["2023",2,2]]},"issued":{"date-parts":[["2022",8,29]]}}}],"schema":"https://github.com/citation-style-language/schema/raw/master/csl-citation.json"} </w:instrText>
      </w:r>
      <w:r w:rsidR="00524644"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(Ludlow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2022)</w:t>
      </w:r>
      <w:r w:rsidR="00524644" w:rsidRPr="00A22E9D">
        <w:rPr>
          <w:rFonts w:ascii="Times New Roman" w:hAnsi="Times New Roman" w:cs="Times New Roman"/>
          <w:sz w:val="24"/>
          <w:szCs w:val="24"/>
        </w:rPr>
        <w:fldChar w:fldCharType="end"/>
      </w:r>
    </w:p>
    <w:p w14:paraId="31F8664B" w14:textId="4EF3790D" w:rsidR="007F198D" w:rsidRPr="00A22E9D" w:rsidRDefault="00D50E04"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It's worth noting that antimalarials are usually tested extensively in clinical trials before they are approved for use, and are closely monitored for any potential side effects in order to minimize their impact on the host. Also, the use of combination therapies, like ACTs, can help to reduce the risk of resistance, as well as minimize the side effects on the host.</w:t>
      </w:r>
    </w:p>
    <w:p w14:paraId="19C416D9" w14:textId="5BB21EA0" w:rsidR="007F198D" w:rsidRPr="00A22E9D" w:rsidRDefault="00D914DB" w:rsidP="00CA4B8F">
      <w:pPr>
        <w:spacing w:line="480" w:lineRule="auto"/>
        <w:jc w:val="both"/>
        <w:rPr>
          <w:rFonts w:ascii="Times New Roman" w:hAnsi="Times New Roman" w:cs="Times New Roman"/>
          <w:b/>
          <w:bCs/>
          <w:sz w:val="24"/>
          <w:szCs w:val="24"/>
        </w:rPr>
      </w:pPr>
      <w:bookmarkStart w:id="16" w:name="_Toc145500375"/>
      <w:r w:rsidRPr="00A22E9D">
        <w:rPr>
          <w:rStyle w:val="Heading3Char"/>
          <w:rFonts w:cs="Times New Roman"/>
        </w:rPr>
        <w:t xml:space="preserve">2.4 </w:t>
      </w:r>
      <w:r w:rsidR="007F198D" w:rsidRPr="00A22E9D">
        <w:rPr>
          <w:rStyle w:val="Heading3Char"/>
          <w:rFonts w:cs="Times New Roman"/>
        </w:rPr>
        <w:t xml:space="preserve">Plasmodium </w:t>
      </w:r>
      <w:proofErr w:type="spellStart"/>
      <w:r w:rsidR="007F198D" w:rsidRPr="00A22E9D">
        <w:rPr>
          <w:rStyle w:val="Heading3Char"/>
          <w:rFonts w:cs="Times New Roman"/>
        </w:rPr>
        <w:t>Berghei</w:t>
      </w:r>
      <w:bookmarkEnd w:id="16"/>
      <w:proofErr w:type="spellEnd"/>
      <w:r w:rsidR="00BC0292" w:rsidRPr="00A22E9D">
        <w:rPr>
          <w:rFonts w:ascii="Times New Roman" w:hAnsi="Times New Roman" w:cs="Times New Roman"/>
          <w:b/>
          <w:bCs/>
          <w:sz w:val="24"/>
          <w:szCs w:val="24"/>
        </w:rPr>
        <w:t>.</w:t>
      </w:r>
    </w:p>
    <w:p w14:paraId="564E34F1" w14:textId="07FF7E0F" w:rsidR="00C85EF8" w:rsidRPr="00A22E9D" w:rsidRDefault="00683FCF" w:rsidP="00CA4B8F">
      <w:pPr>
        <w:spacing w:line="480" w:lineRule="auto"/>
        <w:ind w:firstLine="720"/>
        <w:jc w:val="both"/>
        <w:rPr>
          <w:rFonts w:ascii="Times New Roman" w:hAnsi="Times New Roman" w:cs="Times New Roman"/>
          <w:sz w:val="24"/>
          <w:szCs w:val="24"/>
        </w:rPr>
      </w:pPr>
      <w:r w:rsidRPr="00683FCF">
        <w:rPr>
          <w:rFonts w:ascii="Times New Roman" w:hAnsi="Times New Roman" w:cs="Times New Roman"/>
          <w:i/>
          <w:sz w:val="24"/>
          <w:szCs w:val="24"/>
        </w:rPr>
        <w:t xml:space="preserve">Plasmodium </w:t>
      </w:r>
      <w:proofErr w:type="spellStart"/>
      <w:r w:rsidRPr="00683FCF">
        <w:rPr>
          <w:rFonts w:ascii="Times New Roman" w:hAnsi="Times New Roman" w:cs="Times New Roman"/>
          <w:i/>
          <w:sz w:val="24"/>
          <w:szCs w:val="24"/>
        </w:rPr>
        <w:t>berghei</w:t>
      </w:r>
      <w:proofErr w:type="spellEnd"/>
      <w:r w:rsidR="00C85EF8" w:rsidRPr="00A22E9D">
        <w:rPr>
          <w:rFonts w:ascii="Times New Roman" w:hAnsi="Times New Roman" w:cs="Times New Roman"/>
          <w:sz w:val="24"/>
          <w:szCs w:val="24"/>
        </w:rPr>
        <w:t xml:space="preserve"> is a species of the parasite Plasmodium that is responsible for causing malaria in rodents. It is commonly used as a model organism in laboratory studies of malaria, as it shares many characteristics with the Plasmodium species that infect humans. </w:t>
      </w:r>
      <w:r w:rsidR="002714E5"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{"citationID":"GLMgK19Y","properties":{"formattedCitation":"(DEHGHAN et al., 2018)","plainCitation":"(DEHGHAN et al., 2018)","noteIndex":0},"citationItems":[{"id":97,"uris":["http://zotero.org/users/local/BeK2zaGK/items/UB7RNR2P"],"itemData":{"id":97,"type":"article-journal","abstract":"Background:\nPlasmodium berghei is a rodent malaria parasite and has been very valuable means in the progress of our understanding of the essential molecular and cellular biology of the malaria parasites. Availability of hosts such as mice and vectors such as Anopheles stephensi has made this parasite a suitable system to study the parasite-host and vector-parasite relationships.\n\nMethods:\nThis study was performed at Medical Entomology and Parasitology laboratories of the School of Public Health, Tehran University of Medical Sciences, Iran in 2016. The investigation was carried out to describe life cycle and parameters influencing maintenance of the parasite within the mice or the mosquito.\n\nResults:\nResults have revealed details and addressed some parameters and points influence maintenance of various life stages of the parasite including merozoites, macrogametocytes, ookinetes, oocysts and sporozoites in the laboratory model P. berghei–A. stephensi-BALB/c mouse. Injection of fresh infected blood results in higher gametocytemia in the animals. The more injected parasites result in earlier and higher parasitemia and exfelagellation centers in the mice blood. However, the highest number of infected mosquitoes and oocysts formation were observed when the parasitemia and exflagellation centers per microscopic field were 9% and 3.6 in the infected mice respectively. The infected mosquitoes should be maintained on 8% (w/v) fructose, 0.05% (w/v) PABA at 20±1 °C and 50%–80% relative humidity.\n\nConclusion:\nThis study helps to understand the biology of vertebrate-parasite and mosquito-malaria interactions that may aid in the development of a new generation of drug/vaccine and vector-based measures for malaria control.","container-title":"Iranian Journal of Parasitology","ISSN":"1735-7020","issue":"4","journalAbbreviation":"Iran J Parasitol","note":"PMID: 30697308\nPMCID: PMC6348208","page":"549-559","source":"PubMed Central","title":"Experimental Study on Plasmodium berghei, Anopheles Stephensi, and BALB/c Mouse System: Implications for Malaria Transmission Blocking Assays","title-short":"Experimental Study on Plasmodium berghei, Anopheles Stephensi, and BALB/c Mouse System","volume":"13","author":[{"family":"DEHGHAN","given":"Hossein"},{"family":"OSHAGHI","given":"Mohammad Ali"},{"family":"MOSA-KAZEMI","given":"Seyed Hassan"},{"family":"ABAI","given":"Mohammad Reza"},{"family":"RAFIE","given":"Fatemeh"},{"family":"NATEGHPOUR","given":"Mehdi"},{"family":"MOHAMMADZADEH","given":"Habib"},{"family":"FARIVAR","given":"Leila"},{"family":"MOHAMMADI BAVANI","given":"Mulood"}],"issued":{"date-parts":[["2018"]]}}}],"schema":"https://github.com/citation-style-language/schema/raw/master/csl-citation.json"} </w:instrText>
      </w:r>
      <w:r w:rsidR="002714E5"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(DEHGHAN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2018)</w:t>
      </w:r>
      <w:r w:rsidR="002714E5" w:rsidRPr="00A22E9D">
        <w:rPr>
          <w:rFonts w:ascii="Times New Roman" w:hAnsi="Times New Roman" w:cs="Times New Roman"/>
          <w:sz w:val="24"/>
          <w:szCs w:val="24"/>
        </w:rPr>
        <w:fldChar w:fldCharType="end"/>
      </w:r>
      <w:r w:rsidR="001C361C" w:rsidRPr="00A22E9D">
        <w:rPr>
          <w:rFonts w:ascii="Times New Roman" w:hAnsi="Times New Roman" w:cs="Times New Roman"/>
          <w:sz w:val="24"/>
          <w:szCs w:val="24"/>
        </w:rPr>
        <w:t xml:space="preserve"> </w:t>
      </w:r>
      <w:r w:rsidR="00C85EF8" w:rsidRPr="00A22E9D">
        <w:rPr>
          <w:rFonts w:ascii="Times New Roman" w:hAnsi="Times New Roman" w:cs="Times New Roman"/>
          <w:sz w:val="24"/>
          <w:szCs w:val="24"/>
        </w:rPr>
        <w:t xml:space="preserve">This species is named after the Dutch parasitologist W.B.G. </w:t>
      </w:r>
      <w:proofErr w:type="spellStart"/>
      <w:r w:rsidR="00C85EF8" w:rsidRPr="00A22E9D">
        <w:rPr>
          <w:rFonts w:ascii="Times New Roman" w:hAnsi="Times New Roman" w:cs="Times New Roman"/>
          <w:sz w:val="24"/>
          <w:szCs w:val="24"/>
        </w:rPr>
        <w:t>Berghei</w:t>
      </w:r>
      <w:proofErr w:type="spellEnd"/>
      <w:r w:rsidR="00C85EF8" w:rsidRPr="00A22E9D">
        <w:rPr>
          <w:rFonts w:ascii="Times New Roman" w:hAnsi="Times New Roman" w:cs="Times New Roman"/>
          <w:sz w:val="24"/>
          <w:szCs w:val="24"/>
        </w:rPr>
        <w:t>.</w:t>
      </w:r>
      <w:r w:rsidR="009E6C74" w:rsidRPr="00A22E9D">
        <w:rPr>
          <w:rFonts w:ascii="Times New Roman" w:hAnsi="Times New Roman" w:cs="Times New Roman"/>
          <w:sz w:val="24"/>
          <w:szCs w:val="24"/>
        </w:rPr>
        <w:t xml:space="preserve"> </w:t>
      </w:r>
      <w:r w:rsidRPr="00683FCF">
        <w:rPr>
          <w:rFonts w:ascii="Times New Roman" w:hAnsi="Times New Roman" w:cs="Times New Roman"/>
          <w:i/>
          <w:sz w:val="24"/>
          <w:szCs w:val="24"/>
        </w:rPr>
        <w:t xml:space="preserve">Plasmodium </w:t>
      </w:r>
      <w:proofErr w:type="spellStart"/>
      <w:r w:rsidRPr="00683FCF">
        <w:rPr>
          <w:rFonts w:ascii="Times New Roman" w:hAnsi="Times New Roman" w:cs="Times New Roman"/>
          <w:i/>
          <w:sz w:val="24"/>
          <w:szCs w:val="24"/>
        </w:rPr>
        <w:t>berghei</w:t>
      </w:r>
      <w:proofErr w:type="spellEnd"/>
      <w:r w:rsidR="00C85EF8" w:rsidRPr="00A22E9D">
        <w:rPr>
          <w:rFonts w:ascii="Times New Roman" w:hAnsi="Times New Roman" w:cs="Times New Roman"/>
          <w:sz w:val="24"/>
          <w:szCs w:val="24"/>
        </w:rPr>
        <w:t xml:space="preserve"> has a complex life cycle that includes both a sexual and an asexual stage. </w:t>
      </w:r>
    </w:p>
    <w:p w14:paraId="234CC572" w14:textId="3CE2F259" w:rsidR="00BB1852" w:rsidRPr="00A22E9D" w:rsidRDefault="00F57D9D" w:rsidP="00CA4B8F">
      <w:pPr>
        <w:spacing w:line="480" w:lineRule="auto"/>
        <w:ind w:firstLine="720"/>
        <w:jc w:val="both"/>
        <w:rPr>
          <w:rFonts w:ascii="Times New Roman" w:hAnsi="Times New Roman" w:cs="Times New Roman"/>
          <w:sz w:val="24"/>
          <w:szCs w:val="24"/>
        </w:rPr>
      </w:pPr>
      <w:r w:rsidRPr="00F57D9D">
        <w:rPr>
          <w:rFonts w:ascii="Times New Roman" w:hAnsi="Times New Roman" w:cs="Times New Roman"/>
          <w:i/>
          <w:sz w:val="24"/>
          <w:szCs w:val="24"/>
        </w:rPr>
        <w:t xml:space="preserve">P. </w:t>
      </w:r>
      <w:proofErr w:type="spellStart"/>
      <w:r w:rsidRPr="00F57D9D">
        <w:rPr>
          <w:rFonts w:ascii="Times New Roman" w:hAnsi="Times New Roman" w:cs="Times New Roman"/>
          <w:i/>
          <w:sz w:val="24"/>
          <w:szCs w:val="24"/>
        </w:rPr>
        <w:t>berghei</w:t>
      </w:r>
      <w:proofErr w:type="spellEnd"/>
      <w:r w:rsidR="00C85EF8" w:rsidRPr="00A22E9D">
        <w:rPr>
          <w:rFonts w:ascii="Times New Roman" w:hAnsi="Times New Roman" w:cs="Times New Roman"/>
          <w:sz w:val="24"/>
          <w:szCs w:val="24"/>
        </w:rPr>
        <w:t xml:space="preserve"> is a useful model organism for studying malaria because it shares many characteristics with the Plasmodium species that infect humans. For example, it has a similar life cycle, and it can be used to study the host's immune response to infection and the development of drugs and vaccines.</w:t>
      </w:r>
      <w:r w:rsidR="007B5700" w:rsidRPr="00A22E9D">
        <w:rPr>
          <w:rFonts w:ascii="Times New Roman" w:hAnsi="Times New Roman" w:cs="Times New Roman"/>
          <w:sz w:val="24"/>
          <w:szCs w:val="24"/>
        </w:rPr>
        <w:t xml:space="preserve"> </w:t>
      </w:r>
      <w:r w:rsidR="00C85EF8" w:rsidRPr="00A22E9D">
        <w:rPr>
          <w:rFonts w:ascii="Times New Roman" w:hAnsi="Times New Roman" w:cs="Times New Roman"/>
          <w:sz w:val="24"/>
          <w:szCs w:val="24"/>
        </w:rPr>
        <w:t xml:space="preserve">It's also worth noting that as malaria is a disease that affects many people, especially in developing countries, research on </w:t>
      </w:r>
      <w:r w:rsidRPr="00F57D9D">
        <w:rPr>
          <w:rFonts w:ascii="Times New Roman" w:hAnsi="Times New Roman" w:cs="Times New Roman"/>
          <w:i/>
          <w:sz w:val="24"/>
          <w:szCs w:val="24"/>
        </w:rPr>
        <w:t xml:space="preserve">P. </w:t>
      </w:r>
      <w:proofErr w:type="spellStart"/>
      <w:r w:rsidRPr="00F57D9D">
        <w:rPr>
          <w:rFonts w:ascii="Times New Roman" w:hAnsi="Times New Roman" w:cs="Times New Roman"/>
          <w:i/>
          <w:sz w:val="24"/>
          <w:szCs w:val="24"/>
        </w:rPr>
        <w:t>berghei</w:t>
      </w:r>
      <w:proofErr w:type="spellEnd"/>
      <w:r w:rsidR="00C85EF8" w:rsidRPr="00A22E9D">
        <w:rPr>
          <w:rFonts w:ascii="Times New Roman" w:hAnsi="Times New Roman" w:cs="Times New Roman"/>
          <w:sz w:val="24"/>
          <w:szCs w:val="24"/>
        </w:rPr>
        <w:t xml:space="preserve"> can help to provide information that can be applied to the human malaria and help to improve the treatment and control of this disease.</w:t>
      </w:r>
    </w:p>
    <w:p w14:paraId="2D2027D2" w14:textId="0E9ACB42" w:rsidR="00C85EF8" w:rsidRPr="00A22E9D" w:rsidRDefault="00683FCF" w:rsidP="00CA4B8F">
      <w:pPr>
        <w:spacing w:line="480" w:lineRule="auto"/>
        <w:ind w:firstLine="720"/>
        <w:jc w:val="both"/>
        <w:rPr>
          <w:rFonts w:ascii="Times New Roman" w:hAnsi="Times New Roman" w:cs="Times New Roman"/>
          <w:sz w:val="24"/>
          <w:szCs w:val="24"/>
        </w:rPr>
      </w:pPr>
      <w:r w:rsidRPr="00683FCF">
        <w:rPr>
          <w:rFonts w:ascii="Times New Roman" w:hAnsi="Times New Roman" w:cs="Times New Roman"/>
          <w:i/>
          <w:sz w:val="24"/>
          <w:szCs w:val="24"/>
        </w:rPr>
        <w:t xml:space="preserve">Plasmodium </w:t>
      </w:r>
      <w:proofErr w:type="spellStart"/>
      <w:r w:rsidRPr="00683FCF">
        <w:rPr>
          <w:rFonts w:ascii="Times New Roman" w:hAnsi="Times New Roman" w:cs="Times New Roman"/>
          <w:i/>
          <w:sz w:val="24"/>
          <w:szCs w:val="24"/>
        </w:rPr>
        <w:t>berghei</w:t>
      </w:r>
      <w:proofErr w:type="spellEnd"/>
      <w:r w:rsidR="00171744" w:rsidRPr="00A22E9D">
        <w:rPr>
          <w:rFonts w:ascii="Times New Roman" w:hAnsi="Times New Roman" w:cs="Times New Roman"/>
          <w:sz w:val="24"/>
          <w:szCs w:val="24"/>
        </w:rPr>
        <w:t xml:space="preserve"> is a rodent malaria model that is widely used in the study of the biology of Plasmodium and the host-parasite interaction. It is considered to be a good model for studying human malaria as it shares similar genetic, biochemical, and immunological features with human malaria parasites</w:t>
      </w:r>
      <w:r w:rsidR="00EC39F0" w:rsidRPr="00A22E9D">
        <w:rPr>
          <w:rFonts w:ascii="Times New Roman" w:hAnsi="Times New Roman" w:cs="Times New Roman"/>
          <w:sz w:val="24"/>
          <w:szCs w:val="24"/>
        </w:rPr>
        <w:t xml:space="preserve"> </w:t>
      </w:r>
      <w:r w:rsidR="006312F8"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{"citationID":"TsgmgB3K","properties":{"formattedCitation":"(Acharya et al., 2017)","plainCitation":"(Acharya et al., 2017)","noteIndex":0},"citationItems":[{"id":100,"uris":["http://zotero.org/users/local/BeK2zaGK/items/L7H5V3DM"],"itemData":{"id":100,"type":"article-journal","abstract":"The malaria parasite, Plasmodium, is one of the oldest parasites documented to infect humans and has proven particularly hard to eradicate. One of the major hurdles in designing an effective subunit vaccine against the malaria parasite is the insufficient understanding of host–parasite interactions within the human host during infections. The success of the parasite lies in its ability to evade the human immune system and recruit host responses as physiological cues to regulate its life cycle, leading to rapid acclimatization of the parasite to its immediate host environment. Hence understanding the environmental niche of the parasite is crucial in developing strategies to combat this deadly infectious disease. It has been increasingly recognized that interactions between parasite proteins and host factors are essential to establishing infection and virulence at every stage of the parasite life cycle. This review reassesses all of these interactions and discusses their clinical importance in designing therapeutic approaches such as design of novel vaccines. The interactions have been followed from the initial stages of introduction of the parasite under the human dermis until asexual and sexual blood stages which are essential for transmission of malaria. We further classify the interactions as “direct” or “indirect” depending upon their demonstrated ability to mediate direct physical interactions of the parasite with host factors or their indirect manipulation of the host immune system since both forms of interactions are known to have a crucial role during infections. We also discuss the many ways in which this understanding has been taken to the field and the success of these strategies in controlling human malaria.","container-title":"Frontiers in Microbiology","DOI":"10.3389/fmicb.2017.00889","ISSN":"1664-302X","journalAbbreviation":"Front Microbiol","note":"PMID: 28572796\nPMCID: PMC5435807","page":"889","source":"PubMed Central","title":"Host–Parasite Interactions in Human Malaria: Clinical Implications of Basic Research","title-short":"Host–Parasite Interactions in Human Malaria","volume":"8","author":[{"family":"Acharya","given":"Pragyan"},{"family":"Garg","given":"Manika"},{"family":"Kumar","given":"Praveen"},{"family":"Munjal","given":"Akshay"},{"family":"Raja","given":"K. D."}],"issued":{"date-parts":[["2017",5,18]]}}}],"schema":"https://github.com/citation-style-language/schema/raw/master/csl-citation.json"} </w:instrText>
      </w:r>
      <w:r w:rsidR="006312F8"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(Acharya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2017)</w:t>
      </w:r>
      <w:r w:rsidR="006312F8" w:rsidRPr="00A22E9D">
        <w:rPr>
          <w:rFonts w:ascii="Times New Roman" w:hAnsi="Times New Roman" w:cs="Times New Roman"/>
          <w:sz w:val="24"/>
          <w:szCs w:val="24"/>
        </w:rPr>
        <w:fldChar w:fldCharType="end"/>
      </w:r>
      <w:r w:rsidR="00EC39F0" w:rsidRPr="00A22E9D">
        <w:rPr>
          <w:rFonts w:ascii="Times New Roman" w:hAnsi="Times New Roman" w:cs="Times New Roman"/>
          <w:sz w:val="24"/>
          <w:szCs w:val="24"/>
        </w:rPr>
        <w:t>.</w:t>
      </w:r>
      <w:r w:rsidR="00AD2827" w:rsidRPr="00A22E9D">
        <w:rPr>
          <w:rFonts w:ascii="Times New Roman" w:hAnsi="Times New Roman" w:cs="Times New Roman"/>
          <w:sz w:val="24"/>
          <w:szCs w:val="24"/>
        </w:rPr>
        <w:t xml:space="preserve"> </w:t>
      </w:r>
      <w:r w:rsidR="00F57D9D" w:rsidRPr="00F57D9D">
        <w:rPr>
          <w:rFonts w:ascii="Times New Roman" w:hAnsi="Times New Roman" w:cs="Times New Roman"/>
          <w:i/>
          <w:sz w:val="24"/>
          <w:szCs w:val="24"/>
        </w:rPr>
        <w:t xml:space="preserve">P. </w:t>
      </w:r>
      <w:proofErr w:type="spellStart"/>
      <w:r w:rsidR="00F57D9D" w:rsidRPr="00F57D9D">
        <w:rPr>
          <w:rFonts w:ascii="Times New Roman" w:hAnsi="Times New Roman" w:cs="Times New Roman"/>
          <w:i/>
          <w:sz w:val="24"/>
          <w:szCs w:val="24"/>
        </w:rPr>
        <w:t>berghei</w:t>
      </w:r>
      <w:proofErr w:type="spellEnd"/>
      <w:r w:rsidR="00171744" w:rsidRPr="00A22E9D">
        <w:rPr>
          <w:rFonts w:ascii="Times New Roman" w:hAnsi="Times New Roman" w:cs="Times New Roman"/>
          <w:sz w:val="24"/>
          <w:szCs w:val="24"/>
        </w:rPr>
        <w:t xml:space="preserve"> is a valuable tool for the study of the host's immune response to malaria, as well as the development of drugs and vaccines. For example, studies using </w:t>
      </w:r>
      <w:r w:rsidR="00F57D9D" w:rsidRPr="00F57D9D">
        <w:rPr>
          <w:rFonts w:ascii="Times New Roman" w:hAnsi="Times New Roman" w:cs="Times New Roman"/>
          <w:i/>
          <w:sz w:val="24"/>
          <w:szCs w:val="24"/>
        </w:rPr>
        <w:t xml:space="preserve">P. </w:t>
      </w:r>
      <w:proofErr w:type="spellStart"/>
      <w:r w:rsidR="00F57D9D" w:rsidRPr="00F57D9D">
        <w:rPr>
          <w:rFonts w:ascii="Times New Roman" w:hAnsi="Times New Roman" w:cs="Times New Roman"/>
          <w:i/>
          <w:sz w:val="24"/>
          <w:szCs w:val="24"/>
        </w:rPr>
        <w:t>berghei</w:t>
      </w:r>
      <w:proofErr w:type="spellEnd"/>
      <w:r w:rsidR="00171744" w:rsidRPr="00A22E9D">
        <w:rPr>
          <w:rFonts w:ascii="Times New Roman" w:hAnsi="Times New Roman" w:cs="Times New Roman"/>
          <w:sz w:val="24"/>
          <w:szCs w:val="24"/>
        </w:rPr>
        <w:t xml:space="preserve"> have led to a better understanding of the mechanisms of host </w:t>
      </w:r>
      <w:r w:rsidR="00171744" w:rsidRPr="00A22E9D">
        <w:rPr>
          <w:rFonts w:ascii="Times New Roman" w:hAnsi="Times New Roman" w:cs="Times New Roman"/>
          <w:sz w:val="24"/>
          <w:szCs w:val="24"/>
        </w:rPr>
        <w:lastRenderedPageBreak/>
        <w:t>immunity that can protect against malaria, and have identified potential new targets for the development of vaccines and drugs</w:t>
      </w:r>
      <w:r w:rsidR="00AD2827" w:rsidRPr="00A22E9D">
        <w:rPr>
          <w:rFonts w:ascii="Times New Roman" w:hAnsi="Times New Roman" w:cs="Times New Roman"/>
          <w:sz w:val="24"/>
          <w:szCs w:val="24"/>
        </w:rPr>
        <w:t xml:space="preserve"> </w:t>
      </w:r>
      <w:r w:rsidR="00AD2827"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{"citationID":"7mzWxh33","properties":{"formattedCitation":"(Goodman et al., 2013)","plainCitation":"(Goodman et al., 2013)","noteIndex":0},"citationItems":[{"id":103,"uris":["http://zotero.org/users/local/BeK2zaGK/items/YY68F5QN"],"itemData":{"id":103,"type":"article-journal","abstract":"Rodent malaria species Plasmodium yoelii and P. chabaudi have been widely used to validate vaccine approaches targeting blood-stage merozoite antigens. However, increasing data suggest the P. berghei rodent malaria may be able to circumvent vaccine-induced anti-merozoite responses. Here we confirm a failure to protect against P. berghei, despite successful antibody induction against leading merozoite antigens using protein-in-adjuvant or viral vectored vaccine delivery. No subunit vaccine approach showed efficacy in mice following immunization and challenge with the wild-type P. berghei strains ANKA or NK65, or against a chimeric parasite line encoding a merozoite antigen from P. falciparum. Protection was not improved in knockout mice lacking the inhibitory Fc receptor CD32b, nor against a Δsmac\nP. berghei parasite line with a non-sequestering phenotype. An improved understanding of the mechanisms responsible for protection, or failure of protection, against P. berghei merozoites could guide the development of an efficacious vaccine against P. falciparum.","container-title":"Scientific Reports","DOI":"10.1038/srep01706","ISSN":"2045-2322","journalAbbreviation":"Sci Rep","note":"PMID: 23609325\nPMCID: PMC3632886","page":"1706","source":"PubMed Central","title":"The utility of Plasmodium berghei as a rodent model for anti-merozoite malaria vaccine assessment","volume":"3","author":[{"family":"Goodman","given":"Anna L."},{"family":"Forbes","given":"Emily K."},{"family":"Williams","given":"Andrew R."},{"family":"Douglas","given":"Alexander D."},{"family":"Cassan","given":"Simone C.","non-dropping-particle":"de"},{"family":"Bauza","given":"Karolis"},{"family":"Biswas","given":"Sumi"},{"family":"Dicks","given":"Matthew D. J."},{"family":"Llewellyn","given":"David"},{"family":"Moore","given":"Anne C."},{"family":"Janse","given":"Chris J."},{"family":"Franke-Fayard","given":"Blandine M."},{"family":"Gilbert","given":"Sarah C."},{"family":"Hill","given":"Adrian V. S."},{"family":"Pleass","given":"Richard J."},{"family":"Draper","given":"Simon J."}],"issued":{"date-parts":[["2013",4,23]]}}}],"schema":"https://github.com/citation-style-language/schema/raw/master/csl-citation.json"} </w:instrText>
      </w:r>
      <w:r w:rsidR="00AD2827"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(Goodman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2013)</w:t>
      </w:r>
      <w:r w:rsidR="00AD2827" w:rsidRPr="00A22E9D">
        <w:rPr>
          <w:rFonts w:ascii="Times New Roman" w:hAnsi="Times New Roman" w:cs="Times New Roman"/>
          <w:sz w:val="24"/>
          <w:szCs w:val="24"/>
        </w:rPr>
        <w:fldChar w:fldCharType="end"/>
      </w:r>
      <w:r w:rsidR="00EC39F0" w:rsidRPr="00A22E9D">
        <w:rPr>
          <w:rFonts w:ascii="Times New Roman" w:hAnsi="Times New Roman" w:cs="Times New Roman"/>
          <w:sz w:val="24"/>
          <w:szCs w:val="24"/>
        </w:rPr>
        <w:t>.</w:t>
      </w:r>
      <w:r w:rsidR="00AD2827" w:rsidRPr="00A22E9D">
        <w:rPr>
          <w:rFonts w:ascii="Times New Roman" w:hAnsi="Times New Roman" w:cs="Times New Roman"/>
          <w:sz w:val="24"/>
          <w:szCs w:val="24"/>
        </w:rPr>
        <w:t xml:space="preserve"> </w:t>
      </w:r>
      <w:r w:rsidR="00F57D9D" w:rsidRPr="00F57D9D">
        <w:rPr>
          <w:rFonts w:ascii="Times New Roman" w:hAnsi="Times New Roman" w:cs="Times New Roman"/>
          <w:i/>
          <w:sz w:val="24"/>
          <w:szCs w:val="24"/>
        </w:rPr>
        <w:t xml:space="preserve">P. </w:t>
      </w:r>
      <w:proofErr w:type="spellStart"/>
      <w:r w:rsidR="00F57D9D" w:rsidRPr="00F57D9D">
        <w:rPr>
          <w:rFonts w:ascii="Times New Roman" w:hAnsi="Times New Roman" w:cs="Times New Roman"/>
          <w:i/>
          <w:sz w:val="24"/>
          <w:szCs w:val="24"/>
        </w:rPr>
        <w:t>berghei</w:t>
      </w:r>
      <w:proofErr w:type="spellEnd"/>
      <w:r w:rsidR="00171744" w:rsidRPr="00A22E9D">
        <w:rPr>
          <w:rFonts w:ascii="Times New Roman" w:hAnsi="Times New Roman" w:cs="Times New Roman"/>
          <w:sz w:val="24"/>
          <w:szCs w:val="24"/>
        </w:rPr>
        <w:t xml:space="preserve"> is a useful model for studying the impact of malaria on the host's red blood cells. It has been used to investigate the molecular mechanisms underlying the sequestration, growth, and egress of the parasite from the host's red blood cells. Also, it has been used to study the host's response to infected red blood cells, including the cellular and molecular mechanisms of host immunity that can protect against malaria</w:t>
      </w:r>
      <w:r w:rsidR="006C0993" w:rsidRPr="00A22E9D">
        <w:rPr>
          <w:rFonts w:ascii="Times New Roman" w:hAnsi="Times New Roman" w:cs="Times New Roman"/>
          <w:sz w:val="24"/>
          <w:szCs w:val="24"/>
        </w:rPr>
        <w:t xml:space="preserve"> </w:t>
      </w:r>
      <w:r w:rsidR="006C0993"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{"citationID":"N0h34B9T","properties":{"formattedCitation":"(Baptista et al., 2010)","plainCitation":"(Baptista et al., 2010)","noteIndex":0},"citationItems":[{"id":106,"uris":["http://zotero.org/users/local/BeK2zaGK/items/MAL8W3KH"],"itemData":{"id":106,"type":"article-journal","abstract":"Cerebral malaria is the most severe complication of human infection with Plasmodium falciparum. It was shown that Plasmodium berghei ANKA-induced cerebral malaria was prevented in 100% of mice depleted of CD8+ T cells 1 day prior to the development of neurological signs. However, the importance of parasites in the brains of these mice was never clearly investigated. Moreover, the relevance of this model to human cerebral malaria has been questioned many times, especially concerning the relative importance of leukocytes versus parasitized erythrocytes sequestered in the brain. Here, we show that mice protected from cerebral malaria by CD8+ T-cell depletion have significantly fewer parasites in the brain. Treatment of infected mice with an antimalarial drug 15 to 20 h prior to the estimated time of death also protected mice from cerebral malaria without altering the number of CD8+ T cells in the brain. These mice subsequently developed cerebral malaria with parasitized red blood cells in the brain. Our results clearly demonstrated that sequestration of CD8+ T cells in the brain is not sufficient for the development of cerebral malaria in C57BL/6 mice but that the concomitant presence of parasitized red blood cells is crucial for the onset of pathology. Importantly, these results also demonstrated that the experimental cerebral malaria model shares many features with human pathology and might be a relevant model to study its pathogenesis.","container-title":"Infection and Immunity","DOI":"10.1128/IAI.00079-10","ISSN":"0019-9567","issue":"9","journalAbbreviation":"Infect Immun","note":"PMID: 20605973\nPMCID: PMC2937458","page":"4033-4039","source":"PubMed Central","title":"Accumulation of Plasmodium berghei-Infected Red Blood Cells in the Brain Is Crucial for the Development of Cerebral Malaria in Mice","volume":"78","author":[{"family":"Baptista","given":"Fernanda G."},{"family":"Pamplona","given":"Ana"},{"family":"Pena","given":"Ana C."},{"family":"Mota","given":"Maria M."},{"family":"Pied","given":"Sylviane"},{"family":"Vigário","given":"Ana M."}],"issued":{"date-parts":[["2010",9]]}}}],"schema":"https://github.com/citation-style-language/schema/raw/master/csl-citation.json"} </w:instrText>
      </w:r>
      <w:r w:rsidR="006C0993"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(Baptista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2010)</w:t>
      </w:r>
      <w:r w:rsidR="006C0993" w:rsidRPr="00A22E9D">
        <w:rPr>
          <w:rFonts w:ascii="Times New Roman" w:hAnsi="Times New Roman" w:cs="Times New Roman"/>
          <w:sz w:val="24"/>
          <w:szCs w:val="24"/>
        </w:rPr>
        <w:fldChar w:fldCharType="end"/>
      </w:r>
      <w:r w:rsidR="00EC39F0" w:rsidRPr="00A22E9D">
        <w:rPr>
          <w:rFonts w:ascii="Times New Roman" w:hAnsi="Times New Roman" w:cs="Times New Roman"/>
          <w:sz w:val="24"/>
          <w:szCs w:val="24"/>
        </w:rPr>
        <w:t>.</w:t>
      </w:r>
    </w:p>
    <w:p w14:paraId="5258E2B3" w14:textId="74BCCD6F" w:rsidR="00935ADB" w:rsidRPr="00A22E9D" w:rsidRDefault="009463C7" w:rsidP="00CA4B8F">
      <w:pPr>
        <w:spacing w:line="480" w:lineRule="auto"/>
        <w:jc w:val="both"/>
        <w:rPr>
          <w:rFonts w:ascii="Times New Roman" w:hAnsi="Times New Roman" w:cs="Times New Roman"/>
          <w:b/>
          <w:bCs/>
          <w:sz w:val="24"/>
          <w:szCs w:val="24"/>
        </w:rPr>
      </w:pPr>
      <w:bookmarkStart w:id="17" w:name="_Toc145500376"/>
      <w:r w:rsidRPr="00A22E9D">
        <w:rPr>
          <w:rStyle w:val="Heading3Char"/>
          <w:rFonts w:cs="Times New Roman"/>
        </w:rPr>
        <w:t xml:space="preserve">2.5 </w:t>
      </w:r>
      <w:r w:rsidR="00935ADB" w:rsidRPr="00A22E9D">
        <w:rPr>
          <w:rStyle w:val="Heading3Char"/>
          <w:rFonts w:cs="Times New Roman"/>
        </w:rPr>
        <w:t>The use of Mice as an Infection model system</w:t>
      </w:r>
      <w:bookmarkEnd w:id="17"/>
      <w:r w:rsidR="00935ADB" w:rsidRPr="00A22E9D">
        <w:rPr>
          <w:rFonts w:ascii="Times New Roman" w:hAnsi="Times New Roman" w:cs="Times New Roman"/>
          <w:b/>
          <w:bCs/>
          <w:sz w:val="24"/>
          <w:szCs w:val="24"/>
        </w:rPr>
        <w:t>.</w:t>
      </w:r>
    </w:p>
    <w:p w14:paraId="26864CBE" w14:textId="56F524E7" w:rsidR="00935ADB" w:rsidRPr="00A22E9D" w:rsidRDefault="00935ADB"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Mice are commonly used as infection model systems because they are relatively inexpensive, easy to maintain, and have a short lifespan. Mice also have a similar immune system to humans, which makes them a good model for studying the pathogenesis of human diseases.</w:t>
      </w:r>
      <w:r w:rsidR="00F314B2" w:rsidRPr="00A22E9D">
        <w:rPr>
          <w:rFonts w:ascii="Times New Roman" w:hAnsi="Times New Roman" w:cs="Times New Roman"/>
          <w:sz w:val="24"/>
          <w:szCs w:val="24"/>
        </w:rPr>
        <w:t xml:space="preserve"> Mice may be the closest mammalian companion to humans, whereas dogs may be man's best friend. Mice and humans are more closely connected than dogs are, with just one common ancestor between them ~65-75mya </w:t>
      </w:r>
      <w:r w:rsidR="00F314B2"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{"citationID":"czysSAO6","properties":{"formattedCitation":"(Masopust et al., 2017)","plainCitation":"(Masopust et al., 2017)","noteIndex":0},"citationItems":[{"id":404,"uris":["http://zotero.org/users/local/BeK2zaGK/items/ZE7M872P"],"itemData":{"id":404,"type":"article-journal","abstract":"Mouse models have enabled breakthroughs in our understanding of the immune system, but it has become increasingly popular to emphasize their shortcomings when translating observations to humans. This review provides a brief summary of mouse natural history, husbandry, and the pros and cons of pursuing basic research in mice versus humans. Opportunities are discussed for extending the predictive translational value of mouse research, with an emphasis on exploitation of a ‘dirty’ mouse model that better mimics the diverse infectious history that is typical of most humans.","container-title":"Journal of immunology (Baltimore, Md. : 1950)","DOI":"10.4049/jimmunol.1700453","ISSN":"0022-1767","issue":"2","journalAbbreviation":"J Immunol","note":"PMID: 28696328\nPMCID: PMC5512602","page":"383-388","source":"PubMed Central","title":"Of Mice, Dirty Mice, and Men: Using Mice to Understand Human Immunology","title-short":"Of Mice, Dirty Mice, and Men","volume":"199","author":[{"family":"Masopust","given":"David"},{"family":"Sivula","given":"Christine P."},{"family":"Jameson","given":"Stephen C."}],"issued":{"date-parts":[["2017",7,15]]}}}],"schema":"https://github.com/citation-style-language/schema/raw/master/csl-citation.json"} </w:instrText>
      </w:r>
      <w:r w:rsidR="00F314B2"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(Masopust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2017)</w:t>
      </w:r>
      <w:r w:rsidR="00F314B2" w:rsidRPr="00A22E9D">
        <w:rPr>
          <w:rFonts w:ascii="Times New Roman" w:hAnsi="Times New Roman" w:cs="Times New Roman"/>
          <w:sz w:val="24"/>
          <w:szCs w:val="24"/>
        </w:rPr>
        <w:fldChar w:fldCharType="end"/>
      </w:r>
      <w:r w:rsidR="001C7179" w:rsidRPr="00A22E9D">
        <w:rPr>
          <w:rFonts w:ascii="Times New Roman" w:hAnsi="Times New Roman" w:cs="Times New Roman"/>
          <w:sz w:val="24"/>
          <w:szCs w:val="24"/>
        </w:rPr>
        <w:t>.</w:t>
      </w:r>
    </w:p>
    <w:p w14:paraId="7C94F240" w14:textId="261C57C5" w:rsidR="00935ADB" w:rsidRPr="00A22E9D" w:rsidRDefault="00935ADB"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There are a number of different ways to use mice as infection model systems</w:t>
      </w:r>
      <w:r w:rsidR="00A258DB" w:rsidRPr="00A22E9D">
        <w:rPr>
          <w:rFonts w:ascii="Times New Roman" w:hAnsi="Times New Roman" w:cs="Times New Roman"/>
          <w:sz w:val="24"/>
          <w:szCs w:val="24"/>
        </w:rPr>
        <w:t xml:space="preserve"> </w:t>
      </w:r>
      <w:r w:rsidR="00A258DB" w:rsidRPr="00A22E9D">
        <w:rPr>
          <w:rFonts w:ascii="Times New Roman" w:hAnsi="Times New Roman" w:cs="Times New Roman"/>
          <w:sz w:val="24"/>
          <w:szCs w:val="24"/>
        </w:rPr>
        <w:fldChar w:fldCharType="begin"/>
      </w:r>
      <w:r w:rsidR="00C06D06" w:rsidRPr="00A22E9D">
        <w:rPr>
          <w:rFonts w:ascii="Times New Roman" w:hAnsi="Times New Roman" w:cs="Times New Roman"/>
          <w:sz w:val="24"/>
          <w:szCs w:val="24"/>
        </w:rPr>
        <w:instrText xml:space="preserve"> ADDIN ZOTERO_ITEM CSL_CITATION {"citationID":"j8ulroyL","properties":{"formattedCitation":"(Kim et al., 2020)","plainCitation":"(Kim et al., 2020)","noteIndex":0},"citationItems":[{"id":436,"uris":["http://zotero.org/users/local/BeK2zaGK/items/FII9952K"],"itemData":{"id":436,"type":"article-journal","abstract":"The historical reliance of biological research on the use of animal models has sometimes made it challenging to address questions that are specific to the understanding of human biology and disease. But with the advent of human organoids — which are stem cell-derived 3D culture systems — it is now possible to re-create the architecture and physiology of human organs in remarkable detail. Human organoids provide unique opportunities for the study of human disease and complement animal models. Human organoids have been used to study infectious diseases, genetic disorders and cancers through the genetic engineering of human stem cells, as well as directly when organoids are generated from patient biopsy samples. This Review discusses the applications, advantages and disadvantages of human organoids as models of development and disease and outlines the challenges that have to be overcome for organoids to be able to substantially reduce the need for animal experiments.","container-title":"Nature Reviews Molecular Cell Biology","DOI":"10.1038/s41580-020-0259-3","ISSN":"1471-0080","issue":"10","journalAbbreviation":"Nat Rev Mol Cell Biol","language":"en","license":"2020 Springer Nature Limited","note":"number: 10\npublisher: Nature Publishing Group","page":"571-584","source":"www.nature.com","title":"Human organoids: model systems for human biology and medicine","title-short":"Human organoids","volume":"21","author":[{"family":"Kim","given":"Jihoon"},{"family":"Koo","given":"Bon-Kyoung"},{"family":"Knoblich","given":"Juergen A."}],"issued":{"date-parts":[["2020",10]]}}}],"schema":"https://github.com/citation-style-language/schema/raw/master/csl-citation.json"} </w:instrText>
      </w:r>
      <w:r w:rsidR="00A258DB" w:rsidRPr="00A22E9D">
        <w:rPr>
          <w:rFonts w:ascii="Times New Roman" w:hAnsi="Times New Roman" w:cs="Times New Roman"/>
          <w:sz w:val="24"/>
          <w:szCs w:val="24"/>
        </w:rPr>
        <w:fldChar w:fldCharType="separate"/>
      </w:r>
      <w:r w:rsidR="00C06D06" w:rsidRPr="00A22E9D">
        <w:rPr>
          <w:rFonts w:ascii="Times New Roman" w:hAnsi="Times New Roman" w:cs="Times New Roman"/>
          <w:sz w:val="24"/>
        </w:rPr>
        <w:t xml:space="preserve">(Kim </w:t>
      </w:r>
      <w:r w:rsidR="00F57D9D" w:rsidRPr="00F57D9D">
        <w:rPr>
          <w:rFonts w:ascii="Times New Roman" w:hAnsi="Times New Roman" w:cs="Times New Roman"/>
          <w:i/>
          <w:sz w:val="24"/>
        </w:rPr>
        <w:t>et al</w:t>
      </w:r>
      <w:r w:rsidR="00C06D06" w:rsidRPr="00A22E9D">
        <w:rPr>
          <w:rFonts w:ascii="Times New Roman" w:hAnsi="Times New Roman" w:cs="Times New Roman"/>
          <w:sz w:val="24"/>
        </w:rPr>
        <w:t>., 2020)</w:t>
      </w:r>
      <w:r w:rsidR="00A258DB" w:rsidRPr="00A22E9D">
        <w:rPr>
          <w:rFonts w:ascii="Times New Roman" w:hAnsi="Times New Roman" w:cs="Times New Roman"/>
          <w:sz w:val="24"/>
          <w:szCs w:val="24"/>
        </w:rPr>
        <w:fldChar w:fldCharType="end"/>
      </w:r>
      <w:r w:rsidRPr="00A22E9D">
        <w:rPr>
          <w:rFonts w:ascii="Times New Roman" w:hAnsi="Times New Roman" w:cs="Times New Roman"/>
          <w:sz w:val="24"/>
          <w:szCs w:val="24"/>
        </w:rPr>
        <w:t>. One common approach is to infect mice with a pathogen and then monitor their health and behaviour over time. This can be used to study the progression of the disease, the immune response to the pathogen, and the effects of the disease on the body. Another approach is to use mice to test the efficacy of potential treatments for infectious diseases. Mice can be infected with a pathogen and then treated with a potential treatment. The effectiveness of the treatment can then be assessed by monitoring the health and behaviour of the mice.</w:t>
      </w:r>
    </w:p>
    <w:p w14:paraId="0EF2F87F" w14:textId="026A183D" w:rsidR="00BC0292" w:rsidRPr="00A22E9D" w:rsidRDefault="00BC0292"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Researchers use mouse models to investigate various aspects of malaria, such as the pathogenesis of the disease, immune responses, efficacy of antimalarial drugs, vaccine development, and the biology of the parasite</w:t>
      </w:r>
      <w:r w:rsidR="00D56C9A" w:rsidRPr="00A22E9D">
        <w:rPr>
          <w:rFonts w:ascii="Times New Roman" w:hAnsi="Times New Roman" w:cs="Times New Roman"/>
          <w:sz w:val="24"/>
          <w:szCs w:val="24"/>
        </w:rPr>
        <w:t xml:space="preserve"> </w:t>
      </w:r>
      <w:r w:rsidR="00D56C9A"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{"citationID":"qIO0rJO8","properties":{"formattedCitation":"(Huang et al., 2015)","plainCitation":"(Huang et al., 2015)","noteIndex":0},"citationItems":[{"id":413,"uris":["http://zotero.org/users/local/BeK2zaGK/items/SJN8TZLQ"],"itemData":{"id":413,"type":"article-journal","abstract":"Mouse models have demonstrated utility in delineating the mechanisms underlying many aspects of malaria immunology and physiology. The most common mouse models of malaria employ the rodent-specific parasite species Plasmodium berghei, P. yoelii, and P. chabaudi, which elicit distinct pathologies and immune responses and are used to model different manifestations of human disease. In vitro culture methods are not well developed for rodent Plasmodium parasites, which thus require in vivo maintenance. Moreover, physiologically relevant immunological processes are best studied in vivo. Here, we detail the processes of infecting mice with Plasmodium, maintaining the parasite in vivo, and monitoring parasite levels and health parameters throughout infection.","container-title":"Bio-protocol","ISSN":"2331-8325","issue":"13","journalAbbreviation":"Bio Protoc","note":"PMID: 26236758\nPMCID: PMC4520541","page":"e1514","source":"PubMed Central","title":"Mouse Models of Uncomplicated and Fatal Malaria","volume":"5","author":[{"family":"Huang","given":"Brian W."},{"family":"Pearman","given":"Emily"},{"family":"Kim","given":"Charles C."}],"issued":{"date-parts":[["2015",7,5]]}}}],"schema":"https://github.com/citation-style-language/schema/raw/master/csl-citation.json"} </w:instrText>
      </w:r>
      <w:r w:rsidR="00D56C9A"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(Huang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2015)</w:t>
      </w:r>
      <w:r w:rsidR="00D56C9A"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These studies provide valuable </w:t>
      </w:r>
      <w:r w:rsidRPr="00A22E9D">
        <w:rPr>
          <w:rFonts w:ascii="Times New Roman" w:hAnsi="Times New Roman" w:cs="Times New Roman"/>
          <w:sz w:val="24"/>
          <w:szCs w:val="24"/>
        </w:rPr>
        <w:lastRenderedPageBreak/>
        <w:t>insights into the mechanisms of malaria infection, host-parasite interactions, and potential interventions for controlling the disease</w:t>
      </w:r>
      <w:r w:rsidR="001C7179" w:rsidRPr="00A22E9D">
        <w:rPr>
          <w:rFonts w:ascii="Times New Roman" w:hAnsi="Times New Roman" w:cs="Times New Roman"/>
          <w:sz w:val="24"/>
          <w:szCs w:val="24"/>
        </w:rPr>
        <w:t xml:space="preserve"> </w:t>
      </w:r>
      <w:r w:rsidR="001C7179"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{"citationID":"DqZX41al","properties":{"formattedCitation":"({\\i{}Physiology of Mus Musculus - Immune System}, n.d.)","plainCitation":"(Physiology of Mus Musculus - Immune System, n.d.)","noteIndex":0},"citationItems":[{"id":408,"uris":["http://zotero.org/users/local/BeK2zaGK/items/BUFQFNTS"],"itemData":{"id":408,"type":"webpage","title":"Physiology of Mus musculus - Immune system","URL":"https://www.ufrgs.br/imunovet/molecular_immunology/immunitymusmusculus.html","accessed":{"date-parts":[["2023",5,26]]}}}],"schema":"https://github.com/citation-style-language/schema/raw/master/csl-citation.json"} </w:instrText>
      </w:r>
      <w:r w:rsidR="001C7179" w:rsidRPr="00A22E9D">
        <w:rPr>
          <w:rFonts w:ascii="Times New Roman" w:hAnsi="Times New Roman" w:cs="Times New Roman"/>
          <w:sz w:val="24"/>
          <w:szCs w:val="24"/>
        </w:rPr>
        <w:fldChar w:fldCharType="separate"/>
      </w:r>
      <w:r w:rsidR="00020286" w:rsidRPr="00A22E9D">
        <w:rPr>
          <w:rFonts w:ascii="Times New Roman" w:hAnsi="Times New Roman" w:cs="Times New Roman"/>
          <w:sz w:val="24"/>
          <w:szCs w:val="24"/>
        </w:rPr>
        <w:t>(</w:t>
      </w:r>
      <w:r w:rsidR="00020286" w:rsidRPr="00A22E9D">
        <w:rPr>
          <w:rFonts w:ascii="Times New Roman" w:hAnsi="Times New Roman" w:cs="Times New Roman"/>
          <w:i/>
          <w:iCs/>
          <w:sz w:val="24"/>
          <w:szCs w:val="24"/>
        </w:rPr>
        <w:t>Physiology of Mus Musculus - Immune System</w:t>
      </w:r>
      <w:r w:rsidR="00020286" w:rsidRPr="00A22E9D">
        <w:rPr>
          <w:rFonts w:ascii="Times New Roman" w:hAnsi="Times New Roman" w:cs="Times New Roman"/>
          <w:sz w:val="24"/>
          <w:szCs w:val="24"/>
        </w:rPr>
        <w:t>, n.d.)</w:t>
      </w:r>
      <w:r w:rsidR="001C7179" w:rsidRPr="00A22E9D">
        <w:rPr>
          <w:rFonts w:ascii="Times New Roman" w:hAnsi="Times New Roman" w:cs="Times New Roman"/>
          <w:sz w:val="24"/>
          <w:szCs w:val="24"/>
        </w:rPr>
        <w:fldChar w:fldCharType="end"/>
      </w:r>
      <w:r w:rsidRPr="00A22E9D">
        <w:rPr>
          <w:rFonts w:ascii="Times New Roman" w:hAnsi="Times New Roman" w:cs="Times New Roman"/>
          <w:sz w:val="24"/>
          <w:szCs w:val="24"/>
        </w:rPr>
        <w:t>.</w:t>
      </w:r>
    </w:p>
    <w:p w14:paraId="5EA6B187" w14:textId="4E73CF60" w:rsidR="00BC0292" w:rsidRPr="00A22E9D" w:rsidRDefault="00BC0292"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It's important to note that while mice are widely used as a model system, there are inherent differences between mouse and human immune systems and other physiological factors. Therefore, findings from mouse models need to be further validated in other relevant models, including non-human primates or human clinical studies, to ensure their applicability to human malaria</w:t>
      </w:r>
      <w:r w:rsidR="00FF7AC3" w:rsidRPr="00A22E9D">
        <w:rPr>
          <w:rFonts w:ascii="Times New Roman" w:hAnsi="Times New Roman" w:cs="Times New Roman"/>
          <w:sz w:val="24"/>
          <w:szCs w:val="24"/>
        </w:rPr>
        <w:t xml:space="preserve"> </w:t>
      </w:r>
      <w:r w:rsidR="00FF7AC3" w:rsidRPr="00A22E9D">
        <w:rPr>
          <w:rFonts w:ascii="Times New Roman" w:hAnsi="Times New Roman" w:cs="Times New Roman"/>
          <w:sz w:val="24"/>
          <w:szCs w:val="24"/>
        </w:rPr>
        <w:fldChar w:fldCharType="begin"/>
      </w:r>
      <w:r w:rsidR="00FF7AC3" w:rsidRPr="00A22E9D">
        <w:rPr>
          <w:rFonts w:ascii="Times New Roman" w:hAnsi="Times New Roman" w:cs="Times New Roman"/>
          <w:sz w:val="24"/>
          <w:szCs w:val="24"/>
        </w:rPr>
        <w:instrText xml:space="preserve"> ADDIN ZOTERO_ITEM CSL_CITATION {"citationID":"MTNrZvGx","properties":{"formattedCitation":"(Denayer et al., 2014)","plainCitation":"(Denayer et al., 2014)","noteIndex":0},"citationItems":[{"id":437,"uris":["http://zotero.org/users/local/BeK2zaGK/items/2ZV8L3M8"],"itemData":{"id":437,"type":"article-journal","abstract":"Despite large investments in drug development, the overall success rate of drugs during clinical development remains low. One prominent explanation is flawed preclinical research, in which the use and outcome of animal models is pivotal to bridge the translational gap to the clinic. Therefore, the selection of a validated and predictive animal model is essential to address the clinical question. In this review, the current challenges and limitations of animal models are discussed, with a focus on the fit-for-purpose validation. Moreover, guidance is provided on the selection, design and conduct of an animal model, including the recommendation of assessing both efficacy and safety endpoints. In order to improve the clinical translation, the use of humanized mouse models and preclinical applications of clinical features are discussed. On top, the translational value of animal models could be further enhanced when combined with emerging alternative translational approaches. Focal points: •BedsideAnimal models are essential for translation of drug findings from bench to bedside. Hence, critical evaluation of the face and predictive validity of these models is important. Reversely, clinical bedside findings that were not predicted by animal testing should be back translated and used to refine the animal models.•BenchsideProper design, execution and reporting of animal model results help to make preclinical data more reproducible and translatable to the clinic.•IndustryDesign of an animal model strategy is part of the translational plan rather than (a) single experiment(s). Data from animal models are essential in predicting the clinical outcome for a specific drug in development.•CommunityReview, standardization and refinement of animal models by disease expert groups helps to improve rigor of animal model testing. It is important that the applied animal models are validated fit-for-purpose according to stringent criteria and reproducible.•GovernmentsAs during drug development fit-for-purpose animal models are key for success in clinical translation, financial investments and support from the government to develop, optimize, validate and run such translation tools are important. Over time, this will be of benefit for patients and healthcare institutions.•Regulatory agenciesPreclinical testing of a drug in an animal model is not a prerequisite for regulatory agencies before entering clinical trials, but does unquestionably provide valuable data on the expected clinical performance of the drug. Hence, testing in animal models is largely recommended from both a business and patient perspective. In addition, inclusion of safety parameters in animal models will help to build the required safety data package of drugs in development.","container-title":"New Horizons in Translational Medicine","DOI":"10.1016/j.nhtm.2014.08.001","ISSN":"2307-5023","issue":"1","journalAbbreviation":"New Horizons in Translational Medicine","language":"en","page":"5-11","source":"ScienceDirect","title":"Animal models in translational medicine: Validation and prediction","title-short":"Animal models in translational medicine","volume":"2","author":[{"family":"Denayer","given":"Tinneke"},{"family":"Stöhr","given":"Thomas"},{"family":"Van Roy","given":"Maarten"}],"issued":{"date-parts":[["2014",9,1]]}}}],"schema":"https://github.com/citation-style-language/schema/raw/master/csl-citation.json"} </w:instrText>
      </w:r>
      <w:r w:rsidR="00FF7AC3" w:rsidRPr="00A22E9D">
        <w:rPr>
          <w:rFonts w:ascii="Times New Roman" w:hAnsi="Times New Roman" w:cs="Times New Roman"/>
          <w:sz w:val="24"/>
          <w:szCs w:val="24"/>
        </w:rPr>
        <w:fldChar w:fldCharType="separate"/>
      </w:r>
      <w:r w:rsidR="00FF7AC3" w:rsidRPr="00A22E9D">
        <w:rPr>
          <w:rFonts w:ascii="Times New Roman" w:hAnsi="Times New Roman" w:cs="Times New Roman"/>
          <w:sz w:val="24"/>
        </w:rPr>
        <w:t xml:space="preserve">(Denayer </w:t>
      </w:r>
      <w:r w:rsidR="00F57D9D" w:rsidRPr="00F57D9D">
        <w:rPr>
          <w:rFonts w:ascii="Times New Roman" w:hAnsi="Times New Roman" w:cs="Times New Roman"/>
          <w:i/>
          <w:sz w:val="24"/>
        </w:rPr>
        <w:t>et al</w:t>
      </w:r>
      <w:r w:rsidR="00FF7AC3" w:rsidRPr="00A22E9D">
        <w:rPr>
          <w:rFonts w:ascii="Times New Roman" w:hAnsi="Times New Roman" w:cs="Times New Roman"/>
          <w:sz w:val="24"/>
        </w:rPr>
        <w:t>., 2014)</w:t>
      </w:r>
      <w:r w:rsidR="00FF7AC3" w:rsidRPr="00A22E9D">
        <w:rPr>
          <w:rFonts w:ascii="Times New Roman" w:hAnsi="Times New Roman" w:cs="Times New Roman"/>
          <w:sz w:val="24"/>
          <w:szCs w:val="24"/>
        </w:rPr>
        <w:fldChar w:fldCharType="end"/>
      </w:r>
      <w:r w:rsidRPr="00A22E9D">
        <w:rPr>
          <w:rFonts w:ascii="Times New Roman" w:hAnsi="Times New Roman" w:cs="Times New Roman"/>
          <w:sz w:val="24"/>
          <w:szCs w:val="24"/>
        </w:rPr>
        <w:t>.</w:t>
      </w:r>
    </w:p>
    <w:p w14:paraId="2C21D205" w14:textId="69ED6D70" w:rsidR="00B06B22" w:rsidRPr="00A22E9D" w:rsidRDefault="009463C7" w:rsidP="00CA4B8F">
      <w:pPr>
        <w:pStyle w:val="Heading3"/>
        <w:spacing w:line="480" w:lineRule="auto"/>
        <w:rPr>
          <w:rFonts w:cs="Times New Roman"/>
        </w:rPr>
      </w:pPr>
      <w:bookmarkStart w:id="18" w:name="_Toc145500377"/>
      <w:r w:rsidRPr="00A22E9D">
        <w:rPr>
          <w:rFonts w:cs="Times New Roman"/>
        </w:rPr>
        <w:t xml:space="preserve">2.6 </w:t>
      </w:r>
      <w:r w:rsidR="00B06B22" w:rsidRPr="00A22E9D">
        <w:rPr>
          <w:rFonts w:cs="Times New Roman"/>
        </w:rPr>
        <w:t xml:space="preserve">Life Cycle of Plasmodium </w:t>
      </w:r>
      <w:proofErr w:type="spellStart"/>
      <w:r w:rsidR="00B06B22" w:rsidRPr="00A22E9D">
        <w:rPr>
          <w:rFonts w:cs="Times New Roman"/>
        </w:rPr>
        <w:t>Bergehi</w:t>
      </w:r>
      <w:bookmarkEnd w:id="18"/>
      <w:proofErr w:type="spellEnd"/>
    </w:p>
    <w:p w14:paraId="53BDD782" w14:textId="03EE51BE" w:rsidR="00B06B22" w:rsidRPr="00A22E9D" w:rsidRDefault="00B06B22"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The life cycle of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is complex and requires two hosts: a vertebrate host, such as a mouse, and a mosquito vector, such as an Anopheles mosquito. The life cycle can be divided into two phases: the asexual phase and the sexual phase</w:t>
      </w:r>
      <w:r w:rsidR="00865223" w:rsidRPr="00A22E9D">
        <w:rPr>
          <w:rFonts w:ascii="Times New Roman" w:hAnsi="Times New Roman" w:cs="Times New Roman"/>
          <w:sz w:val="24"/>
          <w:szCs w:val="24"/>
        </w:rPr>
        <w:t xml:space="preserve"> </w:t>
      </w:r>
      <w:r w:rsidR="00865223"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{"citationID":"UZOjmB5D","properties":{"formattedCitation":"(Venugopal et al., 2020)","plainCitation":"(Venugopal et al., 2020)","noteIndex":0},"citationItems":[{"id":398,"uris":["http://zotero.org/users/local/BeK2zaGK/items/GBAKLEUV"],"itemData":{"id":398,"type":"article-journal","abstract":"Plasmodium spp. parasites are the causative agents of malaria in humans and animals, and they are exceptionally diverse in their morphology and life cycles. They grow and develop in a wide range of host environments, both within blood-feeding mosquitoes, their definitive hosts, and in vertebrates, which are intermediate hosts. This diversity is testament to their exceptional adaptability and poses a major challenge for developing effective strategies to reduce the disease burden and transmission. Following one asexual amplification cycle in the liver, parasites reach high burdens by rounds of asexual replication within red blood cells. A few of these blood-stage parasites make a developmental switch into the sexual stage (or gametocyte), which is essential for transmission. The bone marrow, in particular the haematopoietic niche (in rodents, also the spleen), is a major site of parasite growth and sexual development. This Review focuses on our current understanding of blood-stage parasite development and vascular and tissue sequestration, which is responsible for disease symptoms and complications, and when involving the bone marrow, provides a niche for asexual replication and gametocyte development. Understanding these processes provides an opportunity for novel therapies and interventions.","container-title":"Nature Reviews Microbiology","DOI":"10.1038/s41579-019-0306-2","ISSN":"1740-1534","issue":"3","journalAbbreviation":"Nat Rev Microbiol","language":"en","license":"2020 Springer Nature Limited","note":"number: 3\npublisher: Nature Publishing Group","page":"177-189","source":"www.nature.com","title":"Plasmodium asexual growth and sexual development in the haematopoietic niche of the host","volume":"18","author":[{"family":"Venugopal","given":"Kannan"},{"family":"Hentzschel","given":"Franziska"},{"family":"Valkiūnas","given":"Gediminas"},{"family":"Marti","given":"Matthias"}],"issued":{"date-parts":[["2020",3]]}}}],"schema":"https://github.com/citation-style-language/schema/raw/master/csl-citation.json"} </w:instrText>
      </w:r>
      <w:r w:rsidR="00865223"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(Venugopal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2020)</w:t>
      </w:r>
      <w:r w:rsidR="00865223" w:rsidRPr="00A22E9D">
        <w:rPr>
          <w:rFonts w:ascii="Times New Roman" w:hAnsi="Times New Roman" w:cs="Times New Roman"/>
          <w:sz w:val="24"/>
          <w:szCs w:val="24"/>
        </w:rPr>
        <w:fldChar w:fldCharType="end"/>
      </w:r>
      <w:r w:rsidRPr="00A22E9D">
        <w:rPr>
          <w:rFonts w:ascii="Times New Roman" w:hAnsi="Times New Roman" w:cs="Times New Roman"/>
          <w:sz w:val="24"/>
          <w:szCs w:val="24"/>
        </w:rPr>
        <w:t>.</w:t>
      </w:r>
    </w:p>
    <w:p w14:paraId="50C0EA76" w14:textId="7593A2AE" w:rsidR="000D4560" w:rsidRPr="00A22E9D" w:rsidRDefault="00062224" w:rsidP="00CA4B8F">
      <w:pPr>
        <w:pStyle w:val="Heading4"/>
        <w:spacing w:line="480" w:lineRule="auto"/>
        <w:rPr>
          <w:rFonts w:cs="Times New Roman"/>
        </w:rPr>
      </w:pPr>
      <w:r w:rsidRPr="00A22E9D">
        <w:rPr>
          <w:rFonts w:cs="Times New Roman"/>
        </w:rPr>
        <w:t xml:space="preserve">2.6.1 </w:t>
      </w:r>
      <w:r w:rsidR="000D4560" w:rsidRPr="00A22E9D">
        <w:rPr>
          <w:rFonts w:cs="Times New Roman"/>
        </w:rPr>
        <w:t>Asexual phase</w:t>
      </w:r>
    </w:p>
    <w:p w14:paraId="6A6673DE" w14:textId="77777777" w:rsidR="000D4560" w:rsidRPr="00A22E9D" w:rsidRDefault="000D4560"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The asexual phase of the life cycle begins when an infected mosquito bites a vertebrate host. The mosquito injects sporozoites, which are the infective stage of the parasite, into the bloodstream of the host. The sporozoites travel to the liver, where they infect liver cells. In the liver, the sporozoites develop into schizonts, which are large, multinucleated cells. The schizonts rupture, releasing merozoites into the bloodstream.</w:t>
      </w:r>
    </w:p>
    <w:p w14:paraId="252D8007" w14:textId="797A0FBD" w:rsidR="00785DD3" w:rsidRPr="00A22E9D" w:rsidRDefault="000D4560"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The merozoites then infect red blood cells. In the red blood cells, the merozoites develop into trophozoites, which are the feeding stage of the parasite. The trophozoites grow and mature into schizonts. The schizonts rupture, releasing more merozoites into the bloodstream. This cycle of asexual reproduction continues, with the number of parasites in the bloodstream increasing exponentially.</w:t>
      </w:r>
    </w:p>
    <w:p w14:paraId="5DBC420F" w14:textId="69020CA4" w:rsidR="000D4560" w:rsidRPr="00A22E9D" w:rsidRDefault="00062224" w:rsidP="00CA4B8F">
      <w:pPr>
        <w:pStyle w:val="Heading4"/>
        <w:spacing w:line="480" w:lineRule="auto"/>
        <w:rPr>
          <w:rFonts w:cs="Times New Roman"/>
        </w:rPr>
      </w:pPr>
      <w:r w:rsidRPr="00A22E9D">
        <w:rPr>
          <w:rFonts w:cs="Times New Roman"/>
        </w:rPr>
        <w:lastRenderedPageBreak/>
        <w:t xml:space="preserve">2.6.2 </w:t>
      </w:r>
      <w:r w:rsidR="000D4560" w:rsidRPr="00A22E9D">
        <w:rPr>
          <w:rFonts w:cs="Times New Roman"/>
        </w:rPr>
        <w:t>Sexual phase</w:t>
      </w:r>
    </w:p>
    <w:p w14:paraId="03FE6B17" w14:textId="77777777" w:rsidR="000D4560" w:rsidRPr="00A22E9D" w:rsidRDefault="000D4560"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Some of the merozoites in the bloodstream develop into gametocytes, which are the sexual forms of the parasite. The gametocytes are taken up by a mosquito when it bites an infected host. In the mosquito, the gametocytes mature and mate. The male gamete fertilizes the female gamete, forming a zygote. The zygote develops into an oocyst, which is a sac-like structure that contains sporozoites. The oocyst ruptures, releasing sporozoites into the mosquito's bloodstream. The sporozoites then travel to the salivary glands of the mosquito, where they are ready to be injected into the bloodstream of the next host.</w:t>
      </w:r>
    </w:p>
    <w:p w14:paraId="5ABAC99C" w14:textId="0E873E28" w:rsidR="000D4560" w:rsidRPr="00A22E9D" w:rsidRDefault="000D4560"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The life cycle of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 can be completed in about 10 days in the mouse host and about 14 days in the mosquito host. The parasite can cause severe disease in mice, including an</w:t>
      </w:r>
      <w:r w:rsidR="00050F06" w:rsidRPr="00A22E9D">
        <w:rPr>
          <w:rFonts w:ascii="Times New Roman" w:hAnsi="Times New Roman" w:cs="Times New Roman"/>
          <w:sz w:val="24"/>
          <w:szCs w:val="24"/>
        </w:rPr>
        <w:t>a</w:t>
      </w:r>
      <w:r w:rsidRPr="00A22E9D">
        <w:rPr>
          <w:rFonts w:ascii="Times New Roman" w:hAnsi="Times New Roman" w:cs="Times New Roman"/>
          <w:sz w:val="24"/>
          <w:szCs w:val="24"/>
        </w:rPr>
        <w:t>emia, fever, and death</w:t>
      </w:r>
      <w:r w:rsidR="00BD799B" w:rsidRPr="00A22E9D">
        <w:rPr>
          <w:rFonts w:ascii="Times New Roman" w:hAnsi="Times New Roman" w:cs="Times New Roman"/>
          <w:sz w:val="24"/>
          <w:szCs w:val="24"/>
        </w:rPr>
        <w:t xml:space="preserve"> </w:t>
      </w:r>
      <w:r w:rsidR="00BD799B"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{"citationID":"svnhMNUR","properties":{"formattedCitation":"(DEHGHAN et al., 2018)","plainCitation":"(DEHGHAN et al., 2018)","noteIndex":0},"citationItems":[{"id":97,"uris":["http://zotero.org/users/local/BeK2zaGK/items/UB7RNR2P"],"itemData":{"id":97,"type":"article-journal","abstract":"Background:\nPlasmodium berghei is a rodent malaria parasite and has been very valuable means in the progress of our understanding of the essential molecular and cellular biology of the malaria parasites. Availability of hosts such as mice and vectors such as Anopheles stephensi has made this parasite a suitable system to study the parasite-host and vector-parasite relationships.\n\nMethods:\nThis study was performed at Medical Entomology and Parasitology laboratories of the School of Public Health, Tehran University of Medical Sciences, Iran in 2016. The investigation was carried out to describe life cycle and parameters influencing maintenance of the parasite within the mice or the mosquito.\n\nResults:\nResults have revealed details and addressed some parameters and points influence maintenance of various life stages of the parasite including merozoites, macrogametocytes, ookinetes, oocysts and sporozoites in the laboratory model P. berghei–A. stephensi-BALB/c mouse. Injection of fresh infected blood results in higher gametocytemia in the animals. The more injected parasites result in earlier and higher parasitemia and exfelagellation centers in the mice blood. However, the highest number of infected mosquitoes and oocysts formation were observed when the parasitemia and exflagellation centers per microscopic field were 9% and 3.6 in the infected mice respectively. The infected mosquitoes should be maintained on 8% (w/v) fructose, 0.05% (w/v) PABA at 20±1 °C and 50%–80% relative humidity.\n\nConclusion:\nThis study helps to understand the biology of vertebrate-parasite and mosquito-malaria interactions that may aid in the development of a new generation of drug/vaccine and vector-based measures for malaria control.","container-title":"Iranian Journal of Parasitology","ISSN":"1735-7020","issue":"4","journalAbbreviation":"Iran J Parasitol","note":"PMID: 30697308\nPMCID: PMC6348208","page":"549-559","source":"PubMed Central","title":"Experimental Study on Plasmodium berghei, Anopheles Stephensi, and BALB/c Mouse System: Implications for Malaria Transmission Blocking Assays","title-short":"Experimental Study on Plasmodium berghei, Anopheles Stephensi, and BALB/c Mouse System","volume":"13","author":[{"family":"DEHGHAN","given":"Hossein"},{"family":"OSHAGHI","given":"Mohammad Ali"},{"family":"MOSA-KAZEMI","given":"Seyed Hassan"},{"family":"ABAI","given":"Mohammad Reza"},{"family":"RAFIE","given":"Fatemeh"},{"family":"NATEGHPOUR","given":"Mehdi"},{"family":"MOHAMMADZADEH","given":"Habib"},{"family":"FARIVAR","given":"Leila"},{"family":"MOHAMMADI BAVANI","given":"Mulood"}],"issued":{"date-parts":[["2018"]]}}}],"schema":"https://github.com/citation-style-language/schema/raw/master/csl-citation.json"} </w:instrText>
      </w:r>
      <w:r w:rsidR="00BD799B"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(DEHGHAN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2018)</w:t>
      </w:r>
      <w:r w:rsidR="00BD799B" w:rsidRPr="00A22E9D">
        <w:rPr>
          <w:rFonts w:ascii="Times New Roman" w:hAnsi="Times New Roman" w:cs="Times New Roman"/>
          <w:sz w:val="24"/>
          <w:szCs w:val="24"/>
        </w:rPr>
        <w:fldChar w:fldCharType="end"/>
      </w:r>
      <w:r w:rsidRPr="00A22E9D">
        <w:rPr>
          <w:rFonts w:ascii="Times New Roman" w:hAnsi="Times New Roman" w:cs="Times New Roman"/>
          <w:sz w:val="24"/>
          <w:szCs w:val="24"/>
        </w:rPr>
        <w:t>.</w:t>
      </w:r>
      <w:r w:rsidR="00050F06" w:rsidRPr="00A22E9D">
        <w:rPr>
          <w:rFonts w:ascii="Times New Roman" w:hAnsi="Times New Roman" w:cs="Times New Roman"/>
          <w:sz w:val="24"/>
          <w:szCs w:val="24"/>
        </w:rPr>
        <w:t xml:space="preserve"> This cycle continues until the host's immune system is able to clear the infection or until the host dies.</w:t>
      </w:r>
    </w:p>
    <w:p w14:paraId="670D0D90" w14:textId="01E67E10" w:rsidR="00BB1852" w:rsidRPr="00A22E9D" w:rsidRDefault="009463C7" w:rsidP="00CA4B8F">
      <w:pPr>
        <w:pStyle w:val="Heading3"/>
        <w:spacing w:line="480" w:lineRule="auto"/>
        <w:rPr>
          <w:rFonts w:cs="Times New Roman"/>
        </w:rPr>
      </w:pPr>
      <w:bookmarkStart w:id="19" w:name="_Toc145500378"/>
      <w:r w:rsidRPr="00A22E9D">
        <w:rPr>
          <w:rFonts w:cs="Times New Roman"/>
        </w:rPr>
        <w:t xml:space="preserve">2.7 </w:t>
      </w:r>
      <w:r w:rsidR="00BB1852" w:rsidRPr="00A22E9D">
        <w:rPr>
          <w:rFonts w:cs="Times New Roman"/>
        </w:rPr>
        <w:t>A</w:t>
      </w:r>
      <w:r w:rsidR="001732ED" w:rsidRPr="00A22E9D">
        <w:rPr>
          <w:rFonts w:cs="Times New Roman"/>
        </w:rPr>
        <w:t>rylidene</w:t>
      </w:r>
      <w:r w:rsidR="00AA6112" w:rsidRPr="00A22E9D">
        <w:rPr>
          <w:rFonts w:cs="Times New Roman"/>
        </w:rPr>
        <w:t xml:space="preserve"> Compound</w:t>
      </w:r>
      <w:bookmarkEnd w:id="19"/>
    </w:p>
    <w:p w14:paraId="49EDF9A8" w14:textId="2F688244" w:rsidR="001732ED" w:rsidRPr="00A22E9D" w:rsidRDefault="000C700D"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An arylidene is a type of organic compound that contains a carbon-carbon double bond with a phenyl group or an aromatic ring attached to one of the carbons. The term "arylidene" is typically used to describe this specific type of molecular structure and the properties it exhibits as a result. Arylidenes are often used as building blocks in organic synthesis for the preparation of more complex compounds and can exhibit unique reactivity and properties due to the presence of the aromatic ring</w:t>
      </w:r>
      <w:r w:rsidR="002353F9" w:rsidRPr="00A22E9D">
        <w:rPr>
          <w:rFonts w:ascii="Times New Roman" w:hAnsi="Times New Roman" w:cs="Times New Roman"/>
          <w:sz w:val="24"/>
          <w:szCs w:val="24"/>
        </w:rPr>
        <w:t xml:space="preserve"> </w:t>
      </w:r>
      <w:r w:rsidR="002353F9" w:rsidRPr="00A22E9D">
        <w:rPr>
          <w:rFonts w:ascii="Times New Roman" w:hAnsi="Times New Roman" w:cs="Times New Roman"/>
          <w:sz w:val="24"/>
          <w:szCs w:val="24"/>
        </w:rPr>
        <w:fldChar w:fldCharType="begin"/>
      </w:r>
      <w:r w:rsidR="002353F9" w:rsidRPr="00A22E9D">
        <w:rPr>
          <w:rFonts w:ascii="Times New Roman" w:hAnsi="Times New Roman" w:cs="Times New Roman"/>
          <w:sz w:val="24"/>
          <w:szCs w:val="24"/>
        </w:rPr>
        <w:instrText xml:space="preserve"> ADDIN ZOTERO_ITEM CSL_CITATION {"citationID":"GatIavdM","properties":{"formattedCitation":"(Khaligh et al., 2019)","plainCitation":"(Khaligh et al., 2019)","noteIndex":0},"citationItems":[{"id":441,"uris":["http://zotero.org/users/local/BeK2zaGK/items/HEF27YIB"],"itemData":{"id":441,"type":"article-journal","abstract":"This paper presents an ecological protocol for Knoevenagel condensation using a catalytic amount of 4,4′-trimethylenedipiperidine as a versatile, efficient, safe, commercially available, inexpensive, and recyclable organocatalyst by a ball-milling process at room temperature. The scope of the present protocol was explored and demonstrated for Knoevenagel condensation of the active methylene, such as Meldrum’s acid with various aryl and heteroaryl aldehydes. The developed protocol provides a good to excellent conversion of various aldehydes to respective Knoevenagel products in an environmentally friendly process. Furthermore, this efficient process displays a combination of the synthetic virtues of conventional Knoevenagel condensation with ecological benefits and the convenience of a facile mechanochemistry procedure.","container-title":"Research on Chemical Intermediates","DOI":"10.1007/s11164-019-03796-2","ISSN":"1568-5675","issue":"5","journalAbbreviation":"Res Chem Intermed","language":"en","page":"3291-3300","source":"Springer Link","title":"An alternative, practical, and ecological protocol for synthesis of arylidene analogues of Meldrum’s acid as useful intermediates","volume":"45","author":[{"family":"Khaligh","given":"Nader Ghaffari"},{"family":"Mihankhah","given":"Taraneh"},{"family":"Johan","given":"Mohd Rafie"}],"issued":{"date-parts":[["2019",5,1]]}}}],"schema":"https://github.com/citation-style-language/schema/raw/master/csl-citation.json"} </w:instrText>
      </w:r>
      <w:r w:rsidR="002353F9" w:rsidRPr="00A22E9D">
        <w:rPr>
          <w:rFonts w:ascii="Times New Roman" w:hAnsi="Times New Roman" w:cs="Times New Roman"/>
          <w:sz w:val="24"/>
          <w:szCs w:val="24"/>
        </w:rPr>
        <w:fldChar w:fldCharType="separate"/>
      </w:r>
      <w:r w:rsidR="002353F9" w:rsidRPr="00A22E9D">
        <w:rPr>
          <w:rFonts w:ascii="Times New Roman" w:hAnsi="Times New Roman" w:cs="Times New Roman"/>
          <w:sz w:val="24"/>
        </w:rPr>
        <w:t xml:space="preserve">(Khaligh </w:t>
      </w:r>
      <w:r w:rsidR="00F57D9D" w:rsidRPr="00F57D9D">
        <w:rPr>
          <w:rFonts w:ascii="Times New Roman" w:hAnsi="Times New Roman" w:cs="Times New Roman"/>
          <w:i/>
          <w:sz w:val="24"/>
        </w:rPr>
        <w:t>et al</w:t>
      </w:r>
      <w:r w:rsidR="002353F9" w:rsidRPr="00A22E9D">
        <w:rPr>
          <w:rFonts w:ascii="Times New Roman" w:hAnsi="Times New Roman" w:cs="Times New Roman"/>
          <w:sz w:val="24"/>
        </w:rPr>
        <w:t>., 2019)</w:t>
      </w:r>
      <w:r w:rsidR="002353F9" w:rsidRPr="00A22E9D">
        <w:rPr>
          <w:rFonts w:ascii="Times New Roman" w:hAnsi="Times New Roman" w:cs="Times New Roman"/>
          <w:sz w:val="24"/>
          <w:szCs w:val="24"/>
        </w:rPr>
        <w:fldChar w:fldCharType="end"/>
      </w:r>
      <w:r w:rsidRPr="00A22E9D">
        <w:rPr>
          <w:rFonts w:ascii="Times New Roman" w:hAnsi="Times New Roman" w:cs="Times New Roman"/>
          <w:sz w:val="24"/>
          <w:szCs w:val="24"/>
        </w:rPr>
        <w:t>. Arylidene have been studied as potential anti-malarial agents due to their ability to target specific enzymes in the parasite that causes malaria</w:t>
      </w:r>
      <w:r w:rsidR="006822F5" w:rsidRPr="00A22E9D">
        <w:rPr>
          <w:rFonts w:ascii="Times New Roman" w:hAnsi="Times New Roman" w:cs="Times New Roman"/>
          <w:sz w:val="24"/>
          <w:szCs w:val="24"/>
        </w:rPr>
        <w:t xml:space="preserve"> </w:t>
      </w:r>
      <w:r w:rsidR="006822F5" w:rsidRPr="00A22E9D">
        <w:rPr>
          <w:rFonts w:ascii="Times New Roman" w:hAnsi="Times New Roman" w:cs="Times New Roman"/>
          <w:sz w:val="24"/>
          <w:szCs w:val="24"/>
        </w:rPr>
        <w:fldChar w:fldCharType="begin"/>
      </w:r>
      <w:r w:rsidR="006822F5" w:rsidRPr="00A22E9D">
        <w:rPr>
          <w:rFonts w:ascii="Times New Roman" w:hAnsi="Times New Roman" w:cs="Times New Roman"/>
          <w:sz w:val="24"/>
          <w:szCs w:val="24"/>
        </w:rPr>
        <w:instrText xml:space="preserve"> ADDIN ZOTERO_ITEM CSL_CITATION {"citationID":"X4OLDcRi","properties":{"formattedCitation":"(Coulibaly et al., 2012)","plainCitation":"(Coulibaly et al., 2012)","noteIndex":0},"citationItems":[{"id":442,"uris":["http://zotero.org/users/local/BeK2zaGK/items/D2VVRT3Z"],"itemData":{"id":442,"type":"article-journal","abstract":"The synthesis in 4 steps of new N,N′-bis(5-arylidene-4-oxo-3,5-dihydro-4H-imidazol-2-yl)diamines issued from various symmetric primary diamines as linkers was reported. The key step of our strategy has been the sulphur/nitrogen displacement of (5Z)-5-arylidene-2-ethylsulfanyl-3,5-dihydro-4H-imidazol-4-ones 6 with respectively ethylenediamine 7a, piperazine 7b and N,N′-bis(3-aminopropyl)piperazine 7c using solvent-free reaction conditions under microwave irradiation with retention of configuration. These compounds were tested for their kinase inhibitory potencies toward four kinases (GSK-3α/β, DYRK1A, CLK1 and CLK3).","container-title":"European Journal of Medicinal Chemistry","DOI":"10.1016/j.ejmech.2012.08.044","ISSN":"0223-5234","journalAbbreviation":"European Journal of Medicinal Chemistry","language":"en","page":"581-590","source":"ScienceDirect","title":"Synthesis of N,N′-bis(5-arylidene-4-oxo-3,5-dihydro-4H-imidazol-2-yl)diamines bearing various linkers and biological evaluation as potential inhibitors of kinases","volume":"58","author":[{"family":"Coulibaly","given":"Wacothon Karime"},{"family":"Paquin","given":"Ludovic"},{"family":"Bénie","given":"Anoubilé"},{"family":"Bekro","given":"Yves-Alain"},{"family":"Durieu","given":"Emilie"},{"family":"Meijer","given":"Laurent"},{"family":"Bazureau","given":"Jean Pierre"}],"issued":{"date-parts":[["2012",12,1]]}}}],"schema":"https://github.com/citation-style-language/schema/raw/master/csl-citation.json"} </w:instrText>
      </w:r>
      <w:r w:rsidR="006822F5" w:rsidRPr="00A22E9D">
        <w:rPr>
          <w:rFonts w:ascii="Times New Roman" w:hAnsi="Times New Roman" w:cs="Times New Roman"/>
          <w:sz w:val="24"/>
          <w:szCs w:val="24"/>
        </w:rPr>
        <w:fldChar w:fldCharType="separate"/>
      </w:r>
      <w:r w:rsidR="006822F5" w:rsidRPr="00A22E9D">
        <w:rPr>
          <w:rFonts w:ascii="Times New Roman" w:hAnsi="Times New Roman" w:cs="Times New Roman"/>
          <w:sz w:val="24"/>
        </w:rPr>
        <w:t xml:space="preserve">(Coulibaly </w:t>
      </w:r>
      <w:r w:rsidR="00F57D9D" w:rsidRPr="00F57D9D">
        <w:rPr>
          <w:rFonts w:ascii="Times New Roman" w:hAnsi="Times New Roman" w:cs="Times New Roman"/>
          <w:i/>
          <w:sz w:val="24"/>
        </w:rPr>
        <w:t>et al</w:t>
      </w:r>
      <w:r w:rsidR="006822F5" w:rsidRPr="00A22E9D">
        <w:rPr>
          <w:rFonts w:ascii="Times New Roman" w:hAnsi="Times New Roman" w:cs="Times New Roman"/>
          <w:sz w:val="24"/>
        </w:rPr>
        <w:t>., 2012)</w:t>
      </w:r>
      <w:r w:rsidR="006822F5" w:rsidRPr="00A22E9D">
        <w:rPr>
          <w:rFonts w:ascii="Times New Roman" w:hAnsi="Times New Roman" w:cs="Times New Roman"/>
          <w:sz w:val="24"/>
          <w:szCs w:val="24"/>
        </w:rPr>
        <w:fldChar w:fldCharType="end"/>
      </w:r>
      <w:r w:rsidRPr="00A22E9D">
        <w:rPr>
          <w:rFonts w:ascii="Times New Roman" w:hAnsi="Times New Roman" w:cs="Times New Roman"/>
          <w:sz w:val="24"/>
          <w:szCs w:val="24"/>
        </w:rPr>
        <w:t>. The malaria parasite relies on a number of metabolic pathways that are not found in human cells, making them potential targets for drug development. Arylidenes have been shown to inhibit the activity of these enzymes and thus have the potential to be developed into effective anti-malarial drugs. However, more research is needed to fully understand their mechanism of action and to optimize their efficacy and safety for use in humans.</w:t>
      </w:r>
    </w:p>
    <w:p w14:paraId="4AC03C9D" w14:textId="6D14013F" w:rsidR="000C700D" w:rsidRPr="00A22E9D" w:rsidRDefault="000C700D"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Arylidene ha</w:t>
      </w:r>
      <w:r w:rsidR="00DB0EE1" w:rsidRPr="00A22E9D">
        <w:rPr>
          <w:rFonts w:ascii="Times New Roman" w:hAnsi="Times New Roman" w:cs="Times New Roman"/>
          <w:sz w:val="24"/>
          <w:szCs w:val="24"/>
        </w:rPr>
        <w:t>s</w:t>
      </w:r>
      <w:r w:rsidRPr="00A22E9D">
        <w:rPr>
          <w:rFonts w:ascii="Times New Roman" w:hAnsi="Times New Roman" w:cs="Times New Roman"/>
          <w:sz w:val="24"/>
          <w:szCs w:val="24"/>
        </w:rPr>
        <w:t xml:space="preserve"> gained attention in the search for new anti-malarial agents due to their ability to target specific enzymes in the malaria parasite that are not present in human cells. This makes them a promising area for drug development as they have the potential to selectively target the parasite and spare human cells. Research in this area is ongoing and more studies are needed to fully understand the mechanism of action of arylidenes as anti-malarial agents and to optimize their efficacy and safety for use in humans.</w:t>
      </w:r>
    </w:p>
    <w:p w14:paraId="6E2A890F" w14:textId="76DD5632" w:rsidR="005307B1" w:rsidRPr="00A22E9D" w:rsidRDefault="009463C7" w:rsidP="00CA4B8F">
      <w:pPr>
        <w:pStyle w:val="Heading3"/>
        <w:spacing w:line="480" w:lineRule="auto"/>
        <w:rPr>
          <w:rFonts w:cs="Times New Roman"/>
        </w:rPr>
      </w:pPr>
      <w:bookmarkStart w:id="20" w:name="_Toc145500379"/>
      <w:r w:rsidRPr="00A22E9D">
        <w:rPr>
          <w:rFonts w:cs="Times New Roman"/>
        </w:rPr>
        <w:t xml:space="preserve">2.8 </w:t>
      </w:r>
      <w:r w:rsidR="005307B1" w:rsidRPr="00A22E9D">
        <w:rPr>
          <w:rFonts w:cs="Times New Roman"/>
        </w:rPr>
        <w:t>Gene Expression</w:t>
      </w:r>
      <w:r w:rsidR="003E09A0" w:rsidRPr="00A22E9D">
        <w:rPr>
          <w:rFonts w:cs="Times New Roman"/>
        </w:rPr>
        <w:t xml:space="preserve"> Analysis</w:t>
      </w:r>
      <w:bookmarkEnd w:id="20"/>
    </w:p>
    <w:p w14:paraId="5D1C7C7C" w14:textId="31744F5B" w:rsidR="00547973" w:rsidRPr="00A22E9D" w:rsidRDefault="00CC7EFE"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Gene expression refers to the process by which the information encoded in a gene is used to synthesize a functional product, such as a protein or RNA molecule. This process begins with the transcription of DNA into RNA and ends with the translation of RNA into a protein or the formation of a functional RNA molecule. Gene expression is a complex process that is regulated at many levels, including transcriptional regulation, post-transcriptional regulation, and translation regulation.</w:t>
      </w:r>
      <w:r w:rsidR="00793880" w:rsidRPr="00A22E9D">
        <w:rPr>
          <w:rFonts w:ascii="Times New Roman" w:hAnsi="Times New Roman" w:cs="Times New Roman"/>
          <w:sz w:val="24"/>
          <w:szCs w:val="24"/>
        </w:rPr>
        <w:t xml:space="preserve"> </w:t>
      </w:r>
      <w:r w:rsidR="00793880" w:rsidRPr="00A22E9D">
        <w:rPr>
          <w:rFonts w:ascii="Times New Roman" w:hAnsi="Times New Roman" w:cs="Times New Roman"/>
          <w:sz w:val="24"/>
          <w:szCs w:val="24"/>
        </w:rPr>
        <w:fldChar w:fldCharType="begin"/>
      </w:r>
      <w:r w:rsidR="00793880" w:rsidRPr="00A22E9D">
        <w:rPr>
          <w:rFonts w:ascii="Times New Roman" w:hAnsi="Times New Roman" w:cs="Times New Roman"/>
          <w:sz w:val="24"/>
          <w:szCs w:val="24"/>
        </w:rPr>
        <w:instrText xml:space="preserve"> ADDIN ZOTERO_ITEM CSL_CITATION {"citationID":"tEqBEMGD","properties":{"formattedCitation":"(Corbett, 2018)","plainCitation":"(Corbett, 2018)","noteIndex":0},"citationItems":[{"id":186,"uris":["http://zotero.org/users/local/BeK2zaGK/items/MLIQZQXM"],"itemData":{"id":186,"type":"article-journal","abstract":"A large number of mutations in genes that encode RNA binding proteins cause human disease. Many of these RNA binding proteins mediate key steps in post-transcriptional regulation of gene expression from mRNA processing to eventual decay in the cytoplasm. Surprisingly, these RNA binding proteins, which are ubiquitously expressed and play fundamental roles in gene expression, are often altered in tissue-specific disease. Mutations linked to disease impact nearly every post-transcriptional processing step and cause diverse disease phenotypes in a variety of specific tissues. This review summarizes steps in post-transcriptional regulation of gene expression that have been linked to disease providing specific examples of some of the many genes affected. Finally, recent advances that hold promise for treatment of some of these diseases are presented.","container-title":"Current opinion in cell biology","DOI":"10.1016/j.ceb.2018.02.011","ISSN":"0955-0674","journalAbbreviation":"Curr Opin Cell Biol","note":"PMID: 29518673\nPMCID: PMC5988930","page":"96-104","source":"PubMed Central","title":"Post-transcriptional Regulation of Gene Expression and Human Disease","volume":"52","author":[{"family":"Corbett","given":"Anita H."}],"issued":{"date-parts":[["2018",6]]}}}],"schema":"https://github.com/citation-style-language/schema/raw/master/csl-citation.json"} </w:instrText>
      </w:r>
      <w:r w:rsidR="00793880"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(Corbett, 2018)</w:t>
      </w:r>
      <w:r w:rsidR="00793880" w:rsidRPr="00A22E9D">
        <w:rPr>
          <w:rFonts w:ascii="Times New Roman" w:hAnsi="Times New Roman" w:cs="Times New Roman"/>
          <w:sz w:val="24"/>
          <w:szCs w:val="24"/>
        </w:rPr>
        <w:fldChar w:fldCharType="end"/>
      </w:r>
      <w:r w:rsidR="00B47151" w:rsidRPr="00A22E9D">
        <w:rPr>
          <w:rFonts w:ascii="Times New Roman" w:hAnsi="Times New Roman" w:cs="Times New Roman"/>
          <w:sz w:val="24"/>
          <w:szCs w:val="24"/>
        </w:rPr>
        <w:t xml:space="preserve"> </w:t>
      </w:r>
      <w:r w:rsidRPr="00A22E9D">
        <w:rPr>
          <w:rFonts w:ascii="Times New Roman" w:hAnsi="Times New Roman" w:cs="Times New Roman"/>
          <w:sz w:val="24"/>
          <w:szCs w:val="24"/>
        </w:rPr>
        <w:t>Transcription is the first step in gene expression, where the information encoded in a gene is copied into a complementary RNA molecule. The RNA molecule is then modified and transported out of the nucleus to the cytoplasm, where it is translated into a protein or used to form a functional RNA molecule.</w:t>
      </w:r>
      <w:r w:rsidR="00547973" w:rsidRPr="00A22E9D">
        <w:rPr>
          <w:rFonts w:ascii="Times New Roman" w:hAnsi="Times New Roman" w:cs="Times New Roman"/>
          <w:sz w:val="24"/>
          <w:szCs w:val="24"/>
        </w:rPr>
        <w:t xml:space="preserve"> Here DNA is copied into RNA. The enzyme RNA polymerase reads the DNA sequence and synthesizes a complementary RNA strand. The RNA molecule produced during transcription is called a primary transcript, which usually undergoes further processing before it can be translated into a protein.</w:t>
      </w:r>
    </w:p>
    <w:p w14:paraId="67FE165C" w14:textId="7D790123" w:rsidR="00A3282B" w:rsidRPr="00A22E9D" w:rsidRDefault="00CC7EFE"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Post-transcriptional regulation refers to the process of modifying the RNA molecule after transcription to control its stability and activity. This can include adding a cap and tail to the RNA molecule, splicing out non-coding regions, and adding chemical modifications to the RNA molecule.</w:t>
      </w:r>
      <w:r w:rsidR="00547973" w:rsidRPr="00A22E9D">
        <w:rPr>
          <w:rFonts w:ascii="Times New Roman" w:hAnsi="Times New Roman" w:cs="Times New Roman"/>
          <w:sz w:val="24"/>
          <w:szCs w:val="24"/>
        </w:rPr>
        <w:t xml:space="preserve"> The process of splicing involves the removal of introns (non-coding regions) from the primary transcript and the joining of exons (coding regions) to form a mature mRNA.</w:t>
      </w:r>
      <w:r w:rsidR="00B47151"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Translation is the final step in gene expression, where the information encoded in the RNA molecule is used </w:t>
      </w:r>
      <w:r w:rsidRPr="00A22E9D">
        <w:rPr>
          <w:rFonts w:ascii="Times New Roman" w:hAnsi="Times New Roman" w:cs="Times New Roman"/>
          <w:sz w:val="24"/>
          <w:szCs w:val="24"/>
        </w:rPr>
        <w:lastRenderedPageBreak/>
        <w:t>to synthesize a protein. This process is carried out by the ribosomes, which read the sequence of nucleotides in the RNA molecule and use it to synthesize a sequence of amino acids that make up the protein.</w:t>
      </w:r>
      <w:r w:rsidR="00A3282B" w:rsidRPr="00A22E9D">
        <w:rPr>
          <w:rFonts w:ascii="Times New Roman" w:hAnsi="Times New Roman" w:cs="Times New Roman"/>
          <w:sz w:val="24"/>
          <w:szCs w:val="24"/>
        </w:rPr>
        <w:t xml:space="preserve"> The sequence of amino acids determines the three-dimensional structure of the protein and its specific function.</w:t>
      </w:r>
    </w:p>
    <w:p w14:paraId="055D6C4A" w14:textId="4DCAA919" w:rsidR="003E09A0" w:rsidRPr="00A22E9D" w:rsidRDefault="00A3282B"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Regulation of gene expression is a complex process that occurs at multiple levels, including transcriptional regulation, post-transcriptional regulation, and translation regulation. Factors such as environmental cues, hormonal signals, and the cell cycle can all influence the rate and pattern of gene expression. Abnormalities in gene expression can lead to various diseases, including cancer. Understanding the mechanisms of gene expression is critical for the development of new treatments for these diseases.</w:t>
      </w:r>
      <w:r w:rsidR="00BB554D" w:rsidRPr="00A22E9D">
        <w:rPr>
          <w:rFonts w:ascii="Times New Roman" w:hAnsi="Times New Roman" w:cs="Times New Roman"/>
          <w:sz w:val="24"/>
          <w:szCs w:val="24"/>
        </w:rPr>
        <w:t xml:space="preserve"> </w:t>
      </w:r>
      <w:r w:rsidR="00BB554D"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{"citationID":"DeQit4tx","properties":{"formattedCitation":"(Smith &amp; Flodman, 2018)","plainCitation":"(Smith &amp; Flodman, 2018)","noteIndex":0},"citationItems":[{"id":191,"uris":["http://zotero.org/users/local/BeK2zaGK/items/AFB64KF6"],"itemData":{"id":191,"type":"article-journal","abstract":"Definitive molecular diagnoses in disorders apparently due to genetic or genomic defects are still lacking in a significant number of investigated cases, despite use of studies designed to discover defects in the protein coding regions of the genome. ...","container-title":"Frontiers in Molecular Biosciences","DOI":"10.3389/fmolb.2018.00101","language":"en","note":"publisher: Frontiers Media SA\nPMID: 30542652","source":"www.ncbi.nlm.nih.gov","title":"Expanded Insights Into Mechanisms of Gene Expression and Disease Related Disruptions","URL":"https://www.ncbi.nlm.nih.gov/pmc/articles/PMC6277798/","volume":"5","author":[{"family":"Smith","given":"Moyra"},{"family":"Flodman","given":"Pamela L."}],"accessed":{"date-parts":[["2023",2,3]]},"issued":{"date-parts":[["2018"]]}}}],"schema":"https://github.com/citation-style-language/schema/raw/master/csl-citation.json"} </w:instrText>
      </w:r>
      <w:r w:rsidR="00BB554D"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(Smith &amp; Flodman, 2018)</w:t>
      </w:r>
      <w:r w:rsidR="00BB554D" w:rsidRPr="00A22E9D">
        <w:rPr>
          <w:rFonts w:ascii="Times New Roman" w:hAnsi="Times New Roman" w:cs="Times New Roman"/>
          <w:sz w:val="24"/>
          <w:szCs w:val="24"/>
        </w:rPr>
        <w:fldChar w:fldCharType="end"/>
      </w:r>
      <w:r w:rsidR="00920414" w:rsidRPr="00A22E9D">
        <w:rPr>
          <w:rFonts w:ascii="Times New Roman" w:hAnsi="Times New Roman" w:cs="Times New Roman"/>
          <w:sz w:val="24"/>
          <w:szCs w:val="24"/>
        </w:rPr>
        <w:t xml:space="preserve"> </w:t>
      </w:r>
      <w:r w:rsidR="00CC7EFE" w:rsidRPr="00A22E9D">
        <w:rPr>
          <w:rFonts w:ascii="Times New Roman" w:hAnsi="Times New Roman" w:cs="Times New Roman"/>
          <w:sz w:val="24"/>
          <w:szCs w:val="24"/>
        </w:rPr>
        <w:t>Overall, gene expression plays a crucial role in the growth and development of organisms, as well as in response to environmental changes and disease.</w:t>
      </w:r>
      <w:r w:rsidR="00943A80" w:rsidRPr="00A22E9D">
        <w:rPr>
          <w:rFonts w:ascii="Times New Roman" w:hAnsi="Times New Roman" w:cs="Times New Roman"/>
          <w:sz w:val="24"/>
          <w:szCs w:val="24"/>
        </w:rPr>
        <w:t xml:space="preserve"> </w:t>
      </w:r>
      <w:r w:rsidR="003E09A0" w:rsidRPr="00A22E9D">
        <w:rPr>
          <w:rFonts w:ascii="Times New Roman" w:hAnsi="Times New Roman" w:cs="Times New Roman"/>
          <w:sz w:val="24"/>
          <w:szCs w:val="24"/>
        </w:rPr>
        <w:t>Gene Expression Analysis is a group of techniques that are used to measure the levels of mRNA (messenger RNA) in a sample. Gene expression analysis can be used to study the activity of specific genes, to identify changes in gene expression associated with disease, and to investigate the effects of drugs or other treatments on gene expression.</w:t>
      </w:r>
      <w:r w:rsidR="00335544" w:rsidRPr="00A22E9D">
        <w:rPr>
          <w:rFonts w:ascii="Times New Roman" w:hAnsi="Times New Roman" w:cs="Times New Roman"/>
          <w:sz w:val="24"/>
          <w:szCs w:val="24"/>
        </w:rPr>
        <w:t xml:space="preserve"> </w:t>
      </w:r>
      <w:r w:rsidR="00335544"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{"citationID":"QkHDaMUu","properties":{"formattedCitation":"(Rodriguez-Esteban &amp; Jiang, 2017)","plainCitation":"(Rodriguez-Esteban &amp; Jiang, 2017)","noteIndex":0},"citationItems":[{"id":112,"uris":["http://zotero.org/users/local/BeK2zaGK/items/MCKRPHHW"],"itemData":{"id":112,"type":"article-journal","abstract":"Differential gene expression is important to understand the biological differences between healthy and diseased states. Two common sources of differential gene expression data are microarray studies and the biomedical literature.","container-title":"BMC Medical Genomics","DOI":"10.1186/s12920-017-0293-y","ISSN":"1755-8794","issue":"1","journalAbbreviation":"BMC Medical Genomics","page":"59","source":"BioMed Central","title":"Differential gene expression in disease: a comparison between high-throughput studies and the literature","title-short":"Differential gene expression in disease","volume":"10","author":[{"family":"Rodriguez-Esteban","given":"Raul"},{"family":"Jiang","given":"Xiaoyu"}],"issued":{"date-parts":[["2017",10,11]]}}}],"schema":"https://github.com/citation-style-language/schema/raw/master/csl-citation.json"} </w:instrText>
      </w:r>
      <w:r w:rsidR="00335544"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(Rodriguez-Esteban &amp; Jiang, 2017)</w:t>
      </w:r>
      <w:r w:rsidR="00335544" w:rsidRPr="00A22E9D">
        <w:rPr>
          <w:rFonts w:ascii="Times New Roman" w:hAnsi="Times New Roman" w:cs="Times New Roman"/>
          <w:sz w:val="24"/>
          <w:szCs w:val="24"/>
        </w:rPr>
        <w:fldChar w:fldCharType="end"/>
      </w:r>
      <w:r w:rsidR="00943A80" w:rsidRPr="00A22E9D">
        <w:rPr>
          <w:rFonts w:ascii="Times New Roman" w:hAnsi="Times New Roman" w:cs="Times New Roman"/>
          <w:sz w:val="24"/>
          <w:szCs w:val="24"/>
        </w:rPr>
        <w:t xml:space="preserve"> </w:t>
      </w:r>
      <w:r w:rsidR="003E09A0" w:rsidRPr="00A22E9D">
        <w:rPr>
          <w:rFonts w:ascii="Times New Roman" w:hAnsi="Times New Roman" w:cs="Times New Roman"/>
          <w:sz w:val="24"/>
          <w:szCs w:val="24"/>
        </w:rPr>
        <w:t xml:space="preserve">Microarray: It's a technique that allows scientists to measure the expression levels of many genes simultaneously. A microarray is a glass slide or a silicon chip that has thousands of tiny spots, each containing a specific DNA fragment. This technique can be used to </w:t>
      </w:r>
      <w:r w:rsidR="00471E66" w:rsidRPr="00A22E9D">
        <w:rPr>
          <w:rFonts w:ascii="Times New Roman" w:hAnsi="Times New Roman" w:cs="Times New Roman"/>
          <w:sz w:val="24"/>
          <w:szCs w:val="24"/>
        </w:rPr>
        <w:t>analyse</w:t>
      </w:r>
      <w:r w:rsidR="003E09A0" w:rsidRPr="00A22E9D">
        <w:rPr>
          <w:rFonts w:ascii="Times New Roman" w:hAnsi="Times New Roman" w:cs="Times New Roman"/>
          <w:sz w:val="24"/>
          <w:szCs w:val="24"/>
        </w:rPr>
        <w:t xml:space="preserve"> the expression of thousands of genes at once.</w:t>
      </w:r>
      <w:r w:rsidR="00920414" w:rsidRPr="00A22E9D">
        <w:rPr>
          <w:rFonts w:ascii="Times New Roman" w:hAnsi="Times New Roman" w:cs="Times New Roman"/>
          <w:sz w:val="24"/>
          <w:szCs w:val="24"/>
        </w:rPr>
        <w:t xml:space="preserve"> </w:t>
      </w:r>
      <w:proofErr w:type="spellStart"/>
      <w:r w:rsidR="003E09A0" w:rsidRPr="00A22E9D">
        <w:rPr>
          <w:rFonts w:ascii="Times New Roman" w:hAnsi="Times New Roman" w:cs="Times New Roman"/>
          <w:sz w:val="24"/>
          <w:szCs w:val="24"/>
        </w:rPr>
        <w:t>ChIP-seq</w:t>
      </w:r>
      <w:proofErr w:type="spellEnd"/>
      <w:r w:rsidR="003E09A0" w:rsidRPr="00A22E9D">
        <w:rPr>
          <w:rFonts w:ascii="Times New Roman" w:hAnsi="Times New Roman" w:cs="Times New Roman"/>
          <w:sz w:val="24"/>
          <w:szCs w:val="24"/>
        </w:rPr>
        <w:t xml:space="preserve"> (Chromatin Immunoprecipitation): This is a technique that allows the study of protein-DNA interactions. </w:t>
      </w:r>
      <w:proofErr w:type="spellStart"/>
      <w:r w:rsidR="003E09A0" w:rsidRPr="00A22E9D">
        <w:rPr>
          <w:rFonts w:ascii="Times New Roman" w:hAnsi="Times New Roman" w:cs="Times New Roman"/>
          <w:sz w:val="24"/>
          <w:szCs w:val="24"/>
        </w:rPr>
        <w:t>ChIP-seq</w:t>
      </w:r>
      <w:proofErr w:type="spellEnd"/>
      <w:r w:rsidR="003E09A0" w:rsidRPr="00A22E9D">
        <w:rPr>
          <w:rFonts w:ascii="Times New Roman" w:hAnsi="Times New Roman" w:cs="Times New Roman"/>
          <w:sz w:val="24"/>
          <w:szCs w:val="24"/>
        </w:rPr>
        <w:t xml:space="preserve"> is used to identify the specific locations on the genome where a particular protein, such as a transcription factor, binds to DNA.</w:t>
      </w:r>
      <w:r w:rsidR="00920414" w:rsidRPr="00A22E9D">
        <w:rPr>
          <w:rFonts w:ascii="Times New Roman" w:hAnsi="Times New Roman" w:cs="Times New Roman"/>
          <w:sz w:val="24"/>
          <w:szCs w:val="24"/>
        </w:rPr>
        <w:t xml:space="preserve"> </w:t>
      </w:r>
      <w:r w:rsidR="003E09A0" w:rsidRPr="00A22E9D">
        <w:rPr>
          <w:rFonts w:ascii="Times New Roman" w:hAnsi="Times New Roman" w:cs="Times New Roman"/>
          <w:sz w:val="24"/>
          <w:szCs w:val="24"/>
        </w:rPr>
        <w:t>RNA-</w:t>
      </w:r>
      <w:proofErr w:type="spellStart"/>
      <w:r w:rsidR="003E09A0" w:rsidRPr="00A22E9D">
        <w:rPr>
          <w:rFonts w:ascii="Times New Roman" w:hAnsi="Times New Roman" w:cs="Times New Roman"/>
          <w:sz w:val="24"/>
          <w:szCs w:val="24"/>
        </w:rPr>
        <w:t>seq</w:t>
      </w:r>
      <w:proofErr w:type="spellEnd"/>
      <w:r w:rsidR="003E09A0" w:rsidRPr="00A22E9D">
        <w:rPr>
          <w:rFonts w:ascii="Times New Roman" w:hAnsi="Times New Roman" w:cs="Times New Roman"/>
          <w:sz w:val="24"/>
          <w:szCs w:val="24"/>
        </w:rPr>
        <w:t xml:space="preserve"> (RNA sequencing): This is a technique that allows the analysis of the entire transcriptome (all the RNA) of a cell or organism. RNA-</w:t>
      </w:r>
      <w:proofErr w:type="spellStart"/>
      <w:r w:rsidR="003E09A0" w:rsidRPr="00A22E9D">
        <w:rPr>
          <w:rFonts w:ascii="Times New Roman" w:hAnsi="Times New Roman" w:cs="Times New Roman"/>
          <w:sz w:val="24"/>
          <w:szCs w:val="24"/>
        </w:rPr>
        <w:t>seq</w:t>
      </w:r>
      <w:proofErr w:type="spellEnd"/>
      <w:r w:rsidR="003E09A0" w:rsidRPr="00A22E9D">
        <w:rPr>
          <w:rFonts w:ascii="Times New Roman" w:hAnsi="Times New Roman" w:cs="Times New Roman"/>
          <w:sz w:val="24"/>
          <w:szCs w:val="24"/>
        </w:rPr>
        <w:t xml:space="preserve"> can be used to identify differentially expressed genes, to study alternative splicing and to discover novel transcribed regions.</w:t>
      </w:r>
      <w:r w:rsidR="009F5422" w:rsidRPr="00A22E9D">
        <w:rPr>
          <w:rFonts w:ascii="Times New Roman" w:hAnsi="Times New Roman" w:cs="Times New Roman"/>
          <w:sz w:val="24"/>
          <w:szCs w:val="24"/>
        </w:rPr>
        <w:t xml:space="preserve"> </w:t>
      </w:r>
      <w:r w:rsidR="009F5422"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{"citationID":"8z7pl8gl","properties":{"formattedCitation":"(Kukurba &amp; Montgomery, 2015)","plainCitation":"(Kukurba &amp; Montgomery, 2015)","noteIndex":0},"citationItems":[{"id":182,"uris":["http://zotero.org/users/local/BeK2zaGK/items/98FDPLJY"],"itemData":{"id":182,"type":"article-journal","abstract":"RNA sequencing (RNA-Seq) uses the capabilities of high-throughput sequencing methods to provide insight into the transcriptome of a cell. Compared to previous Sanger sequencing- and microarray-based methods, RNA-Seq provides far higher coverage and greater resolution of the dynamic nature of the transcriptome. Beyond quantifying gene expression, the data generated by RNA-Seq facilitate the discovery of novel transcripts, identification of alternatively spliced genes, and detection of allele-specific expression. Recent advances in the RNA-Seq workflow, from sample preparation to library construction to data analysis, have enabled researchers to further elucidate the functional complexity of the transcription. In addition to polyadenylated messenger RNA (mRNA) transcripts, RNA-Seq can be applied to investigate different populations of RNA, including total RNA, pre-mRNA, and noncoding RNA, such as microRNA and long ncRNA. This article provides an introduction to RNA-Seq methods, including applications, experimental design, and technical challenges.","container-title":"Cold Spring Harbor protocols","DOI":"10.1101/pdb.top084970","ISSN":"1940-3402","issue":"11","journalAbbreviation":"Cold Spring Harb Protoc","note":"PMID: 25870306\nPMCID: PMC4863231","page":"951-969","source":"PubMed Central","title":"RNA Sequencing and Analysis","volume":"2015","author":[{"family":"Kukurba","given":"Kimberly R."},{"family":"Montgomery","given":"Stephen B."}],"issued":{"date-parts":[["2015",4,13]]}}}],"schema":"https://github.com/citation-style-language/schema/raw/master/csl-citation.json"} </w:instrText>
      </w:r>
      <w:r w:rsidR="009F5422"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(Kukurba &amp; Montgomery, 2015)</w:t>
      </w:r>
      <w:r w:rsidR="009F5422" w:rsidRPr="00A22E9D">
        <w:rPr>
          <w:rFonts w:ascii="Times New Roman" w:hAnsi="Times New Roman" w:cs="Times New Roman"/>
          <w:sz w:val="24"/>
          <w:szCs w:val="24"/>
        </w:rPr>
        <w:fldChar w:fldCharType="end"/>
      </w:r>
      <w:r w:rsidR="00920414" w:rsidRPr="00A22E9D">
        <w:rPr>
          <w:rFonts w:ascii="Times New Roman" w:hAnsi="Times New Roman" w:cs="Times New Roman"/>
          <w:sz w:val="24"/>
          <w:szCs w:val="24"/>
        </w:rPr>
        <w:t xml:space="preserve"> </w:t>
      </w:r>
      <w:r w:rsidR="003E09A0" w:rsidRPr="00A22E9D">
        <w:rPr>
          <w:rFonts w:ascii="Times New Roman" w:hAnsi="Times New Roman" w:cs="Times New Roman"/>
          <w:sz w:val="24"/>
          <w:szCs w:val="24"/>
        </w:rPr>
        <w:t xml:space="preserve">These are some of the </w:t>
      </w:r>
      <w:r w:rsidR="003E09A0" w:rsidRPr="00A22E9D">
        <w:rPr>
          <w:rFonts w:ascii="Times New Roman" w:hAnsi="Times New Roman" w:cs="Times New Roman"/>
          <w:sz w:val="24"/>
          <w:szCs w:val="24"/>
        </w:rPr>
        <w:lastRenderedPageBreak/>
        <w:t>most widely used methods for gene analysis, but there are other techniques available, each with their own advantages and limitations.</w:t>
      </w:r>
    </w:p>
    <w:p w14:paraId="08D61947" w14:textId="24446946" w:rsidR="005F01A2" w:rsidRPr="00A22E9D" w:rsidRDefault="009463C7" w:rsidP="00CA4B8F">
      <w:pPr>
        <w:pStyle w:val="Heading4"/>
        <w:spacing w:line="480" w:lineRule="auto"/>
        <w:rPr>
          <w:rFonts w:cs="Times New Roman"/>
        </w:rPr>
      </w:pPr>
      <w:r w:rsidRPr="00A22E9D">
        <w:rPr>
          <w:rFonts w:cs="Times New Roman"/>
        </w:rPr>
        <w:t xml:space="preserve">2.8.1 </w:t>
      </w:r>
      <w:r w:rsidR="005F01A2" w:rsidRPr="00A22E9D">
        <w:rPr>
          <w:rFonts w:cs="Times New Roman"/>
        </w:rPr>
        <w:t>Analysis of differentially expressed genes in Plasmodium</w:t>
      </w:r>
    </w:p>
    <w:p w14:paraId="733E1C9A" w14:textId="03667B14" w:rsidR="005F01A2" w:rsidRPr="00A22E9D" w:rsidRDefault="005F01A2"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The analysis of differentially expressed genes (DEGs) in Plasmodium is an important tool for understanding the molecular mechanisms that underli</w:t>
      </w:r>
      <w:r w:rsidR="004E7F37">
        <w:rPr>
          <w:rFonts w:ascii="Times New Roman" w:hAnsi="Times New Roman" w:cs="Times New Roman"/>
          <w:sz w:val="24"/>
          <w:szCs w:val="24"/>
        </w:rPr>
        <w:t>n</w:t>
      </w:r>
      <w:r w:rsidRPr="00A22E9D">
        <w:rPr>
          <w:rFonts w:ascii="Times New Roman" w:hAnsi="Times New Roman" w:cs="Times New Roman"/>
          <w:sz w:val="24"/>
          <w:szCs w:val="24"/>
        </w:rPr>
        <w:t xml:space="preserve">e the parasite's life cycle, including its adaptation to different environments and evasion of the host's immune system. </w:t>
      </w:r>
      <w:r w:rsidR="00687E67"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{"citationID":"pfXulBsL","properties":{"formattedCitation":"(Su et al., 2019)","plainCitation":"(Su et al., 2019)","noteIndex":0},"citationItems":[{"id":115,"uris":["http://zotero.org/users/local/BeK2zaGK/items/2LIZ7QT2"],"itemData":{"id":115,"type":"article-journal","abstract":"Protozoan Plasmodium parasites are the causative agents of malaria, a deadly disease that continues to afflict hundreds of millions of people every year. Infections with malaria parasites can be asymptomatic, with mild or severe symptoms, or fatal, depending on many factors such as parasite virulence and host immune status. Malaria can be treated with various drugs, with artemisinin-based combination therapies (ACTs) being the first-line choice., Protozoan Plasmodium parasites are the causative agents of malaria, a deadly disease that continues to afflict hundreds of millions of people every year. Infections with malaria parasites can be asymptomatic, with mild or severe symptoms, or fatal, depending on many factors such as parasite virulence and host immune status. Malaria can be treated with various drugs, with artemisinin-based combination therapies (ACTs) being the first-line choice. Recent advances in genetics and genomics of malaria parasites have contributed greatly to our understanding of parasite population dynamics, transmission, drug responses, and pathogenesis. However, knowledge gaps in parasite biology and host-parasite interactions still remain. Parasites resistant to multiple antimalarial drugs have emerged, while advanced clinical trials have shown partial efficacy for one available vaccine. Here we discuss genetic and genomic studies of Plasmodium biology, host-parasite interactions, population structures, mosquito infectivity, antigenic variation, and targets for treatment and immunization. Knowledge from these studies will advance our understanding of malaria pathogenesis, epidemiology, and evolution and will support work to discover and develop new medicines and vaccines.","container-title":"Clinical Microbiology Reviews","DOI":"10.1128/CMR.00019-19","ISSN":"0893-8512","issue":"4","journalAbbreviation":"Clin Microbiol Rev","note":"PMID: 31366610\nPMCID: PMC6750138","page":"e00019-19","source":"PubMed Central","title":"Plasmodium Genomics and Genetics: New Insights into Malaria Pathogenesis, Drug Resistance, Epidemiology, and Evolution","title-short":"Plasmodium Genomics and Genetics","volume":"32","author":[{"family":"Su","given":"Xin-zhuan"},{"family":"Lane","given":"Kristin D."},{"family":"Xia","given":"Lu"},{"family":"Sá","given":"Juliana M."},{"family":"Wellems","given":"Thomas E."}],"issued":{"date-parts":[["2019",7,31]]}}}],"schema":"https://github.com/citation-style-language/schema/raw/master/csl-citation.json"} </w:instrText>
      </w:r>
      <w:r w:rsidR="00687E67"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(Su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2019)</w:t>
      </w:r>
      <w:r w:rsidR="00687E67" w:rsidRPr="00A22E9D">
        <w:rPr>
          <w:rFonts w:ascii="Times New Roman" w:hAnsi="Times New Roman" w:cs="Times New Roman"/>
          <w:sz w:val="24"/>
          <w:szCs w:val="24"/>
        </w:rPr>
        <w:fldChar w:fldCharType="end"/>
      </w:r>
      <w:r w:rsidR="00687E67" w:rsidRPr="00A22E9D">
        <w:rPr>
          <w:rFonts w:ascii="Times New Roman" w:hAnsi="Times New Roman" w:cs="Times New Roman"/>
          <w:sz w:val="24"/>
          <w:szCs w:val="24"/>
        </w:rPr>
        <w:t xml:space="preserve"> </w:t>
      </w:r>
      <w:r w:rsidRPr="00A22E9D">
        <w:rPr>
          <w:rFonts w:ascii="Times New Roman" w:hAnsi="Times New Roman" w:cs="Times New Roman"/>
          <w:sz w:val="24"/>
          <w:szCs w:val="24"/>
        </w:rPr>
        <w:t>One of the most commonly used techniques for identifying DEGs in Plasmodium is RNA-</w:t>
      </w:r>
      <w:proofErr w:type="spellStart"/>
      <w:r w:rsidRPr="00A22E9D">
        <w:rPr>
          <w:rFonts w:ascii="Times New Roman" w:hAnsi="Times New Roman" w:cs="Times New Roman"/>
          <w:sz w:val="24"/>
          <w:szCs w:val="24"/>
        </w:rPr>
        <w:t>seq</w:t>
      </w:r>
      <w:proofErr w:type="spellEnd"/>
      <w:r w:rsidRPr="00A22E9D">
        <w:rPr>
          <w:rFonts w:ascii="Times New Roman" w:hAnsi="Times New Roman" w:cs="Times New Roman"/>
          <w:sz w:val="24"/>
          <w:szCs w:val="24"/>
        </w:rPr>
        <w:t>, which allows for the analysis of the entire transcriptome of the parasite. This technique can be used to compare the expression levels of all genes in a given sample to a reference sample, such as a control group or a different developmental stage of the parasite.</w:t>
      </w:r>
      <w:r w:rsidR="00E05A01" w:rsidRPr="00A22E9D">
        <w:rPr>
          <w:rFonts w:ascii="Times New Roman" w:hAnsi="Times New Roman" w:cs="Times New Roman"/>
          <w:sz w:val="24"/>
          <w:szCs w:val="24"/>
        </w:rPr>
        <w:t xml:space="preserve"> </w:t>
      </w:r>
      <w:r w:rsidR="000404D3"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{"citationID":"3R0V6e3Z","properties":{"formattedCitation":"(Lee et al., 2018)","plainCitation":"(Lee et al., 2018)","noteIndex":0},"citationItems":[{"id":178,"uris":["http://zotero.org/users/local/BeK2zaGK/items/R47WHBIA"],"itemData":{"id":178,"type":"article-journal","abstract":"The pathogenesis of infectious diseases depends on the interaction of host and pathogen. In Plasmodium falciparum malaria, host and parasite processes can be assessed by dual RNA-sequencing of blood from infected patients. Here we performed dual transcriptome analyses on samples from 46 malaria-infected Gambian children to reveal mechanisms driving the systemic pathophysiology of severe malaria. Integrating these transcriptomic data with estimates of parasite load and detailed clinical information allowed consideration of potentially confounding effects due to differing leukocyte proportions in blood, parasite developmental stage, and whole-body pathogen load. We report hundreds of human and parasite genes differentially expressed between severe and uncomplicated malaria, with distinct profiles associated with coma, hyperlactatemia, and thrombocytopenia. High expression of neutrophil granule-related genes was consistently associated with all severe malaria phenotypes. We observed severity-associated variation in the expression of parasite genes which determine cytoadhesion to vascular endothelium, rigidity of infected erythrocytes, and parasite growth rate. Up to 99% of human differential gene expression in severe malaria was driven by differences in parasite load, whereas parasite gene expression showed little association with parasite load. Co-expression analyses revealed interactions between human and P. falciparum, with prominent co-regulation of translation genes in severe malaria between host and parasite. Multivariate analyses suggested that increased expression of granulopoiesis and interferon-γ related genes, together with inadequate suppression of type-1 interferon signalling, best explained severity of infection. These findings provide a framework for understanding the contributions of host and parasite to the pathogenesis of severe malaria and identifying targets for adjunctive therapy.","container-title":"Science translational medicine","DOI":"10.1126/scitranslmed.aar3619","ISSN":"1946-6234","issue":"447","journalAbbreviation":"Sci Transl Med","note":"PMID: 29950443\nPMCID: PMC6326353","page":"eaar3619","source":"PubMed Central","title":"Integrated pathogen load and dual transcriptome analysis of systemic host-pathogen interactions in severe malaria","volume":"10","author":[{"family":"Lee","given":"Hyun Jae"},{"family":"Georgiadou","given":"Athina"},{"family":"Walther","given":"Michael"},{"family":"Nwakanma","given":"Davis"},{"family":"Stewart","given":"Lindsay B."},{"family":"Levin","given":"Michael"},{"family":"Otto","given":"Thomas D."},{"family":"Conway","given":"David J."},{"family":"Coin","given":"Lachlan J."},{"family":"Cunnington","given":"Aubrey J."}],"issued":{"date-parts":[["2018",6,27]]}}}],"schema":"https://github.com/citation-style-language/schema/raw/master/csl-citation.json"} </w:instrText>
      </w:r>
      <w:r w:rsidR="000404D3"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(Lee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2018)</w:t>
      </w:r>
      <w:r w:rsidR="000404D3" w:rsidRPr="00A22E9D">
        <w:rPr>
          <w:rFonts w:ascii="Times New Roman" w:hAnsi="Times New Roman" w:cs="Times New Roman"/>
          <w:sz w:val="24"/>
          <w:szCs w:val="24"/>
        </w:rPr>
        <w:fldChar w:fldCharType="end"/>
      </w:r>
      <w:r w:rsidR="000404D3" w:rsidRPr="00A22E9D">
        <w:rPr>
          <w:rFonts w:ascii="Times New Roman" w:hAnsi="Times New Roman" w:cs="Times New Roman"/>
          <w:sz w:val="24"/>
          <w:szCs w:val="24"/>
        </w:rPr>
        <w:t xml:space="preserve"> </w:t>
      </w:r>
      <w:r w:rsidRPr="00A22E9D">
        <w:rPr>
          <w:rFonts w:ascii="Times New Roman" w:hAnsi="Times New Roman" w:cs="Times New Roman"/>
          <w:sz w:val="24"/>
          <w:szCs w:val="24"/>
        </w:rPr>
        <w:t>Another technique used for identifying DEGs in Plasmodium is quantitative PCR (qPCR), which allows researchers to measure the expression levels of specific genes in a sample. qPCR is a highly sensitive and specific method that can be used to compare the expression levels of specific genes in different samples or conditions.</w:t>
      </w:r>
      <w:r w:rsidR="009F5422" w:rsidRPr="00A22E9D">
        <w:rPr>
          <w:rFonts w:ascii="Times New Roman" w:hAnsi="Times New Roman" w:cs="Times New Roman"/>
          <w:sz w:val="24"/>
          <w:szCs w:val="24"/>
        </w:rPr>
        <w:t xml:space="preserve"> </w:t>
      </w:r>
      <w:r w:rsidRPr="00A22E9D">
        <w:rPr>
          <w:rFonts w:ascii="Times New Roman" w:hAnsi="Times New Roman" w:cs="Times New Roman"/>
          <w:sz w:val="24"/>
          <w:szCs w:val="24"/>
        </w:rPr>
        <w:t>Microarray is also a popular technique for identifying DEGs in Plasmodium, as it allows researchers to analyse the expression of thousands of genes simultaneously. Microarrays are a powerful tool for identifying changes in gene expression that occur during different stages of the parasite's life cycle or in response to different environmental conditions.</w:t>
      </w:r>
      <w:r w:rsidR="00EE7185"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{"citationID":"FRsTIyv1","properties":{"formattedCitation":"(Govindarajan et al., 2012)","plainCitation":"(Govindarajan et al., 2012)","noteIndex":0},"citationItems":[{"id":173,"uris":["http://zotero.org/users/local/BeK2zaGK/items/JNS5TTN7"],"itemData":{"id":173,"type":"article-journal","abstract":"Microarray is one of the most recent advances being used for cancer research; it provides assistance in pharmacological approach to treat various diseases including oral lesions. Microarray helps in analyzing large amount of samples which have either been recorded previously or new samples; it even helps to test the incidence of a particular marker in tumors. Till recently, microarray's usage in dentistry has been very limited, but in future, as the technology becomes affordable, there may be increase in its usage. Here, we discuss the various techniques and applications of microarray or DNA chip.","container-title":"Journal of Pharmacy &amp; Bioallied Sciences","DOI":"10.4103/0975-7406.100283","ISSN":"0976-4879","issue":"Suppl 2","journalAbbreviation":"J Pharm Bioallied Sci","note":"PMID: 23066278\nPMCID: PMC3467903","page":"S310-S312","source":"PubMed Central","title":"Microarray and its applications","volume":"4","author":[{"family":"Govindarajan","given":"Rajeshwar"},{"family":"Duraiyan","given":"Jeyapradha"},{"family":"Kaliyappan","given":"Karunakaran"},{"family":"Palanisamy","given":"Murugesan"}],"issued":{"date-parts":[["2012",8]]}}}],"schema":"https://github.com/citation-style-language/schema/raw/master/csl-citation.json"} </w:instrText>
      </w:r>
      <w:r w:rsidR="00EE7185"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(Govindarajan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2012)</w:t>
      </w:r>
      <w:r w:rsidR="00EE7185" w:rsidRPr="00A22E9D">
        <w:rPr>
          <w:rFonts w:ascii="Times New Roman" w:hAnsi="Times New Roman" w:cs="Times New Roman"/>
          <w:sz w:val="24"/>
          <w:szCs w:val="24"/>
        </w:rPr>
        <w:fldChar w:fldCharType="end"/>
      </w:r>
    </w:p>
    <w:p w14:paraId="60421CB7" w14:textId="5C32B758" w:rsidR="00D7074B" w:rsidRPr="00A22E9D" w:rsidRDefault="00D7074B"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Once the DEGs are identified, researchers can further investigate their functions and mechanisms of action by using techniques such as protein-protein interaction, protein-DNA interaction, or functional assays. This can help researchers understand how these genes contribute to the biology of Plasmodium, including its ability to invade host cells, evade the host's immune system, and replicate.</w:t>
      </w:r>
      <w:r w:rsidR="000C7CEF" w:rsidRPr="00A22E9D">
        <w:rPr>
          <w:rFonts w:ascii="Times New Roman" w:hAnsi="Times New Roman" w:cs="Times New Roman"/>
          <w:sz w:val="24"/>
          <w:szCs w:val="24"/>
        </w:rPr>
        <w:t xml:space="preserve"> </w:t>
      </w:r>
      <w:r w:rsidRPr="00A22E9D">
        <w:rPr>
          <w:rFonts w:ascii="Times New Roman" w:hAnsi="Times New Roman" w:cs="Times New Roman"/>
          <w:sz w:val="24"/>
          <w:szCs w:val="24"/>
        </w:rPr>
        <w:t>The analysis of DEGs in Plasmodium can also help identify new targets for antimalarial drugs.</w:t>
      </w:r>
      <w:r w:rsidR="000C7CEF"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By identifying genes that are essential for the survival of the parasite, researchers can develop drugs that target these genes and inhibit their function, thereby killing </w:t>
      </w:r>
      <w:r w:rsidRPr="00A22E9D">
        <w:rPr>
          <w:rFonts w:ascii="Times New Roman" w:hAnsi="Times New Roman" w:cs="Times New Roman"/>
          <w:sz w:val="24"/>
          <w:szCs w:val="24"/>
        </w:rPr>
        <w:lastRenderedPageBreak/>
        <w:t>the parasite.</w:t>
      </w:r>
      <w:r w:rsidR="000C7CEF" w:rsidRPr="00A22E9D">
        <w:rPr>
          <w:rFonts w:ascii="Times New Roman" w:hAnsi="Times New Roman" w:cs="Times New Roman"/>
          <w:sz w:val="24"/>
          <w:szCs w:val="24"/>
        </w:rPr>
        <w:t xml:space="preserve"> </w:t>
      </w:r>
      <w:r w:rsidR="000C7CEF"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{"citationID":"9CDtsn27","properties":{"formattedCitation":"(Okombo et al., 2021)","plainCitation":"(Okombo et al., 2021)","noteIndex":0},"citationItems":[{"id":118,"uris":["http://zotero.org/users/local/BeK2zaGK/items/SUCDK9KT"],"itemData":{"id":118,"type":"article-journal","abstract":"Recent progress in genomics and molecular genetics has empowered novel approaches to closely study gene functions in disease-causing pathogens. In the human malaria parasite Plasmodium falciparum, the application of genome-based analyses, site-directed ...","container-title":"Trends in parasitology","DOI":"10.1016/j.pt.2021.02.007","issue":"6","language":"en","note":"publisher: NIH Public Access\nPMID: 33715941","page":"476","source":"www.ncbi.nlm.nih.gov","title":"Genomic and Genetic Approaches to Studying Antimalarial Drug Resistance and Plasmodium Biology","volume":"37","author":[{"family":"Okombo","given":"John"},{"family":"Kanai","given":"Mariko"},{"family":"Deni","given":"Ioanna"},{"family":"Fidock","given":"David A."}],"issued":{"date-parts":[["2021",6]]}}}],"schema":"https://github.com/citation-style-language/schema/raw/master/csl-citation.json"} </w:instrText>
      </w:r>
      <w:r w:rsidR="000C7CEF"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(Okombo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2021)</w:t>
      </w:r>
      <w:r w:rsidR="000C7CEF" w:rsidRPr="00A22E9D">
        <w:rPr>
          <w:rFonts w:ascii="Times New Roman" w:hAnsi="Times New Roman" w:cs="Times New Roman"/>
          <w:sz w:val="24"/>
          <w:szCs w:val="24"/>
        </w:rPr>
        <w:fldChar w:fldCharType="end"/>
      </w:r>
      <w:r w:rsidR="002A7592" w:rsidRPr="00A22E9D">
        <w:rPr>
          <w:rFonts w:ascii="Times New Roman" w:hAnsi="Times New Roman" w:cs="Times New Roman"/>
          <w:sz w:val="24"/>
          <w:szCs w:val="24"/>
        </w:rPr>
        <w:t xml:space="preserve"> </w:t>
      </w:r>
      <w:r w:rsidRPr="00A22E9D">
        <w:rPr>
          <w:rFonts w:ascii="Times New Roman" w:hAnsi="Times New Roman" w:cs="Times New Roman"/>
          <w:sz w:val="24"/>
          <w:szCs w:val="24"/>
        </w:rPr>
        <w:t>Furthermore, the identification of DEGs can also help researchers understand how Plasmodium adapts to different host species, which is important for the development of new treatments and vaccines. By identifying genes that are differentially expressed in different host species, researchers can gain insight into the genetic changes that enable Plasmodium to infect different hosts.</w:t>
      </w:r>
    </w:p>
    <w:p w14:paraId="63CE0932" w14:textId="7C3D90E4" w:rsidR="00D7074B" w:rsidRPr="00A22E9D" w:rsidRDefault="00D7074B"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In summary, the analysis of differentially expressed genes in Plasmodium is a powerful tool for understanding the molecular mechanisms that drive the parasite's life cycle and its ability to evade the host's immune response. This knowledge is critical for the development of new treatments and vaccines for malaria, as well as for a better understanding of the biology of this deadly parasite.</w:t>
      </w:r>
      <w:r w:rsidR="00FD7243" w:rsidRPr="00A22E9D">
        <w:rPr>
          <w:rFonts w:ascii="Times New Roman" w:hAnsi="Times New Roman" w:cs="Times New Roman"/>
          <w:sz w:val="24"/>
          <w:szCs w:val="24"/>
        </w:rPr>
        <w:t xml:space="preserve"> </w:t>
      </w:r>
      <w:r w:rsidR="00FD7243"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{"citationID":"KDxMbqty","properties":{"formattedCitation":"(Tran &amp; Crompton, 2020)","plainCitation":"(Tran &amp; Crompton, 2020)","noteIndex":0},"citationItems":[{"id":175,"uris":["http://zotero.org/users/local/BeK2zaGK/items/AAX327Z2"],"itemData":{"id":175,"type":"article-journal","abstract":"The complexity of the Plasmodium parasite and its life cycle poses a challenge to our understanding of the host immune response against malaria. Studying human immune responses during natural and experimental Plasmodium infections can enhance our understanding of malaria-protective immunity and inform the design of disease-modifying adjunctive therapies and next-generation malaria vaccines. Systems immunology can complement conventional approaches to facilitate our understanding of the complex immune response to the highly dynamic malaria parasite. In this review, recent studies that used systems-based approaches to evaluate human immune responses during natural and experimental P. falciparum and P. vivax infections as well as during immunization with candidate malaria vaccines are summarized and related to each other. The potential for next-generation technologies to address the current limitations of systems-based studies of human malaria are discussed.","container-title":"Immunological reviews","DOI":"10.1111/imr.12817","ISSN":"0105-2896","issue":"1","journalAbbreviation":"Immunol Rev","note":"PMID: 31680289\nPMCID: PMC6944763","page":"144-162","source":"PubMed Central","title":"Decoding the complexities of human malaria through systems immunology","volume":"293","author":[{"family":"Tran","given":"Tuan M."},{"family":"Crompton","given":"Peter D."}],"issued":{"date-parts":[["2020",1]]}}}],"schema":"https://github.com/citation-style-language/schema/raw/master/csl-citation.json"} </w:instrText>
      </w:r>
      <w:r w:rsidR="00FD7243"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(Tran &amp; Crompton, 2020)</w:t>
      </w:r>
      <w:r w:rsidR="00FD7243" w:rsidRPr="00A22E9D">
        <w:rPr>
          <w:rFonts w:ascii="Times New Roman" w:hAnsi="Times New Roman" w:cs="Times New Roman"/>
          <w:sz w:val="24"/>
          <w:szCs w:val="24"/>
        </w:rPr>
        <w:fldChar w:fldCharType="end"/>
      </w:r>
    </w:p>
    <w:p w14:paraId="753A6B6F" w14:textId="23EDF517" w:rsidR="005F01A2" w:rsidRPr="00A22E9D" w:rsidRDefault="009463C7" w:rsidP="00CA4B8F">
      <w:pPr>
        <w:pStyle w:val="Heading4"/>
        <w:spacing w:line="480" w:lineRule="auto"/>
        <w:rPr>
          <w:rFonts w:cs="Times New Roman"/>
        </w:rPr>
      </w:pPr>
      <w:r w:rsidRPr="00A22E9D">
        <w:rPr>
          <w:rFonts w:cs="Times New Roman"/>
        </w:rPr>
        <w:t xml:space="preserve">2.8.2 </w:t>
      </w:r>
      <w:r w:rsidR="00C1145D" w:rsidRPr="00A22E9D">
        <w:rPr>
          <w:rFonts w:cs="Times New Roman"/>
        </w:rPr>
        <w:t xml:space="preserve">Analysis of differentially expressed genes in Plasmodium </w:t>
      </w:r>
      <w:proofErr w:type="spellStart"/>
      <w:r w:rsidR="00C1145D" w:rsidRPr="00A22E9D">
        <w:rPr>
          <w:rFonts w:cs="Times New Roman"/>
        </w:rPr>
        <w:t>Berghei</w:t>
      </w:r>
      <w:proofErr w:type="spellEnd"/>
    </w:p>
    <w:p w14:paraId="4A4352EF" w14:textId="3975FF31" w:rsidR="008E2CFC" w:rsidRPr="00A22E9D" w:rsidRDefault="00C1145D"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There have been several studies that have used the analysis of differentially expressed genes (DEGs) to investigate the biology of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a rodent model of malaria.</w:t>
      </w:r>
      <w:r w:rsidR="00AE6D37" w:rsidRPr="00A22E9D">
        <w:rPr>
          <w:rFonts w:ascii="Times New Roman" w:hAnsi="Times New Roman" w:cs="Times New Roman"/>
          <w:sz w:val="24"/>
          <w:szCs w:val="24"/>
        </w:rPr>
        <w:t xml:space="preserve"> </w:t>
      </w:r>
      <w:r w:rsidR="00AE6D37"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{"citationID":"BVemrq5x","properties":{"formattedCitation":"(Otto et al., 2014)","plainCitation":"(Otto et al., 2014)","noteIndex":0},"citationItems":[{"id":170,"uris":["http://zotero.org/users/local/BeK2zaGK/items/9VK3VEME"],"itemData":{"id":170,"type":"article-journal","abstract":"Background\nRodent malaria parasites (RMP) are used extensively as models of human malaria. Draft RMP genomes have been published for Plasmodium yoelii, P. berghei ANKA (PbA) and P. chabaudi AS (PcAS). Although availability of these genomes made a significant impact on recent malaria research, these genomes were highly fragmented and were annotated with little manual curation. The fragmented nature of the genomes has hampered genome wide analysis of Plasmodium gene regulation and function.\n\nResults\nWe have greatly improved the genome assemblies of PbA and PcAS, newly sequenced the virulent parasite P. yoelii YM genome, sequenced additional RMP isolates/lines and have characterized genotypic diversity within RMP species. We have produced RNA-seq data and utilised it to improve gene-model prediction and to provide quantitative, genome-wide, data on gene expression. Comparison of the RMP genomes with the genome of the human malaria parasite P. falciparum and RNA-seq mapping permitted gene annotation at base-pair resolution. Full-length chromosomal annotation permitted a comprehensive classification of all subtelomeric multigene families including the ‘Plasmodium interspersed repeat genes’ (pir). Phylogenetic classification of the pir family, combined with pir expression patterns, indicates functional diversification within this family.\n\nConclusions\nComplete RMP genomes, RNA-seq and genotypic diversity data are excellent and important resources for gene-function and post-genomic analyses and to better interrogate Plasmodium biology. Genotypic diversity between P. chabaudi isolates makes this species an excellent parasite to study genotype-phenotype relationships. The improved classification of multigene families will enhance studies on the role of (variant) exported proteins in virulence and immune evasion/modulation.\n\nElectronic supplementary material\nThe online version of this article (doi:10.1186/s12915-014-0086-0) contains supplementary material, which is available to authorized users.","container-title":"BMC Biology","DOI":"10.1186/s12915-014-0086-0","ISSN":"1741-7007","journalAbbreviation":"BMC Biol","note":"PMID: 25359557\nPMCID: PMC4242472","page":"86","source":"PubMed Central","title":"A comprehensive evaluation of rodent malaria parasite genomes and gene expression","volume":"12","author":[{"family":"Otto","given":"Thomas D"},{"family":"Böhme","given":"Ulrike"},{"family":"Jackson","given":"Andrew P"},{"family":"Hunt","given":"Martin"},{"family":"Franke-Fayard","given":"Blandine"},{"family":"Hoeijmakers","given":"Wieteke A M"},{"family":"Religa","given":"Agnieszka A"},{"family":"Robertson","given":"Lauren"},{"family":"Sanders","given":"Mandy"},{"family":"Ogun","given":"Solabomi A"},{"family":"Cunningham","given":"Deirdre"},{"family":"Erhart","given":"Annette"},{"family":"Billker","given":"Oliver"},{"family":"Khan","given":"Shahid M"},{"family":"Stunnenberg","given":"Hendrik G"},{"family":"Langhorne","given":"Jean"},{"family":"Holder","given":"Anthony A"},{"family":"Waters","given":"Andrew P"},{"family":"Newbold","given":"Chris I"},{"family":"Pain","given":"Arnab"},{"family":"Berriman","given":"Matthew"},{"family":"Janse","given":"Chris J"}],"issued":{"date-parts":[["2014",10,30]]}}}],"schema":"https://github.com/citation-style-language/schema/raw/master/csl-citation.json"} </w:instrText>
      </w:r>
      <w:r w:rsidR="00AE6D37"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(Otto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2014)</w:t>
      </w:r>
      <w:r w:rsidR="00AE6D37" w:rsidRPr="00A22E9D">
        <w:rPr>
          <w:rFonts w:ascii="Times New Roman" w:hAnsi="Times New Roman" w:cs="Times New Roman"/>
          <w:sz w:val="24"/>
          <w:szCs w:val="24"/>
        </w:rPr>
        <w:fldChar w:fldCharType="end"/>
      </w:r>
      <w:r w:rsidR="00675A06" w:rsidRPr="00A22E9D">
        <w:rPr>
          <w:rFonts w:ascii="Times New Roman" w:hAnsi="Times New Roman" w:cs="Times New Roman"/>
          <w:sz w:val="24"/>
          <w:szCs w:val="24"/>
        </w:rPr>
        <w:t xml:space="preserve"> </w:t>
      </w:r>
      <w:r w:rsidRPr="00A22E9D">
        <w:rPr>
          <w:rFonts w:ascii="Times New Roman" w:hAnsi="Times New Roman" w:cs="Times New Roman"/>
          <w:sz w:val="24"/>
          <w:szCs w:val="24"/>
        </w:rPr>
        <w:t>For example, one study used RNA-</w:t>
      </w:r>
      <w:proofErr w:type="spellStart"/>
      <w:r w:rsidRPr="00A22E9D">
        <w:rPr>
          <w:rFonts w:ascii="Times New Roman" w:hAnsi="Times New Roman" w:cs="Times New Roman"/>
          <w:sz w:val="24"/>
          <w:szCs w:val="24"/>
        </w:rPr>
        <w:t>seq</w:t>
      </w:r>
      <w:proofErr w:type="spellEnd"/>
      <w:r w:rsidRPr="00A22E9D">
        <w:rPr>
          <w:rFonts w:ascii="Times New Roman" w:hAnsi="Times New Roman" w:cs="Times New Roman"/>
          <w:sz w:val="24"/>
          <w:szCs w:val="24"/>
        </w:rPr>
        <w:t xml:space="preserve"> to compare the transcriptomes of </w:t>
      </w:r>
      <w:r w:rsidR="00F57D9D" w:rsidRPr="00F57D9D">
        <w:rPr>
          <w:rFonts w:ascii="Times New Roman" w:hAnsi="Times New Roman" w:cs="Times New Roman"/>
          <w:i/>
          <w:sz w:val="24"/>
          <w:szCs w:val="24"/>
        </w:rPr>
        <w:t xml:space="preserve">P. </w:t>
      </w:r>
      <w:proofErr w:type="spellStart"/>
      <w:r w:rsidR="00F57D9D" w:rsidRPr="00F57D9D">
        <w:rPr>
          <w:rFonts w:ascii="Times New Roman" w:hAnsi="Times New Roman" w:cs="Times New Roman"/>
          <w:i/>
          <w:sz w:val="24"/>
          <w:szCs w:val="24"/>
        </w:rPr>
        <w:t>berghei</w:t>
      </w:r>
      <w:proofErr w:type="spellEnd"/>
      <w:r w:rsidRPr="00A22E9D">
        <w:rPr>
          <w:rFonts w:ascii="Times New Roman" w:hAnsi="Times New Roman" w:cs="Times New Roman"/>
          <w:sz w:val="24"/>
          <w:szCs w:val="24"/>
        </w:rPr>
        <w:t>-infected mice at different stages of the infection. The researchers identified several DEGs that were differentially expressed during the early stages of the infection, including genes involved in host cell invasion and evasion of the host's immune response.</w:t>
      </w:r>
      <w:r w:rsidR="008E2CFC" w:rsidRPr="00A22E9D">
        <w:rPr>
          <w:rFonts w:ascii="Times New Roman" w:hAnsi="Times New Roman" w:cs="Times New Roman"/>
          <w:sz w:val="24"/>
          <w:szCs w:val="24"/>
        </w:rPr>
        <w:t xml:space="preserve"> </w:t>
      </w:r>
      <w:r w:rsidR="008E2CFC"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{"citationID":"CrvyhBnj","properties":{"formattedCitation":"(Georgiadou et al., 2022)","plainCitation":"(Georgiadou et al., 2022)","noteIndex":0},"citationItems":[{"id":125,"uris":["http://zotero.org/users/local/BeK2zaGK/items/Q5UW4PMN"],"itemData":{"id":125,"type":"article-journal","abstract":"Recent initiatives to improve translation of findings from animal models to human disease have focussed on reproducibility but quantifying the relevance of animal models remains a challenge. Here, we use comparative transcriptomics of blood to evaluate the systemic host response and its concordance between humans with different clinical manifestations of malaria and five commonly used mouse models. Plasmodium yoelii 17XL infection of mice most closely reproduces the profile of gene expression changes seen in the major human severe malaria syndromes, accompanied by high parasite biomass, severe anemia, hyperlactatemia, and cerebral microvascular pathology. However, there is also considerable discordance of changes in gene expression between the different host species and across all models, indicating that the relevance of biological mechanisms of interest in each model should be assessed before conducting experiments. These data will aid the selection of appropriate models for translational malaria research, and the approach is generalizable to other disease models.","container-title":"eLife","DOI":"10.7554/eLife.70763","ISSN":"2050-084X","journalAbbreviation":"eLife","note":"PMID: 35006075\nPMCID: PMC8747512","page":"e70763","source":"PubMed Central","title":"Comparative transcriptomic analysis reveals translationally relevant processes in mouse models of malaria","volume":"11","author":[{"family":"Georgiadou","given":"Athina"},{"family":"Dunican","given":"Claire"},{"family":"Soro-Barrio","given":"Pablo"},{"family":"Lee","given":"Hyun Jae"},{"family":"Kaforou","given":"Myrsini"},{"family":"Cunnington","given":"Aubrey J"}],"issued":{"date-parts":[["2022",1,10]]}}}],"schema":"https://github.com/citation-style-language/schema/raw/master/csl-citation.json"} </w:instrText>
      </w:r>
      <w:r w:rsidR="008E2CFC"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(Georgiadou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2022)</w:t>
      </w:r>
      <w:r w:rsidR="008E2CFC" w:rsidRPr="00A22E9D">
        <w:rPr>
          <w:rFonts w:ascii="Times New Roman" w:hAnsi="Times New Roman" w:cs="Times New Roman"/>
          <w:sz w:val="24"/>
          <w:szCs w:val="24"/>
        </w:rPr>
        <w:fldChar w:fldCharType="end"/>
      </w:r>
    </w:p>
    <w:p w14:paraId="1132CC00" w14:textId="1E3AF3CF" w:rsidR="00C1145D" w:rsidRPr="00A22E9D" w:rsidRDefault="00C1145D"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Another study used microarray analysis to compare the expression of genes in </w:t>
      </w:r>
      <w:r w:rsidR="00F57D9D" w:rsidRPr="00F57D9D">
        <w:rPr>
          <w:rFonts w:ascii="Times New Roman" w:hAnsi="Times New Roman" w:cs="Times New Roman"/>
          <w:i/>
          <w:sz w:val="24"/>
          <w:szCs w:val="24"/>
        </w:rPr>
        <w:t xml:space="preserve">P. </w:t>
      </w:r>
      <w:proofErr w:type="spellStart"/>
      <w:r w:rsidR="00F57D9D" w:rsidRPr="00F57D9D">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-infected mice and </w:t>
      </w:r>
      <w:r w:rsidR="00F57D9D" w:rsidRPr="00F57D9D">
        <w:rPr>
          <w:rFonts w:ascii="Times New Roman" w:hAnsi="Times New Roman" w:cs="Times New Roman"/>
          <w:i/>
          <w:sz w:val="24"/>
          <w:szCs w:val="24"/>
        </w:rPr>
        <w:t xml:space="preserve">P. </w:t>
      </w:r>
      <w:proofErr w:type="spellStart"/>
      <w:r w:rsidR="00F57D9D" w:rsidRPr="00F57D9D">
        <w:rPr>
          <w:rFonts w:ascii="Times New Roman" w:hAnsi="Times New Roman" w:cs="Times New Roman"/>
          <w:i/>
          <w:sz w:val="24"/>
          <w:szCs w:val="24"/>
        </w:rPr>
        <w:t>berghei</w:t>
      </w:r>
      <w:proofErr w:type="spellEnd"/>
      <w:r w:rsidRPr="00A22E9D">
        <w:rPr>
          <w:rFonts w:ascii="Times New Roman" w:hAnsi="Times New Roman" w:cs="Times New Roman"/>
          <w:sz w:val="24"/>
          <w:szCs w:val="24"/>
        </w:rPr>
        <w:t>-infected mosquitoes. The researchers identified several DEGs that were differentially expressed in the two hosts, including genes involved in the formation and fertilization of gametes in the mosquito.</w:t>
      </w:r>
      <w:r w:rsidR="00675A06" w:rsidRPr="00A22E9D">
        <w:rPr>
          <w:rFonts w:ascii="Times New Roman" w:hAnsi="Times New Roman" w:cs="Times New Roman"/>
          <w:sz w:val="24"/>
          <w:szCs w:val="24"/>
        </w:rPr>
        <w:t xml:space="preserve"> </w:t>
      </w:r>
      <w:r w:rsidR="0089318B"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{"citationID":"v6IR3CWC","properties":{"formattedCitation":"(M\\uc0\\u252{}ller et al., 2021)","plainCitation":"(Müller et al., 2021)","noteIndex":0},"citationItems":[{"id":128,"uris":["http://zotero.org/users/local/BeK2zaGK/items/TXE245BR"],"itemData":{"id":128,"type":"article-journal","abstract":"Colonization of the mosquito host by Plasmodium parasites is achieved by sexually differentiated gametocytes. Gametocytogenesis, gamete formation and fertilization are tightly regulated processes, and translational repression is a major regulatory mechanism for stage conversion. Here, we present a characterization of a Plasmodium berghei RNA binding protein, UIS12, that contains two conserved eukaryotic RNA recognition motifs (RRM). Targeted gene deletion resulted in viable parasites that replicate normally during blood infection, but form fewer gametocytes. Upon transmission to Anopheles stephensi mosquitoes, both numbers and size of midgut-associated oocysts were reduced and their development stopped at an early time point. As a consequence, no salivary gland sporozoites were formed indicative of a complete life cycle arrest in the mosquito vector. Comparative transcript profiling in mutant and wild-type infected red blood cells revealed a decrease in transcript abundance of mRNAs coding for signature gamete-, ookinete-, and oocyst-specific proteins in uis12(-) parasites. Together, our findings indicate multiple roles for UIS12 in regulation of gene expression after blood infection in good agreement with the pleiotropic defects that terminate successful sporogony and onward transmission to a new vertebrate host.","container-title":"Frontiers in Cellular and Infection Microbiology","ISSN":"2235-2988","source":"Frontiers","title":"Pleiotropic Roles for the Plasmodium berghei RNA Binding Protein UIS12 in Transmission and Oocyst Maturation","URL":"https://www.frontiersin.org/articles/10.3389/fcimb.2021.624945","volume":"11","author":[{"family":"Müller","given":"Katja"},{"family":"Silvie","given":"Olivier"},{"family":"Mollenkopf","given":"Hans-Joachim"},{"family":"Matuschewski","given":"Kai"}],"accessed":{"date-parts":[["2023",2,2]]},"issued":{"date-parts":[["2021"]]}}}],"schema":"https://github.com/citation-style-language/schema/raw/master/csl-citation.json"} </w:instrText>
      </w:r>
      <w:r w:rsidR="0089318B" w:rsidRPr="00A22E9D">
        <w:rPr>
          <w:rFonts w:ascii="Times New Roman" w:hAnsi="Times New Roman" w:cs="Times New Roman"/>
          <w:sz w:val="24"/>
          <w:szCs w:val="24"/>
        </w:rPr>
        <w:fldChar w:fldCharType="separate"/>
      </w:r>
      <w:r w:rsidR="007A743A" w:rsidRPr="00A22E9D">
        <w:rPr>
          <w:rFonts w:ascii="Times New Roman" w:hAnsi="Times New Roman" w:cs="Times New Roman"/>
          <w:sz w:val="24"/>
          <w:szCs w:val="24"/>
        </w:rPr>
        <w:t xml:space="preserve">(Müller </w:t>
      </w:r>
      <w:r w:rsidR="00F57D9D" w:rsidRPr="00F57D9D">
        <w:rPr>
          <w:rFonts w:ascii="Times New Roman" w:hAnsi="Times New Roman" w:cs="Times New Roman"/>
          <w:i/>
          <w:sz w:val="24"/>
          <w:szCs w:val="24"/>
        </w:rPr>
        <w:t>et al</w:t>
      </w:r>
      <w:r w:rsidR="007A743A" w:rsidRPr="00A22E9D">
        <w:rPr>
          <w:rFonts w:ascii="Times New Roman" w:hAnsi="Times New Roman" w:cs="Times New Roman"/>
          <w:sz w:val="24"/>
          <w:szCs w:val="24"/>
        </w:rPr>
        <w:t>., 2021)</w:t>
      </w:r>
      <w:r w:rsidR="0089318B" w:rsidRPr="00A22E9D">
        <w:rPr>
          <w:rFonts w:ascii="Times New Roman" w:hAnsi="Times New Roman" w:cs="Times New Roman"/>
          <w:sz w:val="24"/>
          <w:szCs w:val="24"/>
        </w:rPr>
        <w:fldChar w:fldCharType="end"/>
      </w:r>
      <w:r w:rsidR="0089318B"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There are also several studies that have used qPCR to investigate the expression of specific genes in </w:t>
      </w:r>
      <w:r w:rsidR="00F57D9D" w:rsidRPr="00F57D9D">
        <w:rPr>
          <w:rFonts w:ascii="Times New Roman" w:hAnsi="Times New Roman" w:cs="Times New Roman"/>
          <w:i/>
          <w:sz w:val="24"/>
          <w:szCs w:val="24"/>
        </w:rPr>
        <w:t xml:space="preserve">P. </w:t>
      </w:r>
      <w:proofErr w:type="spellStart"/>
      <w:r w:rsidR="00F57D9D" w:rsidRPr="00F57D9D">
        <w:rPr>
          <w:rFonts w:ascii="Times New Roman" w:hAnsi="Times New Roman" w:cs="Times New Roman"/>
          <w:i/>
          <w:sz w:val="24"/>
          <w:szCs w:val="24"/>
        </w:rPr>
        <w:t>berghei</w:t>
      </w:r>
      <w:proofErr w:type="spellEnd"/>
      <w:r w:rsidRPr="00A22E9D">
        <w:rPr>
          <w:rFonts w:ascii="Times New Roman" w:hAnsi="Times New Roman" w:cs="Times New Roman"/>
          <w:sz w:val="24"/>
          <w:szCs w:val="24"/>
        </w:rPr>
        <w:t>-infected mice, such as genes involved in the regulation of host cell invasion, the evasion of the host's immune response and the formation of gametes.</w:t>
      </w:r>
    </w:p>
    <w:p w14:paraId="3FE224A1" w14:textId="76C9E170" w:rsidR="00C1145D" w:rsidRPr="00A22E9D" w:rsidRDefault="006822F5"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S</w:t>
      </w:r>
      <w:r w:rsidR="00C1145D" w:rsidRPr="00A22E9D">
        <w:rPr>
          <w:rFonts w:ascii="Times New Roman" w:hAnsi="Times New Roman" w:cs="Times New Roman"/>
          <w:sz w:val="24"/>
          <w:szCs w:val="24"/>
        </w:rPr>
        <w:t xml:space="preserve">ome studies use proteomic analysis to identify differentially expressed proteins, which can provide additional insights into the molecular mechanisms that drive the biology of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00C1145D" w:rsidRPr="00A22E9D">
        <w:rPr>
          <w:rFonts w:ascii="Times New Roman" w:hAnsi="Times New Roman" w:cs="Times New Roman"/>
          <w:sz w:val="24"/>
          <w:szCs w:val="24"/>
        </w:rPr>
        <w:t>.</w:t>
      </w:r>
      <w:r w:rsidR="00143704" w:rsidRPr="00A22E9D">
        <w:rPr>
          <w:rFonts w:ascii="Times New Roman" w:hAnsi="Times New Roman" w:cs="Times New Roman"/>
          <w:sz w:val="24"/>
          <w:szCs w:val="24"/>
        </w:rPr>
        <w:t xml:space="preserve"> </w:t>
      </w:r>
      <w:r w:rsidR="00C1145D" w:rsidRPr="00A22E9D">
        <w:rPr>
          <w:rFonts w:ascii="Times New Roman" w:hAnsi="Times New Roman" w:cs="Times New Roman"/>
          <w:sz w:val="24"/>
          <w:szCs w:val="24"/>
        </w:rPr>
        <w:t xml:space="preserve">In summary, the analysis of DEGs has been widely used to investigate the biology of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00C1145D" w:rsidRPr="00A22E9D">
        <w:rPr>
          <w:rFonts w:ascii="Times New Roman" w:hAnsi="Times New Roman" w:cs="Times New Roman"/>
          <w:sz w:val="24"/>
          <w:szCs w:val="24"/>
        </w:rPr>
        <w:t>, and has provided new insights into the molecular mechanisms that drive the parasite's life cycle and its ability to infect different hosts.</w:t>
      </w:r>
    </w:p>
    <w:p w14:paraId="05F40A18" w14:textId="17BA5643" w:rsidR="009A2802" w:rsidRPr="00A22E9D" w:rsidRDefault="001433D4" w:rsidP="00CA4B8F">
      <w:pPr>
        <w:pStyle w:val="Heading3"/>
        <w:spacing w:line="480" w:lineRule="auto"/>
        <w:rPr>
          <w:rFonts w:cs="Times New Roman"/>
        </w:rPr>
      </w:pPr>
      <w:bookmarkStart w:id="21" w:name="_Toc145500380"/>
      <w:r w:rsidRPr="00A22E9D">
        <w:rPr>
          <w:rFonts w:cs="Times New Roman"/>
        </w:rPr>
        <w:t xml:space="preserve">2.9 </w:t>
      </w:r>
      <w:r w:rsidR="009A2802" w:rsidRPr="00A22E9D">
        <w:rPr>
          <w:rFonts w:cs="Times New Roman"/>
        </w:rPr>
        <w:t>Molecular Docking</w:t>
      </w:r>
      <w:bookmarkEnd w:id="21"/>
    </w:p>
    <w:p w14:paraId="25884B89" w14:textId="2E5398D9" w:rsidR="00F7146D" w:rsidRPr="00A22E9D" w:rsidRDefault="004C2299"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Molecular docking is a computational method used to predict the binding mode and affinity of a small molecule to a target protein. The method involves the virtual placement of the small molecule (ligand) into the active site of the protein, and the calculation of the energy of the resulting complex.</w:t>
      </w:r>
      <w:r w:rsidR="00B76785" w:rsidRPr="00A22E9D">
        <w:rPr>
          <w:rFonts w:ascii="Times New Roman" w:hAnsi="Times New Roman" w:cs="Times New Roman"/>
          <w:sz w:val="24"/>
          <w:szCs w:val="24"/>
        </w:rPr>
        <w:t xml:space="preserve"> </w:t>
      </w:r>
      <w:r w:rsidR="00B76785"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{"citationID":"2RMbFtIp","properties":{"formattedCitation":"(Ferreira et al., 2015)","plainCitation":"(Ferreira et al., 2015)","noteIndex":0},"citationItems":[{"id":168,"uris":["http://zotero.org/users/local/BeK2zaGK/items/FAJ7E67C"],"itemData":{"id":168,"type":"article-journal","abstract":"Pharmaceutical research has successfully incorporated a wealth of molecular modeling methods, within a variety of drug discovery programs, to study complex biological and chemical systems. The integration of computational and experimental strategies has been of great value in the identification and development of novel promising compounds. Broadly used in modern drug design, molecular docking methods explore the ligand conformations adopted within the binding sites of macromolecular targets. This approach also estimates the ligand-receptor binding free energy by evaluating critical phenomena involved in the intermolecular recognition process. Today, as a variety of docking algorithms are available, an understanding of the advantages and limitations of each method is of fundamental importance in the development of effective strategies and the generation of relevant results. The purpose of this review is to examine current molecular docking strategies used in drug discovery and medicinal chemistry, exploring the advances in the field and the role played by the integration of structure- and ligand-based methods.","container-title":"Molecules","DOI":"10.3390/molecules200713384","ISSN":"1420-3049","issue":"7","language":"en","license":"http://creativecommons.org/licenses/by/3.0/","note":"number: 7\npublisher: Multidisciplinary Digital Publishing Institute","page":"13384-13421","source":"www.mdpi.com","title":"Molecular Docking and Structure-Based Drug Design Strategies","volume":"20","author":[{"family":"Ferreira","given":"Leonardo G."},{"family":"Dos Santos","given":"Ricardo N."},{"family":"Oliva","given":"Glaucius"},{"family":"Andricopulo","given":"Adriano D."}],"issued":{"date-parts":[["2015",7]]}}}],"schema":"https://github.com/citation-style-language/schema/raw/master/csl-citation.json"} </w:instrText>
      </w:r>
      <w:r w:rsidR="00B76785"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(Ferreira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2015)</w:t>
      </w:r>
      <w:r w:rsidR="00B76785"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The lowest energy conformation of the ligand in the protein's active site is considered the most likely binding mode. Docking simulations can be used to predict the binding of potential drug candidates to their targets, and to guide the design of new drugs.</w:t>
      </w:r>
      <w:r w:rsidR="00F7146D"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Molecular docking is a powerful tool in drug discovery and design, as it allows researchers to predict how small molecules will interact with proteins, and to identify potential drug candidates that will bind to a target protein in a specific way </w:t>
      </w:r>
      <w:r w:rsidR="000B3269"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{"citationID":"sZ4aZiqw","properties":{"formattedCitation":"(Meng et al., 2011)","plainCitation":"(Meng et al., 2011)","noteIndex":0},"citationItems":[{"id":130,"uris":["http://zotero.org/users/local/BeK2zaGK/items/DXSH5CAK"],"itemData":{"id":130,"type":"article-journal","abstract":"Molecular docking has become an increasingly important tool for drug discovery. In this review, we present a brief introduction of the available molecular docking methods, and their development and applications in drug discovery. The relevant basic theories, including sampling algorithms and scoring functions, are summarized. The differences in and performance of available docking software are also discussed. Flexible receptor molecular docking approaches, especially those including backbone flexibility in receptors, are a challenge for available docking methods. A recently developed Local Move Monte Carlo (LMMC) based approach is introduced as a potential solution to flexible receptor docking problems. Three application examples of molecular docking approaches for drug discovery are provided.","container-title":"Current computer-aided drug design","ISSN":"1573-4099","issue":"2","journalAbbreviation":"Curr Comput Aided Drug Des","note":"PMID: 21534921\nPMCID: PMC3151162","page":"146-157","source":"PubMed Central","title":"Molecular Docking: A powerful approach for structure-based drug discovery","title-short":"Molecular Docking","volume":"7","author":[{"family":"Meng","given":"Xuan-Yu"},{"family":"Zhang","given":"Hong-Xing"},{"family":"Mezei","given":"Mihaly"},{"family":"Cui","given":"Meng"}],"issued":{"date-parts":[["2011",6,1]]}}}],"schema":"https://github.com/citation-style-language/schema/raw/master/csl-citation.json"} </w:instrText>
      </w:r>
      <w:r w:rsidR="000B3269"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(Meng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2011)</w:t>
      </w:r>
      <w:r w:rsidR="000B3269" w:rsidRPr="00A22E9D">
        <w:rPr>
          <w:rFonts w:ascii="Times New Roman" w:hAnsi="Times New Roman" w:cs="Times New Roman"/>
          <w:sz w:val="24"/>
          <w:szCs w:val="24"/>
        </w:rPr>
        <w:fldChar w:fldCharType="end"/>
      </w:r>
      <w:r w:rsidR="006A5D4A" w:rsidRPr="00A22E9D">
        <w:rPr>
          <w:rFonts w:ascii="Times New Roman" w:hAnsi="Times New Roman" w:cs="Times New Roman"/>
          <w:sz w:val="24"/>
          <w:szCs w:val="24"/>
        </w:rPr>
        <w:t>.</w:t>
      </w:r>
    </w:p>
    <w:p w14:paraId="0DF926DE" w14:textId="26D27CE9" w:rsidR="004C2299" w:rsidRPr="00A22E9D" w:rsidRDefault="006A5D4A"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Some of the steps involved include the preparation of protein and ligand structures which</w:t>
      </w:r>
      <w:r w:rsidR="004C2299" w:rsidRPr="00A22E9D">
        <w:rPr>
          <w:rFonts w:ascii="Times New Roman" w:hAnsi="Times New Roman" w:cs="Times New Roman"/>
          <w:sz w:val="24"/>
          <w:szCs w:val="24"/>
        </w:rPr>
        <w:t xml:space="preserve"> includes removing waters, ions, and cofactors from the protein structure, and preparing the ligand for docking by adding or removing hydrogens and adding charges as necessary.</w:t>
      </w:r>
      <w:r w:rsidR="00F7146D" w:rsidRPr="00A22E9D">
        <w:rPr>
          <w:rFonts w:ascii="Times New Roman" w:hAnsi="Times New Roman" w:cs="Times New Roman"/>
          <w:sz w:val="24"/>
          <w:szCs w:val="24"/>
        </w:rPr>
        <w:t xml:space="preserve"> </w:t>
      </w:r>
      <w:r w:rsidR="004C2299" w:rsidRPr="00A22E9D">
        <w:rPr>
          <w:rFonts w:ascii="Times New Roman" w:hAnsi="Times New Roman" w:cs="Times New Roman"/>
          <w:sz w:val="24"/>
          <w:szCs w:val="24"/>
        </w:rPr>
        <w:t>Docking the ligand into the active site of the protein</w:t>
      </w:r>
      <w:r w:rsidRPr="00A22E9D">
        <w:rPr>
          <w:rFonts w:ascii="Times New Roman" w:hAnsi="Times New Roman" w:cs="Times New Roman"/>
          <w:sz w:val="24"/>
          <w:szCs w:val="24"/>
        </w:rPr>
        <w:t>, whereby</w:t>
      </w:r>
      <w:r w:rsidR="004C2299" w:rsidRPr="00A22E9D">
        <w:rPr>
          <w:rFonts w:ascii="Times New Roman" w:hAnsi="Times New Roman" w:cs="Times New Roman"/>
          <w:sz w:val="24"/>
          <w:szCs w:val="24"/>
        </w:rPr>
        <w:t xml:space="preserve"> </w:t>
      </w:r>
      <w:r w:rsidRPr="00A22E9D">
        <w:rPr>
          <w:rFonts w:ascii="Times New Roman" w:hAnsi="Times New Roman" w:cs="Times New Roman"/>
          <w:sz w:val="24"/>
          <w:szCs w:val="24"/>
        </w:rPr>
        <w:t>t</w:t>
      </w:r>
      <w:r w:rsidR="004C2299" w:rsidRPr="00A22E9D">
        <w:rPr>
          <w:rFonts w:ascii="Times New Roman" w:hAnsi="Times New Roman" w:cs="Times New Roman"/>
          <w:sz w:val="24"/>
          <w:szCs w:val="24"/>
        </w:rPr>
        <w:t>he ligand is placed into the active site of the protein and is allowed to rotate and translate, so that it can find the lowest energy conformation.</w:t>
      </w:r>
      <w:r w:rsidR="00F7146D" w:rsidRPr="00A22E9D">
        <w:rPr>
          <w:rFonts w:ascii="Times New Roman" w:hAnsi="Times New Roman" w:cs="Times New Roman"/>
          <w:sz w:val="24"/>
          <w:szCs w:val="24"/>
        </w:rPr>
        <w:t xml:space="preserve"> </w:t>
      </w:r>
      <w:r w:rsidR="004C2299" w:rsidRPr="00A22E9D">
        <w:rPr>
          <w:rFonts w:ascii="Times New Roman" w:hAnsi="Times New Roman" w:cs="Times New Roman"/>
          <w:sz w:val="24"/>
          <w:szCs w:val="24"/>
        </w:rPr>
        <w:t>Scoring the docking poses</w:t>
      </w:r>
      <w:r w:rsidRPr="00A22E9D">
        <w:rPr>
          <w:rFonts w:ascii="Times New Roman" w:hAnsi="Times New Roman" w:cs="Times New Roman"/>
          <w:sz w:val="24"/>
          <w:szCs w:val="24"/>
        </w:rPr>
        <w:t>, in which t</w:t>
      </w:r>
      <w:r w:rsidR="004C2299" w:rsidRPr="00A22E9D">
        <w:rPr>
          <w:rFonts w:ascii="Times New Roman" w:hAnsi="Times New Roman" w:cs="Times New Roman"/>
          <w:sz w:val="24"/>
          <w:szCs w:val="24"/>
        </w:rPr>
        <w:t>he energy of the ligand in the active site is calculated and the pose with the lowest energy is considered the most likely binding mode.</w:t>
      </w:r>
    </w:p>
    <w:p w14:paraId="1FB9CEDE" w14:textId="351CB9E8" w:rsidR="004C2299" w:rsidRPr="00A22E9D" w:rsidRDefault="004C2299"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There are several different algorithms and software programs available for performing molecular docking, such as </w:t>
      </w:r>
      <w:proofErr w:type="spellStart"/>
      <w:r w:rsidRPr="00A22E9D">
        <w:rPr>
          <w:rFonts w:ascii="Times New Roman" w:hAnsi="Times New Roman" w:cs="Times New Roman"/>
          <w:sz w:val="24"/>
          <w:szCs w:val="24"/>
        </w:rPr>
        <w:t>AutoDock</w:t>
      </w:r>
      <w:proofErr w:type="spellEnd"/>
      <w:r w:rsidRPr="00A22E9D">
        <w:rPr>
          <w:rFonts w:ascii="Times New Roman" w:hAnsi="Times New Roman" w:cs="Times New Roman"/>
          <w:sz w:val="24"/>
          <w:szCs w:val="24"/>
        </w:rPr>
        <w:t xml:space="preserve">, </w:t>
      </w:r>
      <w:proofErr w:type="spellStart"/>
      <w:r w:rsidR="00A5374D" w:rsidRPr="00A22E9D">
        <w:rPr>
          <w:rFonts w:ascii="Times New Roman" w:hAnsi="Times New Roman" w:cs="Times New Roman"/>
          <w:sz w:val="24"/>
          <w:szCs w:val="24"/>
        </w:rPr>
        <w:t>iGEMDOCK</w:t>
      </w:r>
      <w:proofErr w:type="spellEnd"/>
      <w:r w:rsidR="00A5374D"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DOCK, Glide, and </w:t>
      </w:r>
      <w:proofErr w:type="spellStart"/>
      <w:r w:rsidRPr="00A22E9D">
        <w:rPr>
          <w:rFonts w:ascii="Times New Roman" w:hAnsi="Times New Roman" w:cs="Times New Roman"/>
          <w:sz w:val="24"/>
          <w:szCs w:val="24"/>
        </w:rPr>
        <w:t>LeadIT</w:t>
      </w:r>
      <w:proofErr w:type="spellEnd"/>
      <w:r w:rsidRPr="00A22E9D">
        <w:rPr>
          <w:rFonts w:ascii="Times New Roman" w:hAnsi="Times New Roman" w:cs="Times New Roman"/>
          <w:sz w:val="24"/>
          <w:szCs w:val="24"/>
        </w:rPr>
        <w:t>.</w:t>
      </w:r>
      <w:r w:rsidR="002203DA" w:rsidRPr="00A22E9D">
        <w:rPr>
          <w:rFonts w:ascii="Times New Roman" w:hAnsi="Times New Roman" w:cs="Times New Roman"/>
          <w:sz w:val="24"/>
          <w:szCs w:val="24"/>
        </w:rPr>
        <w:t xml:space="preserve"> </w:t>
      </w:r>
      <w:r w:rsidR="002203DA"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{"citationID":"eQyJ8nvp","properties":{"formattedCitation":"(Pagadala et al., 2017)","plainCitation":"(Pagadala et al., 2017)","noteIndex":0},"citationItems":[{"id":165,"uris":["http://zotero.org/users/local/BeK2zaGK/items/SKJ2YZ8I"],"itemData":{"id":165,"type":"article-journal","abstract":"Molecular docking methodology explores the behavior of small molecules in the binding site of a target protein. As more protein structures are determined experimentally using X-ray crystallography or nuclear magnetic resonance (NMR) spectroscopy, molecular docking is increasingly used as a tool in drug discovery. Docking against homology-modeled targets also becomes possible for proteins whose structures are not known. With the docking strategies, the druggability of the compounds and their specificity against a particular target can be calculated for further lead optimization processes. Molecular docking programs perform a search algorithm in which the conformation of the ligand is evaluated recursively until the convergence to the minimum energy is reached. Finally, an affinity scoring function, ΔG [U total in kcal/mol], is employed to rank the candidate poses as the sum of the electrostatic and van der Waals energies. The driving forces for these specific interactions in biological systems aim toward complementarities between the shape and electrostatics of the binding site surfaces and the ligand or substrate.","container-title":"Biophysical Reviews","DOI":"10.1007/s12551-016-0247-1","ISSN":"1867-2450","issue":"2","journalAbbreviation":"Biophys Rev","note":"PMID: 28510083\nPMCID: PMC5425816","page":"91-102","source":"PubMed Central","title":"Software for molecular docking: a review","title-short":"Software for molecular docking","volume":"9","author":[{"family":"Pagadala","given":"Nataraj S."},{"family":"Syed","given":"Khajamohiddin"},{"family":"Tuszynski","given":"Jack"}],"issued":{"date-parts":[["2017",1,16]]}}}],"schema":"https://github.com/citation-style-language/schema/raw/master/csl-citation.json"} </w:instrText>
      </w:r>
      <w:r w:rsidR="002203DA"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 xml:space="preserve">(Pagadala </w:t>
      </w:r>
      <w:r w:rsidR="00F57D9D" w:rsidRPr="00F57D9D">
        <w:rPr>
          <w:rFonts w:ascii="Times New Roman" w:hAnsi="Times New Roman" w:cs="Times New Roman"/>
          <w:i/>
          <w:sz w:val="24"/>
        </w:rPr>
        <w:t>et al</w:t>
      </w:r>
      <w:r w:rsidR="007A743A" w:rsidRPr="00A22E9D">
        <w:rPr>
          <w:rFonts w:ascii="Times New Roman" w:hAnsi="Times New Roman" w:cs="Times New Roman"/>
          <w:sz w:val="24"/>
        </w:rPr>
        <w:t>., 2017)</w:t>
      </w:r>
      <w:r w:rsidR="002203DA"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These programs can be used to predict the binding of potential drug candidates to their </w:t>
      </w:r>
      <w:r w:rsidRPr="00A22E9D">
        <w:rPr>
          <w:rFonts w:ascii="Times New Roman" w:hAnsi="Times New Roman" w:cs="Times New Roman"/>
          <w:sz w:val="24"/>
          <w:szCs w:val="24"/>
        </w:rPr>
        <w:lastRenderedPageBreak/>
        <w:t>targets and to guide the design of new drugs. Additionally, the results of molecular docking simulations can be used in combination with other computational and experimental techniques to further optimize and validate potential drug candidates.</w:t>
      </w:r>
      <w:r w:rsidR="000B649B" w:rsidRPr="00A22E9D">
        <w:rPr>
          <w:rFonts w:ascii="Times New Roman" w:hAnsi="Times New Roman" w:cs="Times New Roman"/>
          <w:sz w:val="24"/>
          <w:szCs w:val="24"/>
        </w:rPr>
        <w:t xml:space="preserve"> </w:t>
      </w:r>
      <w:r w:rsidR="000B649B" w:rsidRPr="00A22E9D">
        <w:rPr>
          <w:rFonts w:ascii="Times New Roman" w:hAnsi="Times New Roman" w:cs="Times New Roman"/>
          <w:sz w:val="24"/>
          <w:szCs w:val="24"/>
        </w:rPr>
        <w:fldChar w:fldCharType="begin"/>
      </w:r>
      <w:r w:rsidR="007A743A" w:rsidRPr="00A22E9D">
        <w:rPr>
          <w:rFonts w:ascii="Times New Roman" w:hAnsi="Times New Roman" w:cs="Times New Roman"/>
          <w:sz w:val="24"/>
          <w:szCs w:val="24"/>
        </w:rPr>
        <w:instrText xml:space="preserve"> ADDIN ZOTERO_ITEM CSL_CITATION {"citationID":"NyKSD1hu","properties":{"formattedCitation":"(Pinzi &amp; Rastelli, 2019)","plainCitation":"(Pinzi &amp; Rastelli, 2019)","noteIndex":0},"citationItems":[{"id":162,"uris":["http://zotero.org/users/local/BeK2zaGK/items/KRCUWT2Y"],"itemData":{"id":162,"type":"article-journal","abstract":"Molecular docking is an established in silico structure-based method widely used in drug discovery. Docking enables the identification of novel compounds of therapeutic interest, predicting ligand-target interactions at a molecular level, or delineating structure-activity relationships (SAR), without knowing a priori the chemical structure of other target modulators. Although it was originally developed to help understanding the mechanisms of molecular recognition between small and large molecules, uses and applications of docking in drug discovery have heavily changed over the last years. In this review, we describe how molecular docking was firstly applied to assist in drug discovery tasks. Then, we illustrate newer and emergent uses and applications of docking, including prediction of adverse effects, polypharmacology, drug repurposing, and target fishing and profiling, discussing also future applications and further potential of this technique when combined with emergent techniques, such as artificial intelligence.","container-title":"International Journal of Molecular Sciences","DOI":"10.3390/ijms20184331","ISSN":"1422-0067","issue":"18","journalAbbreviation":"Int J Mol Sci","note":"PMID: 31487867\nPMCID: PMC6769923","page":"4331","source":"PubMed Central","title":"Molecular Docking: Shifting Paradigms in Drug Discovery","title-short":"Molecular Docking","volume":"20","author":[{"family":"Pinzi","given":"Luca"},{"family":"Rastelli","given":"Giulio"}],"issued":{"date-parts":[["2019",9,4]]}}}],"schema":"https://github.com/citation-style-language/schema/raw/master/csl-citation.json"} </w:instrText>
      </w:r>
      <w:r w:rsidR="000B649B" w:rsidRPr="00A22E9D">
        <w:rPr>
          <w:rFonts w:ascii="Times New Roman" w:hAnsi="Times New Roman" w:cs="Times New Roman"/>
          <w:sz w:val="24"/>
          <w:szCs w:val="24"/>
        </w:rPr>
        <w:fldChar w:fldCharType="separate"/>
      </w:r>
      <w:r w:rsidR="007A743A" w:rsidRPr="00A22E9D">
        <w:rPr>
          <w:rFonts w:ascii="Times New Roman" w:hAnsi="Times New Roman" w:cs="Times New Roman"/>
          <w:sz w:val="24"/>
        </w:rPr>
        <w:t>(Pinzi &amp; Rastelli, 2019)</w:t>
      </w:r>
      <w:r w:rsidR="000B649B" w:rsidRPr="00A22E9D">
        <w:rPr>
          <w:rFonts w:ascii="Times New Roman" w:hAnsi="Times New Roman" w:cs="Times New Roman"/>
          <w:sz w:val="24"/>
          <w:szCs w:val="24"/>
        </w:rPr>
        <w:fldChar w:fldCharType="end"/>
      </w:r>
    </w:p>
    <w:p w14:paraId="4F8EE42E" w14:textId="26A161DA" w:rsidR="00974CE0" w:rsidRPr="00A22E9D" w:rsidRDefault="001433D4" w:rsidP="00CA4B8F">
      <w:pPr>
        <w:pStyle w:val="Heading4"/>
        <w:spacing w:line="480" w:lineRule="auto"/>
        <w:rPr>
          <w:rFonts w:cs="Times New Roman"/>
        </w:rPr>
      </w:pPr>
      <w:r w:rsidRPr="00A22E9D">
        <w:rPr>
          <w:rFonts w:cs="Times New Roman"/>
        </w:rPr>
        <w:t xml:space="preserve">2.9.1 </w:t>
      </w:r>
      <w:r w:rsidR="00974CE0" w:rsidRPr="00A22E9D">
        <w:rPr>
          <w:rFonts w:cs="Times New Roman"/>
        </w:rPr>
        <w:t xml:space="preserve">Role of Molecular Docking in </w:t>
      </w:r>
      <w:r w:rsidR="00731404" w:rsidRPr="00A22E9D">
        <w:rPr>
          <w:rFonts w:cs="Times New Roman"/>
        </w:rPr>
        <w:t>antimalarial drug effect on infected red blood cells</w:t>
      </w:r>
    </w:p>
    <w:p w14:paraId="515F4C00" w14:textId="7C8C7713" w:rsidR="00946928" w:rsidRPr="00A22E9D" w:rsidRDefault="0094692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Molecular docking plays a crucial role in understanding the mechanism of action of antimalarial drugs on infected red blood cells (RBCs) at a molecular level</w:t>
      </w:r>
      <w:r w:rsidR="00465267" w:rsidRPr="00A22E9D">
        <w:rPr>
          <w:rFonts w:ascii="Times New Roman" w:hAnsi="Times New Roman" w:cs="Times New Roman"/>
          <w:sz w:val="24"/>
          <w:szCs w:val="24"/>
        </w:rPr>
        <w:t xml:space="preserve"> </w:t>
      </w:r>
      <w:r w:rsidR="00465267" w:rsidRPr="00A22E9D">
        <w:rPr>
          <w:rFonts w:ascii="Times New Roman" w:hAnsi="Times New Roman" w:cs="Times New Roman"/>
          <w:sz w:val="24"/>
          <w:szCs w:val="24"/>
        </w:rPr>
        <w:fldChar w:fldCharType="begin"/>
      </w:r>
      <w:r w:rsidR="00465267" w:rsidRPr="00A22E9D">
        <w:rPr>
          <w:rFonts w:ascii="Times New Roman" w:hAnsi="Times New Roman" w:cs="Times New Roman"/>
          <w:sz w:val="24"/>
          <w:szCs w:val="24"/>
        </w:rPr>
        <w:instrText xml:space="preserve"> ADDIN ZOTERO_ITEM CSL_CITATION {"citationID":"p16EX19H","properties":{"formattedCitation":"(Vishwakarma et al., 2010)","plainCitation":"(Vishwakarma et al., 2010)","noteIndex":0},"citationItems":[{"id":451,"uris":["http://zotero.org/users/local/BeK2zaGK/items/CYUBXNXK"],"itemData":{"id":451,"type":"article-journal","abstract":"Malaria is the most important parasitic disease in humans, with transmission occurring in over 100 countries witha population of three billion people. It is caused by protozoan parasites of the genus Plasmodium. These parasites aretransmitted from one person to another by the female anopheles mosquito. Proguanil is a prophylactic antimalarial drug,it stops the malaria parasite, Plasmodium falciparum and Plasmodium vivax, from reproducing once it is in the red bloodcells. It does this by inhibiting the enzyme, dihydrofolate reductase. The side effects of these drugs make the need forthe necessity of new improved drugs Conformational analysis and geometry optimization of Proguanil was performedusing Argus Lab &amp; Hex software. When the receptor (DHFR) was docked with the drug Proguanil the energy valueobtained was (-6.59) using Argus Lab and (-174.54) using hex. The most feasible position for the drug to interact withthe receptor was found to be with analog 2 having energy -9.56 K.cal/mole using Argus Lab and -201.92 K.cal/moleusing HEX Tool. So Proguanil Analog 2 sketched using Chemsketch is detected with more signifi cant energy values inboth softwares and probable lead molecules. Further from ADME/T properties of the Analogs is also showing the betterresult than available drug.","container-title":"Journal of Computer Science &amp; Systems Biology","DOI":"10.4172/jcsb.1000059","journalAbbreviation":"Journal of Computer Science &amp; Systems Biology","source":"ResearchGate","title":"Molecular Docking Studies of Antimalarial Drugs for Malaria","volume":"03","author":[{"family":"Vishwakarma","given":"Dr. Nutan"},{"family":"Patel","given":"Shivani"},{"family":"Prabhumay","given":"Mr. Nilkanth"},{"family":"Kumar","given":"Ravi"},{"family":"DVN","given":"Sudheer"}],"issued":{"date-parts":[["2010",1,1]]}}}],"schema":"https://github.com/citation-style-language/schema/raw/master/csl-citation.json"} </w:instrText>
      </w:r>
      <w:r w:rsidR="00465267" w:rsidRPr="00A22E9D">
        <w:rPr>
          <w:rFonts w:ascii="Times New Roman" w:hAnsi="Times New Roman" w:cs="Times New Roman"/>
          <w:sz w:val="24"/>
          <w:szCs w:val="24"/>
        </w:rPr>
        <w:fldChar w:fldCharType="separate"/>
      </w:r>
      <w:r w:rsidR="00465267" w:rsidRPr="00A22E9D">
        <w:rPr>
          <w:rFonts w:ascii="Times New Roman" w:hAnsi="Times New Roman" w:cs="Times New Roman"/>
          <w:sz w:val="24"/>
        </w:rPr>
        <w:t xml:space="preserve">(Vishwakarma </w:t>
      </w:r>
      <w:r w:rsidR="00F57D9D" w:rsidRPr="00F57D9D">
        <w:rPr>
          <w:rFonts w:ascii="Times New Roman" w:hAnsi="Times New Roman" w:cs="Times New Roman"/>
          <w:i/>
          <w:sz w:val="24"/>
        </w:rPr>
        <w:t>et al</w:t>
      </w:r>
      <w:r w:rsidR="00465267" w:rsidRPr="00A22E9D">
        <w:rPr>
          <w:rFonts w:ascii="Times New Roman" w:hAnsi="Times New Roman" w:cs="Times New Roman"/>
          <w:sz w:val="24"/>
        </w:rPr>
        <w:t>., 2010)</w:t>
      </w:r>
      <w:r w:rsidR="00465267"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By employing computational </w:t>
      </w:r>
      <w:r w:rsidR="005D1337" w:rsidRPr="00A22E9D">
        <w:rPr>
          <w:rFonts w:ascii="Times New Roman" w:hAnsi="Times New Roman" w:cs="Times New Roman"/>
          <w:sz w:val="24"/>
          <w:szCs w:val="24"/>
        </w:rPr>
        <w:t>modelling</w:t>
      </w:r>
      <w:r w:rsidRPr="00A22E9D">
        <w:rPr>
          <w:rFonts w:ascii="Times New Roman" w:hAnsi="Times New Roman" w:cs="Times New Roman"/>
          <w:sz w:val="24"/>
          <w:szCs w:val="24"/>
        </w:rPr>
        <w:t xml:space="preserve"> and simulations, molecular docking helps in predicting and </w:t>
      </w:r>
      <w:r w:rsidR="005D1337" w:rsidRPr="00A22E9D">
        <w:rPr>
          <w:rFonts w:ascii="Times New Roman" w:hAnsi="Times New Roman" w:cs="Times New Roman"/>
          <w:sz w:val="24"/>
          <w:szCs w:val="24"/>
        </w:rPr>
        <w:t>analysing</w:t>
      </w:r>
      <w:r w:rsidRPr="00A22E9D">
        <w:rPr>
          <w:rFonts w:ascii="Times New Roman" w:hAnsi="Times New Roman" w:cs="Times New Roman"/>
          <w:sz w:val="24"/>
          <w:szCs w:val="24"/>
        </w:rPr>
        <w:t xml:space="preserve"> the interactions between antimalarial drug candidates and target molecules within the infected RBCs.</w:t>
      </w:r>
    </w:p>
    <w:p w14:paraId="1B019A77" w14:textId="70C0C8C3" w:rsidR="00946928" w:rsidRPr="00A22E9D" w:rsidRDefault="0094692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The first step in studying the effect of antimalarial drugs on infected RBCs using molecular docking is to identify the relevant target molecules within the parasite or host RBCs. These target molecules can include enzymes, transporters, receptors, or other proteins that are critical for the survival or growth of the malaria parasite within RBCs.</w:t>
      </w:r>
      <w:r w:rsidR="00465267" w:rsidRPr="00A22E9D">
        <w:rPr>
          <w:rFonts w:ascii="Times New Roman" w:hAnsi="Times New Roman" w:cs="Times New Roman"/>
          <w:sz w:val="24"/>
          <w:szCs w:val="24"/>
        </w:rPr>
        <w:t xml:space="preserve"> Once the target molecules are identified, molecular docking techniques are employed to simulate the binding of antimalarial drug candidates to these targets. The three-dimensional structures of the drug candidates and target molecules are used to predict how they interact and bind to each other. This involves exploring different orientations, conformations, and binding poses of the drug candidate within the binding site of the target molecule.</w:t>
      </w:r>
    </w:p>
    <w:p w14:paraId="3E7F64A9" w14:textId="12DF2E1B" w:rsidR="00940008" w:rsidRPr="00A22E9D" w:rsidRDefault="0094000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Molecular docking helps in elucidating the binding modes and interactions between antimalarial drugs and the target molecules within infected RBCs </w:t>
      </w:r>
      <w:r w:rsidRPr="00A22E9D">
        <w:rPr>
          <w:rFonts w:ascii="Times New Roman" w:hAnsi="Times New Roman" w:cs="Times New Roman"/>
          <w:sz w:val="24"/>
          <w:szCs w:val="24"/>
        </w:rPr>
        <w:fldChar w:fldCharType="begin"/>
      </w:r>
      <w:r w:rsidRPr="00A22E9D">
        <w:rPr>
          <w:rFonts w:ascii="Times New Roman" w:hAnsi="Times New Roman" w:cs="Times New Roman"/>
          <w:sz w:val="24"/>
          <w:szCs w:val="24"/>
        </w:rPr>
        <w:instrText xml:space="preserve"> ADDIN ZOTERO_ITEM CSL_CITATION {"citationID":"zuTBGOKb","properties":{"formattedCitation":"(Ya\\uc0\\u8217{}u Ibrahim et al., 2020)","plainCitation":"(Ya’u Ibrahim et al., 2020)","noteIndex":0},"citationItems":[{"id":455,"uris":["http://zotero.org/users/local/BeK2zaGK/items/GH48HZ4B"],"itemData":{"id":455,"type":"article-journal","abstract":"Malaria is a killer disease caused by Plasmodium falciparum and is responsible for over a million death annually. Chloroquine, quinine, pyrimethamine, proguanil, artemisinin, atovaquone, and mefloquine are different kinds of drugs employed to treat the disease, but due to increased drug resistance to these drugs, their use becomes less effective. Hence, the need for new antimalarial drugs with better activities and a new mechanism of action along different pathways against a new target. As well as the knowledge of their interactions, the drug-likeness of antimalarial drugs is necessary. Twenty-four derivatives of β-Amino alcohol grafted 1,4,5-trisubstituted 1,2,3-triazoles were docked against a p53 protein, as well as predicting their drug-likeness and ADMET properties. From the docking analysis, compound 10, {1-(1-benzyl-5-phenyl-1H-1,2,3-triazol-4-yl)-1-(4-bromophenyl)-2-((3,4-dimethylphenyl)amino)ethanol} was found to be the most stable compound with Re-rank docking score -100.295KJmol−1 against p53 protein. The “drug-likeness” and ADMET prediction performed nearly showed compliance with the Lipinski rule, and the compounds were found to have good absorption, distribution, metabolism, and excretion generally. The results of the study can be used for future optimization of derivatives of {1-(1-benzyl-5-phenyl-1H-1,2,3-triazol-4-yl)-1-(4-bromophenyl)-2-((3,4-dimethylphenyl)amino)ethanol}for better molecular interactions with p53 protein, and effective Plasmodium falciparum inhibition.","container-title":"Scientific African","DOI":"10.1016/j.sciaf.2020.e00570","ISSN":"2468-2276","journalAbbreviation":"Scientific African","language":"en","page":"e00570","source":"ScienceDirect","title":"Molecular docking studies, drug-likeness and in-silico ADMET prediction of some novel β-Amino alcohol grafted 1,4,5-trisubstituted 1,2,3-triazoles derivatives as elevators of p53 protein levels","volume":"10","author":[{"family":"Ya'u Ibrahim","given":"Zakari"},{"family":"Uzairu","given":"Adamu"},{"family":"Shallangwa","given":"Gideon"},{"family":"Abechi","given":"Stephen"}],"issued":{"date-parts":[["2020",11,1]]}}}],"schema":"https://github.com/citation-style-language/schema/raw/master/csl-citation.json"} </w:instrText>
      </w:r>
      <w:r w:rsidRPr="00A22E9D">
        <w:rPr>
          <w:rFonts w:ascii="Times New Roman" w:hAnsi="Times New Roman" w:cs="Times New Roman"/>
          <w:sz w:val="24"/>
          <w:szCs w:val="24"/>
        </w:rPr>
        <w:fldChar w:fldCharType="separate"/>
      </w:r>
      <w:r w:rsidRPr="00A22E9D">
        <w:rPr>
          <w:rFonts w:ascii="Times New Roman" w:hAnsi="Times New Roman" w:cs="Times New Roman"/>
          <w:sz w:val="24"/>
          <w:szCs w:val="24"/>
        </w:rPr>
        <w:t xml:space="preserve">(Ya’u Ibrahim </w:t>
      </w:r>
      <w:r w:rsidR="00F57D9D" w:rsidRPr="00F57D9D">
        <w:rPr>
          <w:rFonts w:ascii="Times New Roman" w:hAnsi="Times New Roman" w:cs="Times New Roman"/>
          <w:i/>
          <w:sz w:val="24"/>
          <w:szCs w:val="24"/>
        </w:rPr>
        <w:t>et al</w:t>
      </w:r>
      <w:r w:rsidRPr="00A22E9D">
        <w:rPr>
          <w:rFonts w:ascii="Times New Roman" w:hAnsi="Times New Roman" w:cs="Times New Roman"/>
          <w:sz w:val="24"/>
          <w:szCs w:val="24"/>
        </w:rPr>
        <w:t>., 2020)</w:t>
      </w:r>
      <w:r w:rsidRPr="00A22E9D">
        <w:rPr>
          <w:rFonts w:ascii="Times New Roman" w:hAnsi="Times New Roman" w:cs="Times New Roman"/>
          <w:sz w:val="24"/>
          <w:szCs w:val="24"/>
        </w:rPr>
        <w:fldChar w:fldCharType="end"/>
      </w:r>
      <w:r w:rsidRPr="00A22E9D">
        <w:rPr>
          <w:rFonts w:ascii="Times New Roman" w:hAnsi="Times New Roman" w:cs="Times New Roman"/>
          <w:sz w:val="24"/>
          <w:szCs w:val="24"/>
        </w:rPr>
        <w:t>. It provides insights into how the drugs may interfere with the function or activity of these molecules, thereby affecting the survival, replication, or other essential processes of the malaria parasite.</w:t>
      </w:r>
    </w:p>
    <w:p w14:paraId="2EE2D1AF" w14:textId="5578DA87" w:rsidR="00940008" w:rsidRPr="00A22E9D" w:rsidRDefault="0094000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Use of molecular docking can also aid in understanding the selectivity of antimalarial drugs towards the parasite versus host RBCs</w:t>
      </w:r>
      <w:r w:rsidR="0065452B" w:rsidRPr="00A22E9D">
        <w:rPr>
          <w:rFonts w:ascii="Times New Roman" w:hAnsi="Times New Roman" w:cs="Times New Roman"/>
          <w:sz w:val="24"/>
          <w:szCs w:val="24"/>
        </w:rPr>
        <w:t xml:space="preserve"> </w:t>
      </w:r>
      <w:r w:rsidR="0065452B" w:rsidRPr="00A22E9D">
        <w:rPr>
          <w:rFonts w:ascii="Times New Roman" w:hAnsi="Times New Roman" w:cs="Times New Roman"/>
          <w:sz w:val="24"/>
          <w:szCs w:val="24"/>
        </w:rPr>
        <w:fldChar w:fldCharType="begin"/>
      </w:r>
      <w:r w:rsidR="0065452B" w:rsidRPr="00A22E9D">
        <w:rPr>
          <w:rFonts w:ascii="Times New Roman" w:hAnsi="Times New Roman" w:cs="Times New Roman"/>
          <w:sz w:val="24"/>
          <w:szCs w:val="24"/>
        </w:rPr>
        <w:instrText xml:space="preserve"> ADDIN ZOTERO_ITEM CSL_CITATION {"citationID":"9Gn5KcZU","properties":{"formattedCitation":"(Forlemu et al., 2016)","plainCitation":"(Forlemu et al., 2016)","noteIndex":0},"citationItems":[{"id":454,"uris":["http://zotero.org/users/local/BeK2zaGK/items/U2R8ZRZM"],"itemData":{"id":454,"type":"article-journal","abstract":"The parasite Plasmodium falciparum is responsible for the major world scourge malaria, a disease that affects 3.3 billion people worldwide. The development of new drugs is critical because of the diminished effectiveness of current antimalarial agents mainly due to parasitic resistance, side effects and cost. Molecular docking was used to explore structural motifs responsible for the interactions between triose phosphate isomerase (TPI), glyceraldehyde-3-phosphate dehydrogenase (GAPDH) and aldolase (ALD) from human and Plasmodium cells with 8 novel sufonylamide derivatives. All the ligands modeled, interact with all three enzymes in the micromolar range. The top ligand (sulfaE) shows a 70-fold increase in selective binding to pfTPI compared to hTPI (dissociation constant-KI of 7.83 μM and 0.177 μM for hTPI and pfTPI respectively), on par with antimalarial drug chloroquine.ALD and GAPDH form complexes with similar binding sites, comprising amino acids of similar chemical properties and polarities. Human TPI and pfTPI bind sulfonamide derivatives using two distinct binding sites and residues. Key residues at the dimer interface of pfTPI (VAL44, SER45, TYR48, GLN64, ASN65, VAL78) form a tight pocket with favorable polar contacts. The affinity with TPI is the most specific, stable, and selective suggesting pfTPI is a candidate for development of antimalarial drugs.","container-title":"Open Journal of Biophysics","DOI":"10.4236/ojbiphy.2017.71004","issue":"1","language":"en","license":"http://creativecommons.org/licenses/by/4.0/","note":"number: 1\npublisher: Scientific Research Publishing","page":"41-57","source":"www.scirp.org","title":"Molecular Docking of Selective Binding Affinity of Sulfonamide Derivatives as Potential Antimalarial Agents Targeting the Glycolytic Enzymes: GAPDH, Aldolase and TPI","title-short":"Molecular Docking of Selective Binding Affinity of Sulfonamide Derivatives as Potential Antimalarial Agents Targeting the Glycolytic Enzymes","volume":"7","author":[{"family":"Forlemu","given":"Neville"},{"family":"Watkins","given":"Porshaye"},{"family":"Sloop","given":"Joseph"}],"issued":{"date-parts":[["2016",12,6]]}}}],"schema":"https://github.com/citation-style-language/schema/raw/master/csl-citation.json"} </w:instrText>
      </w:r>
      <w:r w:rsidR="0065452B" w:rsidRPr="00A22E9D">
        <w:rPr>
          <w:rFonts w:ascii="Times New Roman" w:hAnsi="Times New Roman" w:cs="Times New Roman"/>
          <w:sz w:val="24"/>
          <w:szCs w:val="24"/>
        </w:rPr>
        <w:fldChar w:fldCharType="separate"/>
      </w:r>
      <w:r w:rsidR="0065452B" w:rsidRPr="00A22E9D">
        <w:rPr>
          <w:rFonts w:ascii="Times New Roman" w:hAnsi="Times New Roman" w:cs="Times New Roman"/>
          <w:sz w:val="24"/>
        </w:rPr>
        <w:t xml:space="preserve">(Forlemu </w:t>
      </w:r>
      <w:r w:rsidR="00F57D9D" w:rsidRPr="00F57D9D">
        <w:rPr>
          <w:rFonts w:ascii="Times New Roman" w:hAnsi="Times New Roman" w:cs="Times New Roman"/>
          <w:i/>
          <w:sz w:val="24"/>
        </w:rPr>
        <w:t>et al</w:t>
      </w:r>
      <w:r w:rsidR="0065452B" w:rsidRPr="00A22E9D">
        <w:rPr>
          <w:rFonts w:ascii="Times New Roman" w:hAnsi="Times New Roman" w:cs="Times New Roman"/>
          <w:sz w:val="24"/>
        </w:rPr>
        <w:t>., 2016)</w:t>
      </w:r>
      <w:r w:rsidR="0065452B"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By comparing the interactions </w:t>
      </w:r>
      <w:r w:rsidRPr="00A22E9D">
        <w:rPr>
          <w:rFonts w:ascii="Times New Roman" w:hAnsi="Times New Roman" w:cs="Times New Roman"/>
          <w:sz w:val="24"/>
          <w:szCs w:val="24"/>
        </w:rPr>
        <w:lastRenderedPageBreak/>
        <w:t>of the drug candidates with target molecules in both the parasite and host RBCs, it becomes possible to identify potential differences in binding affinities or binding modes that contribute to the selective action of the drugs on the parasite without significant toxicity to the host.</w:t>
      </w:r>
    </w:p>
    <w:p w14:paraId="41A97658" w14:textId="0A459622" w:rsidR="006850CE" w:rsidRPr="00A22E9D" w:rsidRDefault="001433D4" w:rsidP="00CA4B8F">
      <w:pPr>
        <w:spacing w:line="480" w:lineRule="auto"/>
        <w:jc w:val="both"/>
        <w:rPr>
          <w:rFonts w:ascii="Times New Roman" w:hAnsi="Times New Roman" w:cs="Times New Roman"/>
          <w:sz w:val="24"/>
          <w:szCs w:val="24"/>
        </w:rPr>
      </w:pPr>
      <w:bookmarkStart w:id="22" w:name="_Toc145500381"/>
      <w:r w:rsidRPr="00A22E9D">
        <w:rPr>
          <w:rStyle w:val="Heading3Char"/>
          <w:rFonts w:cs="Times New Roman"/>
        </w:rPr>
        <w:t>2.1</w:t>
      </w:r>
      <w:r w:rsidR="00020D73">
        <w:rPr>
          <w:rStyle w:val="Heading3Char"/>
          <w:rFonts w:cs="Times New Roman"/>
        </w:rPr>
        <w:t>0</w:t>
      </w:r>
      <w:r w:rsidRPr="00A22E9D">
        <w:rPr>
          <w:rStyle w:val="Heading3Char"/>
          <w:rFonts w:cs="Times New Roman"/>
        </w:rPr>
        <w:t xml:space="preserve"> </w:t>
      </w:r>
      <w:r w:rsidR="0064501A" w:rsidRPr="00A22E9D">
        <w:rPr>
          <w:rStyle w:val="Heading3Char"/>
          <w:rFonts w:cs="Times New Roman"/>
        </w:rPr>
        <w:t xml:space="preserve">In-vivo studies on </w:t>
      </w:r>
      <w:r w:rsidR="00990246" w:rsidRPr="00A22E9D">
        <w:rPr>
          <w:rStyle w:val="Heading3Char"/>
          <w:rFonts w:cs="Times New Roman"/>
        </w:rPr>
        <w:t>Plasmodium</w:t>
      </w:r>
      <w:r w:rsidR="0064501A" w:rsidRPr="00A22E9D">
        <w:rPr>
          <w:rStyle w:val="Heading3Char"/>
          <w:rFonts w:cs="Times New Roman"/>
        </w:rPr>
        <w:t xml:space="preserve"> infected mice</w:t>
      </w:r>
      <w:bookmarkEnd w:id="22"/>
      <w:r w:rsidR="0064501A" w:rsidRPr="00A22E9D">
        <w:rPr>
          <w:rFonts w:ascii="Times New Roman" w:hAnsi="Times New Roman" w:cs="Times New Roman"/>
          <w:sz w:val="24"/>
          <w:szCs w:val="24"/>
        </w:rPr>
        <w:t>.</w:t>
      </w:r>
    </w:p>
    <w:p w14:paraId="3838B69C" w14:textId="0D470510" w:rsidR="00F134E3" w:rsidRPr="00A22E9D" w:rsidRDefault="00734F27"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In vivo studies on Plasmodium-infected mice play a critical role in understanding the pathogenesis of malaria and evaluating the efficacy of potential antimalarial interventions</w:t>
      </w:r>
      <w:r w:rsidR="00C312F2" w:rsidRPr="00A22E9D">
        <w:rPr>
          <w:rFonts w:ascii="Times New Roman" w:hAnsi="Times New Roman" w:cs="Times New Roman"/>
          <w:sz w:val="24"/>
          <w:szCs w:val="24"/>
        </w:rPr>
        <w:t xml:space="preserve"> </w:t>
      </w:r>
      <w:r w:rsidR="00C312F2" w:rsidRPr="00A22E9D">
        <w:rPr>
          <w:rFonts w:ascii="Times New Roman" w:hAnsi="Times New Roman" w:cs="Times New Roman"/>
          <w:sz w:val="24"/>
          <w:szCs w:val="24"/>
        </w:rPr>
        <w:fldChar w:fldCharType="begin"/>
      </w:r>
      <w:r w:rsidR="00C312F2" w:rsidRPr="00A22E9D">
        <w:rPr>
          <w:rFonts w:ascii="Times New Roman" w:hAnsi="Times New Roman" w:cs="Times New Roman"/>
          <w:sz w:val="24"/>
          <w:szCs w:val="24"/>
        </w:rPr>
        <w:instrText xml:space="preserve"> ADDIN ZOTERO_ITEM CSL_CITATION {"citationID":"mb5wgvMh","properties":{"formattedCitation":"(Silva et al., 2015)","plainCitation":"(Silva et al., 2015)","noteIndex":0},"citationItems":[{"id":444,"uris":["http://zotero.org/users/local/BeK2zaGK/items/KUEDBR8S"],"itemData":{"id":444,"type":"article-journal","abstract":"Dendritic cells (DCs) are phagocytes that are highly specialized for antigen presentation. Heterogeneous populations of macrophages and DCs form a phagocyte network inside the red pulp (RP) of the spleen, which is a major site for the control of blood-borne infections such as malaria. However, the dynamics of splenic DCs during Plasmodium infections are poorly understood, limiting our knowledge regarding their protective role in malaria. Here, we used in vivo experimental approaches that enabled us to deplete or visualize DCs in order to clarify these issues. To elucidate the roles of DCs and marginal zone macrophages in the protection against blood-stage malaria, we infected DTx (diphtheria toxin)-treated C57BL/6.CD11c-DTR mice, as well as C57BL/6 mice treated with low doses of clodronate liposomes (ClLip), with Plasmodium chabaudi AS (Pc) parasites. The first evidence suggesting that DCs could contribute directly to parasite clearance was an early effect of the DTx treatment, but not of the ClLip treatment, in parasitemia control. DCs were also required for CD4+ T cell responses during infection. The phagocytosis of infected red blood cells (iRBCs) by splenic DCs was analyzed by confocal intravital microscopy, as well as by flow cytometry and immunofluorescence, at three distinct phases of Pc malaria: at the first encounter, at pre-crisis concomitant with parasitemia growth and at crisis when the parasitemia decline coincides with spleen closure. In vivo and ex vivo imaging of the spleen revealed that DCs actively phagocytize iRBCs and interact with CD4+ T cells both in T cell-rich areas and in the RP. Subcapsular RP DCs were highly efficient in the recognition and capture of iRBCs during pre-crisis, while complete DC maturation was only achieved during crisis. These findings indicate that, beyond their classical role in antigen presentation, DCs also contribute to the direct elimination of iRBCs during acute Plasmodium infection.","container-title":"PLOS Pathogens","DOI":"10.1371/journal.ppat.1004598","ISSN":"1553-7374","issue":"2","journalAbbreviation":"PLOS Pathogens","language":"en","note":"publisher: Public Library of Science","page":"e1004598","source":"PLoS Journals","title":"In Vivo Approaches Reveal a Key Role for DCs in CD4+ T Cell Activation and Parasite Clearance during the Acute Phase of Experimental Blood-Stage Malaria","volume":"11","author":[{"family":"Silva","given":"Henrique Borges","dropping-particle":"da"},{"family":"Fonseca","given":"Raíssa"},{"family":"Cassado","given":"Alexandra dos Anjos"},{"family":"Salles","given":"Érika Machado","dropping-particle":"de"},{"family":"Menezes","given":"Maria Nogueira","dropping-particle":"de"},{"family":"Langhorne","given":"Jean"},{"family":"Perez","given":"Katia Regina"},{"family":"Cuccovia","given":"Iolanda Midea"},{"family":"Ryffel","given":"Bernhard"},{"family":"Barreto","given":"Vasco M."},{"family":"Marinho","given":"Cláudio Romero Farias"},{"family":"Boscardin","given":"Silvia Beatriz"},{"family":"Álvarez","given":"José Maria"},{"family":"D’Império-Lima","given":"Maria Regina"},{"family":"Tadokoro","given":"Carlos Eduardo"}],"issued":{"date-parts":[["2015",2,6]]}}}],"schema":"https://github.com/citation-style-language/schema/raw/master/csl-citation.json"} </w:instrText>
      </w:r>
      <w:r w:rsidR="00C312F2" w:rsidRPr="00A22E9D">
        <w:rPr>
          <w:rFonts w:ascii="Times New Roman" w:hAnsi="Times New Roman" w:cs="Times New Roman"/>
          <w:sz w:val="24"/>
          <w:szCs w:val="24"/>
        </w:rPr>
        <w:fldChar w:fldCharType="separate"/>
      </w:r>
      <w:r w:rsidR="00C312F2" w:rsidRPr="00A22E9D">
        <w:rPr>
          <w:rFonts w:ascii="Times New Roman" w:hAnsi="Times New Roman" w:cs="Times New Roman"/>
          <w:sz w:val="24"/>
        </w:rPr>
        <w:t xml:space="preserve">(Silva </w:t>
      </w:r>
      <w:r w:rsidR="00F57D9D" w:rsidRPr="00F57D9D">
        <w:rPr>
          <w:rFonts w:ascii="Times New Roman" w:hAnsi="Times New Roman" w:cs="Times New Roman"/>
          <w:i/>
          <w:sz w:val="24"/>
        </w:rPr>
        <w:t>et al</w:t>
      </w:r>
      <w:r w:rsidR="00C312F2" w:rsidRPr="00A22E9D">
        <w:rPr>
          <w:rFonts w:ascii="Times New Roman" w:hAnsi="Times New Roman" w:cs="Times New Roman"/>
          <w:sz w:val="24"/>
        </w:rPr>
        <w:t>., 2015)</w:t>
      </w:r>
      <w:r w:rsidR="00C312F2"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These studies involve infecting mice with Plasmodium parasites, which allows researchers to observe the progression of the disease, assess the impact on various organs and tissues, and evaluate the effectiveness of different treatment strategies. Using mouse models is advantageous in the ability of mice to mimic certain aspects of human malaria infections, particularly those caused by Plasmodium species such as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 or Plasmodium </w:t>
      </w:r>
      <w:proofErr w:type="spellStart"/>
      <w:r w:rsidRPr="00A22E9D">
        <w:rPr>
          <w:rFonts w:ascii="Times New Roman" w:hAnsi="Times New Roman" w:cs="Times New Roman"/>
          <w:sz w:val="24"/>
          <w:szCs w:val="24"/>
        </w:rPr>
        <w:t>yoelii</w:t>
      </w:r>
      <w:proofErr w:type="spellEnd"/>
      <w:r w:rsidRPr="00A22E9D">
        <w:rPr>
          <w:rFonts w:ascii="Times New Roman" w:hAnsi="Times New Roman" w:cs="Times New Roman"/>
          <w:sz w:val="24"/>
          <w:szCs w:val="24"/>
        </w:rPr>
        <w:t>. These models allow researchers to investigate various aspects of the host-parasite interaction, including parasite growth, immune responses, and the development of clinical manifestations</w:t>
      </w:r>
      <w:r w:rsidR="00BF30ED" w:rsidRPr="00A22E9D">
        <w:rPr>
          <w:rFonts w:ascii="Times New Roman" w:hAnsi="Times New Roman" w:cs="Times New Roman"/>
          <w:sz w:val="24"/>
          <w:szCs w:val="24"/>
        </w:rPr>
        <w:t xml:space="preserve"> </w:t>
      </w:r>
      <w:r w:rsidR="00BF30ED" w:rsidRPr="00A22E9D">
        <w:rPr>
          <w:rFonts w:ascii="Times New Roman" w:hAnsi="Times New Roman" w:cs="Times New Roman"/>
          <w:sz w:val="24"/>
          <w:szCs w:val="24"/>
        </w:rPr>
        <w:fldChar w:fldCharType="begin"/>
      </w:r>
      <w:r w:rsidR="00BF30ED" w:rsidRPr="00A22E9D">
        <w:rPr>
          <w:rFonts w:ascii="Times New Roman" w:hAnsi="Times New Roman" w:cs="Times New Roman"/>
          <w:sz w:val="24"/>
          <w:szCs w:val="24"/>
        </w:rPr>
        <w:instrText xml:space="preserve"> ADDIN ZOTERO_ITEM CSL_CITATION {"citationID":"aNJYUjam","properties":{"formattedCitation":"(Langhorne et al., 2011)","plainCitation":"(Langhorne et al., 2011)","noteIndex":0},"citationItems":[{"id":446,"uris":["http://zotero.org/users/local/BeK2zaGK/items/ENUJIGA5"],"itemData":{"id":446,"type":"article-journal","abstract":"At the 2010 Keystone Symposium on \"Malaria: new approaches to understanding Host-Parasite interactions\", an extra scientific session to discuss animal models in malaria research was convened at the request of participants. This was prompted by the concern of investigators that skepticism in the malaria community about the use and relevance of animal models, particularly rodent models of severe malaria, has impacted on funding decisions and publication of research using animal models. Several speakers took the opportunity to demonstrate the similarities between findings in rodent models and human severe disease, as well as points of difference. The variety of malaria presentations in the different experimental models parallels the wide diversity of human malaria disease and, therefore, might be viewed as a strength. Many of the key features of human malaria can be replicated in a variety of nonhuman primate models, which are very under-utilized. The importance of animal models in the discovery of new anti-malarial drugs was emphasized. The major conclusions of the session were that experimental and human studies should be more closely linked so that they inform each other, and that there should be wider access to relevant clinical material.","container-title":"Malaria Journal","DOI":"10.1186/1475-2875-10-23","ISSN":"1475-2875","issue":"1","journalAbbreviation":"Malaria Journal","page":"23","source":"BioMed Central","title":"The relevance of non-human primate and rodent malaria models for humans","volume":"10","author":[{"family":"Langhorne","given":"Jean"},{"family":"Buffet","given":"Pierre"},{"family":"Galinski","given":"Mary"},{"family":"Good","given":"Michael"},{"family":"Harty","given":"John"},{"family":"Leroy","given":"Didier"},{"family":"Mota","given":"Maria M."},{"family":"Pasini","given":"Erica"},{"family":"Renia","given":"Laurent"},{"family":"Riley","given":"Eleanor"},{"family":"Stins","given":"Monique"},{"family":"Duffy","given":"Patrick"}],"issued":{"date-parts":[["2011",2,2]]}}}],"schema":"https://github.com/citation-style-language/schema/raw/master/csl-citation.json"} </w:instrText>
      </w:r>
      <w:r w:rsidR="00BF30ED" w:rsidRPr="00A22E9D">
        <w:rPr>
          <w:rFonts w:ascii="Times New Roman" w:hAnsi="Times New Roman" w:cs="Times New Roman"/>
          <w:sz w:val="24"/>
          <w:szCs w:val="24"/>
        </w:rPr>
        <w:fldChar w:fldCharType="separate"/>
      </w:r>
      <w:r w:rsidR="00BF30ED" w:rsidRPr="00A22E9D">
        <w:rPr>
          <w:rFonts w:ascii="Times New Roman" w:hAnsi="Times New Roman" w:cs="Times New Roman"/>
          <w:sz w:val="24"/>
        </w:rPr>
        <w:t xml:space="preserve">(Langhorne </w:t>
      </w:r>
      <w:r w:rsidR="00F57D9D" w:rsidRPr="00F57D9D">
        <w:rPr>
          <w:rFonts w:ascii="Times New Roman" w:hAnsi="Times New Roman" w:cs="Times New Roman"/>
          <w:i/>
          <w:sz w:val="24"/>
        </w:rPr>
        <w:t>et al</w:t>
      </w:r>
      <w:r w:rsidR="00BF30ED" w:rsidRPr="00A22E9D">
        <w:rPr>
          <w:rFonts w:ascii="Times New Roman" w:hAnsi="Times New Roman" w:cs="Times New Roman"/>
          <w:sz w:val="24"/>
        </w:rPr>
        <w:t>., 2011)</w:t>
      </w:r>
      <w:r w:rsidR="00BF30ED" w:rsidRPr="00A22E9D">
        <w:rPr>
          <w:rFonts w:ascii="Times New Roman" w:hAnsi="Times New Roman" w:cs="Times New Roman"/>
          <w:sz w:val="24"/>
          <w:szCs w:val="24"/>
        </w:rPr>
        <w:fldChar w:fldCharType="end"/>
      </w:r>
      <w:r w:rsidRPr="00A22E9D">
        <w:rPr>
          <w:rFonts w:ascii="Times New Roman" w:hAnsi="Times New Roman" w:cs="Times New Roman"/>
          <w:sz w:val="24"/>
          <w:szCs w:val="24"/>
        </w:rPr>
        <w:t>.</w:t>
      </w:r>
    </w:p>
    <w:p w14:paraId="0A58818B" w14:textId="21C2A246" w:rsidR="00BF30ED" w:rsidRPr="00A22E9D" w:rsidRDefault="00BF30ED"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In in</w:t>
      </w:r>
      <w:r w:rsidR="006D3FAC" w:rsidRPr="00A22E9D">
        <w:rPr>
          <w:rFonts w:ascii="Times New Roman" w:hAnsi="Times New Roman" w:cs="Times New Roman"/>
          <w:sz w:val="24"/>
          <w:szCs w:val="24"/>
        </w:rPr>
        <w:t>-</w:t>
      </w:r>
      <w:r w:rsidRPr="00A22E9D">
        <w:rPr>
          <w:rFonts w:ascii="Times New Roman" w:hAnsi="Times New Roman" w:cs="Times New Roman"/>
          <w:sz w:val="24"/>
          <w:szCs w:val="24"/>
        </w:rPr>
        <w:t>vivo studies, mice are typically infected with Plasmodium parasites either by injecting infected blood or by exposure to infected mosquito bites. The infection progresses, and the mice develop symptoms similar to human malaria, including fever, an</w:t>
      </w:r>
      <w:r w:rsidR="006D3FAC" w:rsidRPr="00A22E9D">
        <w:rPr>
          <w:rFonts w:ascii="Times New Roman" w:hAnsi="Times New Roman" w:cs="Times New Roman"/>
          <w:sz w:val="24"/>
          <w:szCs w:val="24"/>
        </w:rPr>
        <w:t>a</w:t>
      </w:r>
      <w:r w:rsidRPr="00A22E9D">
        <w:rPr>
          <w:rFonts w:ascii="Times New Roman" w:hAnsi="Times New Roman" w:cs="Times New Roman"/>
          <w:sz w:val="24"/>
          <w:szCs w:val="24"/>
        </w:rPr>
        <w:t>emia, and organ-specific complications. Throughout the study, various parameters are monitored, such as parasitaemia levels, survival rates, haematological changes, and histopathological alterations.</w:t>
      </w:r>
    </w:p>
    <w:p w14:paraId="0E44B0CC" w14:textId="434C2190" w:rsidR="00BF30ED" w:rsidRPr="00A22E9D" w:rsidRDefault="00BF30ED"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Parasitaemia levels, which indicate the percentage of infected red blood cells, are measured regularly to assess the effectiveness of interventions, such as antimalarial drugs or vaccines, in controlling or eliminating the parasites. Survival rates provide insights into the overall impact of the disease and the efficacy of therapeutic interventions in preventing mortality. H</w:t>
      </w:r>
      <w:r w:rsidR="006D3FAC" w:rsidRPr="00A22E9D">
        <w:rPr>
          <w:rFonts w:ascii="Times New Roman" w:hAnsi="Times New Roman" w:cs="Times New Roman"/>
          <w:sz w:val="24"/>
          <w:szCs w:val="24"/>
        </w:rPr>
        <w:t>a</w:t>
      </w:r>
      <w:r w:rsidRPr="00A22E9D">
        <w:rPr>
          <w:rFonts w:ascii="Times New Roman" w:hAnsi="Times New Roman" w:cs="Times New Roman"/>
          <w:sz w:val="24"/>
          <w:szCs w:val="24"/>
        </w:rPr>
        <w:t>ematological parameters, such as red blood cell count, h</w:t>
      </w:r>
      <w:r w:rsidR="006D3FAC" w:rsidRPr="00A22E9D">
        <w:rPr>
          <w:rFonts w:ascii="Times New Roman" w:hAnsi="Times New Roman" w:cs="Times New Roman"/>
          <w:sz w:val="24"/>
          <w:szCs w:val="24"/>
        </w:rPr>
        <w:t>a</w:t>
      </w:r>
      <w:r w:rsidRPr="00A22E9D">
        <w:rPr>
          <w:rFonts w:ascii="Times New Roman" w:hAnsi="Times New Roman" w:cs="Times New Roman"/>
          <w:sz w:val="24"/>
          <w:szCs w:val="24"/>
        </w:rPr>
        <w:t xml:space="preserve">emoglobin levels, and white blood </w:t>
      </w:r>
      <w:r w:rsidRPr="00A22E9D">
        <w:rPr>
          <w:rFonts w:ascii="Times New Roman" w:hAnsi="Times New Roman" w:cs="Times New Roman"/>
          <w:sz w:val="24"/>
          <w:szCs w:val="24"/>
        </w:rPr>
        <w:lastRenderedPageBreak/>
        <w:t>cell count, offer information about the impact of the infection on the host's blood composition and immune responses.</w:t>
      </w:r>
    </w:p>
    <w:p w14:paraId="04876A6E" w14:textId="631D953D" w:rsidR="0068085B" w:rsidRPr="00A22E9D" w:rsidRDefault="0068085B"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In-vivo studies on Plasmodium-infected mice also provide an opportunity to assess the efficacy of potential antimalarial drugs, vaccines, or other interventions</w:t>
      </w:r>
      <w:r w:rsidR="006400D6" w:rsidRPr="00A22E9D">
        <w:rPr>
          <w:rFonts w:ascii="Times New Roman" w:hAnsi="Times New Roman" w:cs="Times New Roman"/>
          <w:sz w:val="24"/>
          <w:szCs w:val="24"/>
        </w:rPr>
        <w:t xml:space="preserve"> </w:t>
      </w:r>
      <w:r w:rsidR="006400D6" w:rsidRPr="00A22E9D">
        <w:rPr>
          <w:rFonts w:ascii="Times New Roman" w:hAnsi="Times New Roman" w:cs="Times New Roman"/>
          <w:sz w:val="24"/>
          <w:szCs w:val="24"/>
        </w:rPr>
        <w:fldChar w:fldCharType="begin"/>
      </w:r>
      <w:r w:rsidR="006400D6" w:rsidRPr="00A22E9D">
        <w:rPr>
          <w:rFonts w:ascii="Times New Roman" w:hAnsi="Times New Roman" w:cs="Times New Roman"/>
          <w:sz w:val="24"/>
          <w:szCs w:val="24"/>
        </w:rPr>
        <w:instrText xml:space="preserve"> ADDIN ZOTERO_ITEM CSL_CITATION {"citationID":"5I2lu7IS","properties":{"formattedCitation":"(Aguiar et al., 2012)","plainCitation":"(Aguiar et al., 2012)","noteIndex":0},"citationItems":[{"id":448,"uris":["http://zotero.org/users/local/BeK2zaGK/items/7RQQQCZH"],"itemData":{"id":448,"type":"article-journal","abstract":"Malaria remains a major world health problem following the emergence and spread of Plasmodium falciparum that is resistant to the majority of antimalarial drugs. This problem has since been aggravated by a decreased sensitivity of Plasmodium vivax to chloroquine. This review discusses strategies for evaluating the antimalarial activity of new compounds in vitro and in animal models ranging from conventional tests to the latest high-throughput screening technologies. Antimalarial discovery approaches include the following: the discovery of antimalarials from natural sources, chemical modifications of existing antimalarials, the development of hybrid compounds, testing of commercially available drugs that have been approved for human use for other diseases and molecular modelling using virtual screening technology and docking. Using these approaches, thousands of new drugs with known molecular specificity and active against P. falciparum have been selected. The inhibition of haemozoin formation in vitro, an indirect test that does not require P. falciparum cultures, has been described and this test is believed to improve antimalarial drug discovery. Clinical trials conducted with new funds from international agencies and the participation of several industries committed to the eradication of malaria should accelerate the discovery of drugs that are as effective as artemisinin derivatives, thus providing new hope for the control of malaria.","container-title":"Memórias do Instituto Oswaldo Cruz","DOI":"10.1590/S0074-02762012000700001","ISSN":"0074-0276, 1678-8060","journalAbbreviation":"Mem. Inst. Oswaldo Cruz","language":"en","note":"publisher: Instituto Oswaldo Cruz, Ministério da Saúde","page":"831-845","source":"SciELO","title":"New approaches in antimalarial drug discovery and development: a review","title-short":"New approaches in antimalarial drug discovery and development","volume":"107","author":[{"family":"Aguiar","given":"Anna Caroline C."},{"family":"Rocha","given":"Eliana MM","dropping-particle":"da"},{"family":"Souza","given":"Nicolli B.","dropping-particle":"de"},{"family":"França","given":"Tanos CC"},{"family":"Krettli","given":"Antoniana U."}],"issued":{"date-parts":[["2012",11]]}}}],"schema":"https://github.com/citation-style-language/schema/raw/master/csl-citation.json"} </w:instrText>
      </w:r>
      <w:r w:rsidR="006400D6" w:rsidRPr="00A22E9D">
        <w:rPr>
          <w:rFonts w:ascii="Times New Roman" w:hAnsi="Times New Roman" w:cs="Times New Roman"/>
          <w:sz w:val="24"/>
          <w:szCs w:val="24"/>
        </w:rPr>
        <w:fldChar w:fldCharType="separate"/>
      </w:r>
      <w:r w:rsidR="006400D6" w:rsidRPr="00A22E9D">
        <w:rPr>
          <w:rFonts w:ascii="Times New Roman" w:hAnsi="Times New Roman" w:cs="Times New Roman"/>
          <w:sz w:val="24"/>
        </w:rPr>
        <w:t xml:space="preserve">(Aguiar </w:t>
      </w:r>
      <w:r w:rsidR="00F57D9D" w:rsidRPr="00F57D9D">
        <w:rPr>
          <w:rFonts w:ascii="Times New Roman" w:hAnsi="Times New Roman" w:cs="Times New Roman"/>
          <w:i/>
          <w:sz w:val="24"/>
        </w:rPr>
        <w:t>et al</w:t>
      </w:r>
      <w:r w:rsidR="006400D6" w:rsidRPr="00A22E9D">
        <w:rPr>
          <w:rFonts w:ascii="Times New Roman" w:hAnsi="Times New Roman" w:cs="Times New Roman"/>
          <w:sz w:val="24"/>
        </w:rPr>
        <w:t>., 2012)</w:t>
      </w:r>
      <w:r w:rsidR="006400D6" w:rsidRPr="00A22E9D">
        <w:rPr>
          <w:rFonts w:ascii="Times New Roman" w:hAnsi="Times New Roman" w:cs="Times New Roman"/>
          <w:sz w:val="24"/>
          <w:szCs w:val="24"/>
        </w:rPr>
        <w:fldChar w:fldCharType="end"/>
      </w:r>
      <w:r w:rsidRPr="00A22E9D">
        <w:rPr>
          <w:rFonts w:ascii="Times New Roman" w:hAnsi="Times New Roman" w:cs="Times New Roman"/>
          <w:sz w:val="24"/>
          <w:szCs w:val="24"/>
        </w:rPr>
        <w:t>. Mice can be treated with different antimalarial compounds, and their effect on parasit</w:t>
      </w:r>
      <w:r w:rsidR="006400D6" w:rsidRPr="00A22E9D">
        <w:rPr>
          <w:rFonts w:ascii="Times New Roman" w:hAnsi="Times New Roman" w:cs="Times New Roman"/>
          <w:sz w:val="24"/>
          <w:szCs w:val="24"/>
        </w:rPr>
        <w:t>a</w:t>
      </w:r>
      <w:r w:rsidRPr="00A22E9D">
        <w:rPr>
          <w:rFonts w:ascii="Times New Roman" w:hAnsi="Times New Roman" w:cs="Times New Roman"/>
          <w:sz w:val="24"/>
          <w:szCs w:val="24"/>
        </w:rPr>
        <w:t>emia levels, survival rates, and histopathological changes can be evaluated. These studies contribute to the preclinical evaluation of candidate drugs or interventions and aid in the selection of promising candidates for further development.</w:t>
      </w:r>
    </w:p>
    <w:p w14:paraId="3C63C887" w14:textId="0F7C752D" w:rsidR="00E26830" w:rsidRPr="00A22E9D" w:rsidRDefault="0068085B"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However, </w:t>
      </w:r>
      <w:r w:rsidR="006400D6" w:rsidRPr="00A22E9D">
        <w:rPr>
          <w:rFonts w:ascii="Times New Roman" w:hAnsi="Times New Roman" w:cs="Times New Roman"/>
          <w:sz w:val="24"/>
          <w:szCs w:val="24"/>
        </w:rPr>
        <w:t xml:space="preserve">there are certain </w:t>
      </w:r>
      <w:r w:rsidRPr="00A22E9D">
        <w:rPr>
          <w:rFonts w:ascii="Times New Roman" w:hAnsi="Times New Roman" w:cs="Times New Roman"/>
          <w:sz w:val="24"/>
          <w:szCs w:val="24"/>
        </w:rPr>
        <w:t>limitations of mouse models in fully recapitulating the complexities of human malaria. Differences in immune responses, parasite species, and pathophysiological mechanisms between mice and humans should be considered when interpreting the results.</w:t>
      </w:r>
      <w:r w:rsidR="006400D6" w:rsidRPr="00A22E9D">
        <w:rPr>
          <w:rFonts w:ascii="Times New Roman" w:hAnsi="Times New Roman" w:cs="Times New Roman"/>
          <w:sz w:val="24"/>
          <w:szCs w:val="24"/>
        </w:rPr>
        <w:t xml:space="preserve"> Hence</w:t>
      </w:r>
      <w:r w:rsidRPr="00A22E9D">
        <w:rPr>
          <w:rFonts w:ascii="Times New Roman" w:hAnsi="Times New Roman" w:cs="Times New Roman"/>
          <w:sz w:val="24"/>
          <w:szCs w:val="24"/>
        </w:rPr>
        <w:t xml:space="preserve">, </w:t>
      </w:r>
      <w:r w:rsidR="006400D6" w:rsidRPr="00A22E9D">
        <w:rPr>
          <w:rFonts w:ascii="Times New Roman" w:hAnsi="Times New Roman" w:cs="Times New Roman"/>
          <w:sz w:val="24"/>
          <w:szCs w:val="24"/>
        </w:rPr>
        <w:t xml:space="preserve">the </w:t>
      </w:r>
      <w:r w:rsidRPr="00A22E9D">
        <w:rPr>
          <w:rFonts w:ascii="Times New Roman" w:hAnsi="Times New Roman" w:cs="Times New Roman"/>
          <w:sz w:val="24"/>
          <w:szCs w:val="24"/>
        </w:rPr>
        <w:t>findings from in</w:t>
      </w:r>
      <w:r w:rsidR="006400D6" w:rsidRPr="00A22E9D">
        <w:rPr>
          <w:rFonts w:ascii="Times New Roman" w:hAnsi="Times New Roman" w:cs="Times New Roman"/>
          <w:sz w:val="24"/>
          <w:szCs w:val="24"/>
        </w:rPr>
        <w:t>-</w:t>
      </w:r>
      <w:r w:rsidRPr="00A22E9D">
        <w:rPr>
          <w:rFonts w:ascii="Times New Roman" w:hAnsi="Times New Roman" w:cs="Times New Roman"/>
          <w:sz w:val="24"/>
          <w:szCs w:val="24"/>
        </w:rPr>
        <w:t>vivo studies in mice should be corroborated with human studies and other relevant models to validate their translational relevance</w:t>
      </w:r>
      <w:r w:rsidR="006400D6" w:rsidRPr="00A22E9D">
        <w:rPr>
          <w:rFonts w:ascii="Times New Roman" w:hAnsi="Times New Roman" w:cs="Times New Roman"/>
          <w:sz w:val="24"/>
          <w:szCs w:val="24"/>
        </w:rPr>
        <w:t xml:space="preserve"> especially in drug development for humans </w:t>
      </w:r>
      <w:r w:rsidR="006400D6" w:rsidRPr="00A22E9D">
        <w:rPr>
          <w:rFonts w:ascii="Times New Roman" w:hAnsi="Times New Roman" w:cs="Times New Roman"/>
          <w:sz w:val="24"/>
          <w:szCs w:val="24"/>
        </w:rPr>
        <w:fldChar w:fldCharType="begin"/>
      </w:r>
      <w:r w:rsidR="006400D6" w:rsidRPr="00A22E9D">
        <w:rPr>
          <w:rFonts w:ascii="Times New Roman" w:hAnsi="Times New Roman" w:cs="Times New Roman"/>
          <w:sz w:val="24"/>
          <w:szCs w:val="24"/>
        </w:rPr>
        <w:instrText xml:space="preserve"> ADDIN ZOTERO_ITEM CSL_CITATION {"citationID":"9IxzgySf","properties":{"formattedCitation":"(Chu et al., 2013)","plainCitation":"(Chu et al., 2013)","noteIndex":0},"citationItems":[{"id":449,"uris":["http://zotero.org/users/local/BeK2zaGK/items/Z2USIFWM"],"itemData":{"id":449,"type":"article-journal","abstract":"Introduction: Drug transporters play an important role in the absorption, distribution, and excretion (ADE) of many drugs. In the last several years it has become increasingly clear that there are significant differences between rodents, dog, monkey, and human in the substrate specificity, tissue distribution, and relative abundance of transporters. These differences complicate cross-species extrapolations, which is important when attempting to predict human pharmacokinetics (PK) of drug candidates and assess risk for drug–drug interactions (DDIs). Areas covered: This article provides an overview of species differences for the major transporters involved in drug disposition. Specifically, the article looks at a number of efflux and uptake transporters including multidrug resistance protein MDR1 P-glycoprotein (Pgp), breast cancer resistance protein (BCRP), multidrug resistance proteins (MRPs), members of the multidrug resistance and toxic extrusion protein (MATE) family, as well as members of organic anion transporting polypeptides (OATPs), organic anion transporters (OATs), and organic cation transporters (OCTs). Expert opinion: Quantitative knowledge of species differences of transporters, especially at the protein and functional level is still limited. The current challenge is to extrapolate and integrate data from both preclinical species and humans to quantitatively predict the impact of transporters on drug absorption, disposition, and drug–drug interactions. Increased understanding of species differences in transporter expression and functional activity is needed in order to translate findings from preclinical species to humans. Ultimately, high quality in vitro and in vivo data will aid in the establishment of physiologically based pharmacokinetic (PBPK) models, which will improve the capability to predict PK characteristics of drug candidates in humans.","container-title":"Expert Opinion on Drug Metabolism &amp; Toxicology","DOI":"10.1517/17425255.2013.741589","ISSN":"1742-5255","issue":"3","note":"publisher: Taylor &amp; Francis\n_eprint: https://doi.org/10.1517/17425255.2013.741589\nPMID: 23256482","page":"237-252","source":"Taylor and Francis+NEJM","title":"Species differences in drug transporters and implications for translating preclinical findings to humans","volume":"9","author":[{"family":"Chu","given":"Xiaoyan"},{"family":"Bleasby","given":"Kelly"},{"family":"Evers","given":"Raymond"}],"issued":{"date-parts":[["2013",3,1]]}}}],"schema":"https://github.com/citation-style-language/schema/raw/master/csl-citation.json"} </w:instrText>
      </w:r>
      <w:r w:rsidR="006400D6" w:rsidRPr="00A22E9D">
        <w:rPr>
          <w:rFonts w:ascii="Times New Roman" w:hAnsi="Times New Roman" w:cs="Times New Roman"/>
          <w:sz w:val="24"/>
          <w:szCs w:val="24"/>
        </w:rPr>
        <w:fldChar w:fldCharType="separate"/>
      </w:r>
      <w:r w:rsidR="006400D6" w:rsidRPr="00A22E9D">
        <w:rPr>
          <w:rFonts w:ascii="Times New Roman" w:hAnsi="Times New Roman" w:cs="Times New Roman"/>
          <w:sz w:val="24"/>
        </w:rPr>
        <w:t xml:space="preserve">(Chu </w:t>
      </w:r>
      <w:r w:rsidR="00F57D9D" w:rsidRPr="00F57D9D">
        <w:rPr>
          <w:rFonts w:ascii="Times New Roman" w:hAnsi="Times New Roman" w:cs="Times New Roman"/>
          <w:i/>
          <w:sz w:val="24"/>
        </w:rPr>
        <w:t>et al</w:t>
      </w:r>
      <w:r w:rsidR="006400D6" w:rsidRPr="00A22E9D">
        <w:rPr>
          <w:rFonts w:ascii="Times New Roman" w:hAnsi="Times New Roman" w:cs="Times New Roman"/>
          <w:sz w:val="24"/>
        </w:rPr>
        <w:t>., 2013)</w:t>
      </w:r>
      <w:r w:rsidR="006400D6" w:rsidRPr="00A22E9D">
        <w:rPr>
          <w:rFonts w:ascii="Times New Roman" w:hAnsi="Times New Roman" w:cs="Times New Roman"/>
          <w:sz w:val="24"/>
          <w:szCs w:val="24"/>
        </w:rPr>
        <w:fldChar w:fldCharType="end"/>
      </w:r>
      <w:r w:rsidRPr="00A22E9D">
        <w:rPr>
          <w:rFonts w:ascii="Times New Roman" w:hAnsi="Times New Roman" w:cs="Times New Roman"/>
          <w:sz w:val="24"/>
          <w:szCs w:val="24"/>
        </w:rPr>
        <w:t>.</w:t>
      </w:r>
      <w:r w:rsidR="00E26830" w:rsidRPr="00A22E9D">
        <w:rPr>
          <w:rFonts w:ascii="Times New Roman" w:hAnsi="Times New Roman" w:cs="Times New Roman"/>
          <w:sz w:val="24"/>
          <w:szCs w:val="24"/>
        </w:rPr>
        <w:br w:type="page"/>
      </w:r>
    </w:p>
    <w:p w14:paraId="04517481" w14:textId="6EBCEBC3" w:rsidR="004A646F" w:rsidRPr="00A22E9D" w:rsidRDefault="004A646F" w:rsidP="00CA4B8F">
      <w:pPr>
        <w:pStyle w:val="Heading1"/>
        <w:spacing w:line="480" w:lineRule="auto"/>
        <w:rPr>
          <w:rFonts w:cs="Times New Roman"/>
        </w:rPr>
      </w:pPr>
      <w:bookmarkStart w:id="23" w:name="_Toc145500382"/>
      <w:r w:rsidRPr="00A22E9D">
        <w:rPr>
          <w:rFonts w:cs="Times New Roman"/>
        </w:rPr>
        <w:lastRenderedPageBreak/>
        <w:t>CHAPTER THREE</w:t>
      </w:r>
      <w:bookmarkEnd w:id="23"/>
    </w:p>
    <w:p w14:paraId="5863B73C" w14:textId="3EB1D38F" w:rsidR="004A646F" w:rsidRPr="00A22E9D" w:rsidRDefault="004A646F" w:rsidP="00CA4B8F">
      <w:pPr>
        <w:pStyle w:val="Heading2"/>
        <w:spacing w:line="480" w:lineRule="auto"/>
        <w:rPr>
          <w:rFonts w:cs="Times New Roman"/>
        </w:rPr>
      </w:pPr>
      <w:bookmarkStart w:id="24" w:name="_Toc145500383"/>
      <w:r w:rsidRPr="00A22E9D">
        <w:rPr>
          <w:rFonts w:cs="Times New Roman"/>
        </w:rPr>
        <w:t>MATERIALS AND METHOD</w:t>
      </w:r>
      <w:bookmarkEnd w:id="24"/>
    </w:p>
    <w:p w14:paraId="027D57C8" w14:textId="72EE5B98" w:rsidR="004A646F" w:rsidRPr="00A22E9D" w:rsidRDefault="00B25401" w:rsidP="00CA4B8F">
      <w:pPr>
        <w:pStyle w:val="Heading3"/>
        <w:spacing w:line="480" w:lineRule="auto"/>
        <w:rPr>
          <w:rFonts w:cs="Times New Roman"/>
        </w:rPr>
      </w:pPr>
      <w:bookmarkStart w:id="25" w:name="_Toc145500384"/>
      <w:r w:rsidRPr="00A22E9D">
        <w:rPr>
          <w:rFonts w:cs="Times New Roman"/>
        </w:rPr>
        <w:t xml:space="preserve">3.1 </w:t>
      </w:r>
      <w:r w:rsidR="004A646F" w:rsidRPr="00A22E9D">
        <w:rPr>
          <w:rStyle w:val="Heading3Char"/>
          <w:rFonts w:cs="Times New Roman"/>
          <w:b/>
          <w:bCs/>
        </w:rPr>
        <w:t>Synthesis of</w:t>
      </w:r>
      <w:r w:rsidR="006B3A29" w:rsidRPr="00A22E9D">
        <w:rPr>
          <w:rStyle w:val="Heading3Char"/>
          <w:rFonts w:cs="Times New Roman"/>
        </w:rPr>
        <w:t xml:space="preserve"> </w:t>
      </w:r>
      <w:r w:rsidR="00B749EC" w:rsidRPr="00A22E9D">
        <w:rPr>
          <w:rFonts w:cs="Times New Roman"/>
        </w:rPr>
        <w:t>ARYLIDENE HYDRAZINYL INDENOIMIDAZOLES (AHI)</w:t>
      </w:r>
      <w:bookmarkEnd w:id="25"/>
    </w:p>
    <w:p w14:paraId="5044F1B3" w14:textId="07A87EC0" w:rsidR="006272AF" w:rsidRPr="00A22E9D" w:rsidRDefault="001745F3"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All the chemicals and the reagents used were of synthetic and analytical grades. Aromatic aldehyde was added to an equimolar amount of the </w:t>
      </w:r>
      <w:proofErr w:type="spellStart"/>
      <w:r w:rsidRPr="00A22E9D">
        <w:rPr>
          <w:rFonts w:ascii="Times New Roman" w:hAnsi="Times New Roman" w:cs="Times New Roman"/>
          <w:sz w:val="24"/>
          <w:szCs w:val="24"/>
        </w:rPr>
        <w:t>thiosemizarbazide</w:t>
      </w:r>
      <w:proofErr w:type="spellEnd"/>
      <w:r w:rsidRPr="00A22E9D">
        <w:rPr>
          <w:rFonts w:ascii="Times New Roman" w:hAnsi="Times New Roman" w:cs="Times New Roman"/>
          <w:sz w:val="24"/>
          <w:szCs w:val="24"/>
        </w:rPr>
        <w:t xml:space="preserve"> in a 250 mL beaker and 10 mL of ethanol added as solvent. 3 drops of conc</w:t>
      </w:r>
      <w:r w:rsidR="009317DD" w:rsidRPr="00A22E9D">
        <w:rPr>
          <w:rFonts w:ascii="Times New Roman" w:hAnsi="Times New Roman" w:cs="Times New Roman"/>
          <w:sz w:val="24"/>
          <w:szCs w:val="24"/>
        </w:rPr>
        <w:t>entrated</w:t>
      </w:r>
      <w:r w:rsidRPr="00A22E9D">
        <w:rPr>
          <w:rFonts w:ascii="Times New Roman" w:hAnsi="Times New Roman" w:cs="Times New Roman"/>
          <w:sz w:val="24"/>
          <w:szCs w:val="24"/>
        </w:rPr>
        <w:t xml:space="preserve"> HCl was added for catalysis and the resulting mixture was microwave irradiated for 60 secs after which the resulting clear solution was left to stand on the bench for 24 hours. The solid precip</w:t>
      </w:r>
      <w:r w:rsidR="00FB2E69" w:rsidRPr="00A22E9D">
        <w:rPr>
          <w:rFonts w:ascii="Times New Roman" w:hAnsi="Times New Roman" w:cs="Times New Roman"/>
          <w:sz w:val="24"/>
          <w:szCs w:val="24"/>
        </w:rPr>
        <w:t>it</w:t>
      </w:r>
      <w:r w:rsidRPr="00A22E9D">
        <w:rPr>
          <w:rFonts w:ascii="Times New Roman" w:hAnsi="Times New Roman" w:cs="Times New Roman"/>
          <w:sz w:val="24"/>
          <w:szCs w:val="24"/>
        </w:rPr>
        <w:t>ate formed after leaving to stand was filtered, weighed and the melting point determined. The synthesized thiosemicarbazones were submitted for spectroscopic analysis. The thiosemicarbazones were added to an equimolar amount of ninhydrin in acidified ethanol and stirred for 24 hours at room temperature (until all the ninhydrin</w:t>
      </w:r>
      <w:r w:rsidR="006630E6" w:rsidRPr="00A22E9D">
        <w:rPr>
          <w:rFonts w:ascii="Times New Roman" w:hAnsi="Times New Roman" w:cs="Times New Roman"/>
          <w:sz w:val="24"/>
          <w:szCs w:val="24"/>
        </w:rPr>
        <w:t xml:space="preserve"> </w:t>
      </w:r>
      <w:r w:rsidRPr="00A22E9D">
        <w:rPr>
          <w:rFonts w:ascii="Times New Roman" w:hAnsi="Times New Roman" w:cs="Times New Roman"/>
          <w:sz w:val="24"/>
          <w:szCs w:val="24"/>
        </w:rPr>
        <w:t>reacted completely). The reaction was monitored using Thin Layer Chromatography. At the end of the reaction the reaction mixture was filtered to afford the yellow-orange coloured solid product which was air dried and the melting point determined.</w:t>
      </w:r>
      <w:r w:rsidR="006B3A29" w:rsidRPr="00A22E9D">
        <w:rPr>
          <w:rFonts w:ascii="Times New Roman" w:hAnsi="Times New Roman" w:cs="Times New Roman"/>
          <w:sz w:val="24"/>
          <w:szCs w:val="24"/>
        </w:rPr>
        <w:t xml:space="preserve"> The synthesized compounds were submitted for spectroscopic analysis.</w:t>
      </w:r>
      <w:r w:rsidR="00D2173B" w:rsidRPr="00A22E9D">
        <w:rPr>
          <w:rFonts w:ascii="Times New Roman" w:hAnsi="Times New Roman" w:cs="Times New Roman"/>
          <w:sz w:val="24"/>
          <w:szCs w:val="24"/>
        </w:rPr>
        <w:t xml:space="preserve"> From the compound which was synthesized, the compound ‘(E)-3-((2,4-</w:t>
      </w:r>
      <w:proofErr w:type="gramStart"/>
      <w:r w:rsidR="00D2173B" w:rsidRPr="00A22E9D">
        <w:rPr>
          <w:rFonts w:ascii="Times New Roman" w:hAnsi="Times New Roman" w:cs="Times New Roman"/>
          <w:sz w:val="24"/>
          <w:szCs w:val="24"/>
        </w:rPr>
        <w:t>dihydroxybenzylidene)amino</w:t>
      </w:r>
      <w:proofErr w:type="gramEnd"/>
      <w:r w:rsidR="00D2173B" w:rsidRPr="00A22E9D">
        <w:rPr>
          <w:rFonts w:ascii="Times New Roman" w:hAnsi="Times New Roman" w:cs="Times New Roman"/>
          <w:sz w:val="24"/>
          <w:szCs w:val="24"/>
        </w:rPr>
        <w:t>)-3a,8a-dihydroxyl-2-thioxo-1,3,3a,8a-tetrahydroindeno[1,2-d]imidazol-8(2H)-one’ was then chosen for this study.</w:t>
      </w:r>
    </w:p>
    <w:p w14:paraId="6685C80F" w14:textId="58E79D81" w:rsidR="002344CC" w:rsidRPr="00A22E9D" w:rsidRDefault="007D07E2" w:rsidP="00CA4B8F">
      <w:pPr>
        <w:keepNext/>
        <w:spacing w:line="480" w:lineRule="auto"/>
        <w:jc w:val="both"/>
        <w:rPr>
          <w:rFonts w:ascii="Times New Roman" w:hAnsi="Times New Roman" w:cs="Times New Roman"/>
          <w:sz w:val="24"/>
          <w:szCs w:val="24"/>
        </w:rPr>
      </w:pPr>
      <w:r w:rsidRPr="00A22E9D">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489238AD" wp14:editId="6D93B781">
                <wp:simplePos x="0" y="0"/>
                <wp:positionH relativeFrom="column">
                  <wp:posOffset>-219075</wp:posOffset>
                </wp:positionH>
                <wp:positionV relativeFrom="paragraph">
                  <wp:posOffset>-142875</wp:posOffset>
                </wp:positionV>
                <wp:extent cx="5295900" cy="5648325"/>
                <wp:effectExtent l="0" t="0" r="19050" b="28575"/>
                <wp:wrapNone/>
                <wp:docPr id="1354446696" name="Rectangle 1"/>
                <wp:cNvGraphicFramePr/>
                <a:graphic xmlns:a="http://schemas.openxmlformats.org/drawingml/2006/main">
                  <a:graphicData uri="http://schemas.microsoft.com/office/word/2010/wordprocessingShape">
                    <wps:wsp>
                      <wps:cNvSpPr/>
                      <wps:spPr>
                        <a:xfrm>
                          <a:off x="0" y="0"/>
                          <a:ext cx="5295900" cy="5648325"/>
                        </a:xfrm>
                        <a:prstGeom prst="rect">
                          <a:avLst/>
                        </a:prstGeom>
                        <a:noFill/>
                      </wps:spPr>
                      <wps:style>
                        <a:lnRef idx="1">
                          <a:schemeClr val="accent4"/>
                        </a:lnRef>
                        <a:fillRef idx="1003">
                          <a:schemeClr val="dk1"/>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E3A35" id="Rectangle 1" o:spid="_x0000_s1026" style="position:absolute;margin-left:-17.25pt;margin-top:-11.25pt;width:417pt;height:44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" filled="f" strokecolor="#ffc000 [3207]" strokeweight=".5pt"/>
            </w:pict>
          </mc:Fallback>
        </mc:AlternateContent>
      </w:r>
      <w:r w:rsidR="002344CC" w:rsidRPr="00A22E9D">
        <w:rPr>
          <w:rFonts w:ascii="Times New Roman" w:hAnsi="Times New Roman" w:cs="Times New Roman"/>
          <w:noProof/>
          <w:sz w:val="24"/>
          <w:szCs w:val="24"/>
        </w:rPr>
        <mc:AlternateContent>
          <mc:Choice Requires="wpg">
            <w:drawing>
              <wp:inline distT="0" distB="0" distL="0" distR="0" wp14:anchorId="7A9AC6DB" wp14:editId="4A0040BE">
                <wp:extent cx="4933950" cy="5304021"/>
                <wp:effectExtent l="0" t="0" r="0" b="0"/>
                <wp:docPr id="1003" name="Group 1003"/>
                <wp:cNvGraphicFramePr/>
                <a:graphic xmlns:a="http://schemas.openxmlformats.org/drawingml/2006/main">
                  <a:graphicData uri="http://schemas.microsoft.com/office/word/2010/wordprocessingGroup">
                    <wpg:wgp>
                      <wpg:cNvGrpSpPr/>
                      <wpg:grpSpPr>
                        <a:xfrm>
                          <a:off x="0" y="0"/>
                          <a:ext cx="4933950" cy="5304021"/>
                          <a:chOff x="0" y="0"/>
                          <a:chExt cx="1522308" cy="2145197"/>
                        </a:xfrm>
                      </wpg:grpSpPr>
                      <wps:wsp>
                        <wps:cNvPr id="144" name="Shape 144"/>
                        <wps:cNvSpPr/>
                        <wps:spPr>
                          <a:xfrm>
                            <a:off x="860" y="1517088"/>
                            <a:ext cx="12107" cy="265502"/>
                          </a:xfrm>
                          <a:custGeom>
                            <a:avLst/>
                            <a:gdLst/>
                            <a:ahLst/>
                            <a:cxnLst/>
                            <a:rect l="0" t="0" r="0" b="0"/>
                            <a:pathLst>
                              <a:path w="12107" h="265502">
                                <a:moveTo>
                                  <a:pt x="6054" y="0"/>
                                </a:moveTo>
                                <a:cubicBezTo>
                                  <a:pt x="9397" y="0"/>
                                  <a:pt x="12107" y="2724"/>
                                  <a:pt x="12107" y="6080"/>
                                </a:cubicBezTo>
                                <a:lnTo>
                                  <a:pt x="12107" y="259422"/>
                                </a:lnTo>
                                <a:cubicBezTo>
                                  <a:pt x="12107" y="262779"/>
                                  <a:pt x="9397" y="265502"/>
                                  <a:pt x="6054" y="265502"/>
                                </a:cubicBezTo>
                                <a:cubicBezTo>
                                  <a:pt x="2710" y="265502"/>
                                  <a:pt x="0" y="262779"/>
                                  <a:pt x="0" y="259422"/>
                                </a:cubicBezTo>
                                <a:lnTo>
                                  <a:pt x="0" y="6080"/>
                                </a:lnTo>
                                <a:cubicBezTo>
                                  <a:pt x="0" y="2724"/>
                                  <a:pt x="2710" y="0"/>
                                  <a:pt x="60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32390" y="1535380"/>
                            <a:ext cx="12107" cy="228933"/>
                          </a:xfrm>
                          <a:custGeom>
                            <a:avLst/>
                            <a:gdLst/>
                            <a:ahLst/>
                            <a:cxnLst/>
                            <a:rect l="0" t="0" r="0" b="0"/>
                            <a:pathLst>
                              <a:path w="12107" h="228933">
                                <a:moveTo>
                                  <a:pt x="6054" y="0"/>
                                </a:moveTo>
                                <a:cubicBezTo>
                                  <a:pt x="9397" y="0"/>
                                  <a:pt x="12107" y="2724"/>
                                  <a:pt x="12107" y="6080"/>
                                </a:cubicBezTo>
                                <a:lnTo>
                                  <a:pt x="12107" y="222853"/>
                                </a:lnTo>
                                <a:cubicBezTo>
                                  <a:pt x="12107" y="226209"/>
                                  <a:pt x="9397" y="228933"/>
                                  <a:pt x="6054" y="228933"/>
                                </a:cubicBezTo>
                                <a:cubicBezTo>
                                  <a:pt x="2710" y="228933"/>
                                  <a:pt x="0" y="226209"/>
                                  <a:pt x="0" y="222853"/>
                                </a:cubicBezTo>
                                <a:lnTo>
                                  <a:pt x="0" y="6080"/>
                                </a:lnTo>
                                <a:cubicBezTo>
                                  <a:pt x="0" y="2724"/>
                                  <a:pt x="2710" y="0"/>
                                  <a:pt x="60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0" y="1769569"/>
                            <a:ext cx="232271" cy="140567"/>
                          </a:xfrm>
                          <a:custGeom>
                            <a:avLst/>
                            <a:gdLst/>
                            <a:ahLst/>
                            <a:cxnLst/>
                            <a:rect l="0" t="0" r="0" b="0"/>
                            <a:pathLst>
                              <a:path w="232271" h="140567">
                                <a:moveTo>
                                  <a:pt x="9941" y="1685"/>
                                </a:moveTo>
                                <a:lnTo>
                                  <a:pt x="228386" y="128356"/>
                                </a:lnTo>
                                <a:cubicBezTo>
                                  <a:pt x="231287" y="130028"/>
                                  <a:pt x="232271" y="133752"/>
                                  <a:pt x="230606" y="136653"/>
                                </a:cubicBezTo>
                                <a:cubicBezTo>
                                  <a:pt x="228928" y="139567"/>
                                  <a:pt x="225233" y="140567"/>
                                  <a:pt x="222332" y="138882"/>
                                </a:cubicBezTo>
                                <a:lnTo>
                                  <a:pt x="3887" y="12211"/>
                                </a:lnTo>
                                <a:cubicBezTo>
                                  <a:pt x="991" y="10526"/>
                                  <a:pt x="0" y="6815"/>
                                  <a:pt x="1671" y="3901"/>
                                </a:cubicBezTo>
                                <a:cubicBezTo>
                                  <a:pt x="3343" y="1001"/>
                                  <a:pt x="7045" y="0"/>
                                  <a:pt x="9941" y="168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218448" y="1769569"/>
                            <a:ext cx="232274" cy="140567"/>
                          </a:xfrm>
                          <a:custGeom>
                            <a:avLst/>
                            <a:gdLst/>
                            <a:ahLst/>
                            <a:cxnLst/>
                            <a:rect l="0" t="0" r="0" b="0"/>
                            <a:pathLst>
                              <a:path w="232274" h="140567">
                                <a:moveTo>
                                  <a:pt x="222323" y="1685"/>
                                </a:moveTo>
                                <a:cubicBezTo>
                                  <a:pt x="225224" y="0"/>
                                  <a:pt x="228932" y="1001"/>
                                  <a:pt x="230597" y="3901"/>
                                </a:cubicBezTo>
                                <a:cubicBezTo>
                                  <a:pt x="232274" y="6815"/>
                                  <a:pt x="231278" y="10526"/>
                                  <a:pt x="228377" y="12211"/>
                                </a:cubicBezTo>
                                <a:lnTo>
                                  <a:pt x="9938" y="138882"/>
                                </a:lnTo>
                                <a:cubicBezTo>
                                  <a:pt x="7038" y="140567"/>
                                  <a:pt x="3342" y="139567"/>
                                  <a:pt x="1665" y="136653"/>
                                </a:cubicBezTo>
                                <a:cubicBezTo>
                                  <a:pt x="0" y="133752"/>
                                  <a:pt x="984" y="130028"/>
                                  <a:pt x="3884" y="128356"/>
                                </a:cubicBezTo>
                                <a:lnTo>
                                  <a:pt x="222323" y="1685"/>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218448" y="1751290"/>
                            <a:ext cx="200744" cy="122275"/>
                          </a:xfrm>
                          <a:custGeom>
                            <a:avLst/>
                            <a:gdLst/>
                            <a:ahLst/>
                            <a:cxnLst/>
                            <a:rect l="0" t="0" r="0" b="0"/>
                            <a:pathLst>
                              <a:path w="200744" h="122275">
                                <a:moveTo>
                                  <a:pt x="190793" y="1672"/>
                                </a:moveTo>
                                <a:cubicBezTo>
                                  <a:pt x="193694" y="0"/>
                                  <a:pt x="197402" y="988"/>
                                  <a:pt x="199067" y="3902"/>
                                </a:cubicBezTo>
                                <a:cubicBezTo>
                                  <a:pt x="200744" y="6803"/>
                                  <a:pt x="199748" y="10526"/>
                                  <a:pt x="196860" y="12212"/>
                                </a:cubicBezTo>
                                <a:lnTo>
                                  <a:pt x="9938" y="120591"/>
                                </a:lnTo>
                                <a:cubicBezTo>
                                  <a:pt x="7038" y="122275"/>
                                  <a:pt x="3342" y="121275"/>
                                  <a:pt x="1665" y="118374"/>
                                </a:cubicBezTo>
                                <a:cubicBezTo>
                                  <a:pt x="0" y="115461"/>
                                  <a:pt x="984" y="111737"/>
                                  <a:pt x="3884" y="110065"/>
                                </a:cubicBezTo>
                                <a:lnTo>
                                  <a:pt x="190793" y="1672"/>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437744" y="1517088"/>
                            <a:ext cx="12108" cy="265502"/>
                          </a:xfrm>
                          <a:custGeom>
                            <a:avLst/>
                            <a:gdLst/>
                            <a:ahLst/>
                            <a:cxnLst/>
                            <a:rect l="0" t="0" r="0" b="0"/>
                            <a:pathLst>
                              <a:path w="12108" h="265502">
                                <a:moveTo>
                                  <a:pt x="6054" y="0"/>
                                </a:moveTo>
                                <a:cubicBezTo>
                                  <a:pt x="9409" y="0"/>
                                  <a:pt x="12108" y="2724"/>
                                  <a:pt x="12108" y="6080"/>
                                </a:cubicBezTo>
                                <a:lnTo>
                                  <a:pt x="12108" y="259422"/>
                                </a:lnTo>
                                <a:cubicBezTo>
                                  <a:pt x="12108" y="262779"/>
                                  <a:pt x="9409" y="265502"/>
                                  <a:pt x="6054" y="265502"/>
                                </a:cubicBezTo>
                                <a:cubicBezTo>
                                  <a:pt x="2712" y="265502"/>
                                  <a:pt x="0" y="262779"/>
                                  <a:pt x="0" y="259422"/>
                                </a:cubicBezTo>
                                <a:lnTo>
                                  <a:pt x="0" y="6080"/>
                                </a:lnTo>
                                <a:cubicBezTo>
                                  <a:pt x="0" y="2724"/>
                                  <a:pt x="2712" y="0"/>
                                  <a:pt x="60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218448" y="1389556"/>
                            <a:ext cx="232274" cy="140567"/>
                          </a:xfrm>
                          <a:custGeom>
                            <a:avLst/>
                            <a:gdLst/>
                            <a:ahLst/>
                            <a:cxnLst/>
                            <a:rect l="0" t="0" r="0" b="0"/>
                            <a:pathLst>
                              <a:path w="232274" h="140567">
                                <a:moveTo>
                                  <a:pt x="9938" y="1685"/>
                                </a:moveTo>
                                <a:lnTo>
                                  <a:pt x="228377" y="128356"/>
                                </a:lnTo>
                                <a:cubicBezTo>
                                  <a:pt x="231278" y="130028"/>
                                  <a:pt x="232274" y="133752"/>
                                  <a:pt x="230597" y="136653"/>
                                </a:cubicBezTo>
                                <a:cubicBezTo>
                                  <a:pt x="228932" y="139567"/>
                                  <a:pt x="225224" y="140567"/>
                                  <a:pt x="222323" y="138882"/>
                                </a:cubicBezTo>
                                <a:lnTo>
                                  <a:pt x="3884" y="12212"/>
                                </a:lnTo>
                                <a:cubicBezTo>
                                  <a:pt x="984" y="10526"/>
                                  <a:pt x="0" y="6815"/>
                                  <a:pt x="1665" y="3902"/>
                                </a:cubicBezTo>
                                <a:cubicBezTo>
                                  <a:pt x="3342" y="1001"/>
                                  <a:pt x="7038" y="0"/>
                                  <a:pt x="9938" y="168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218448" y="1426126"/>
                            <a:ext cx="200744" cy="122276"/>
                          </a:xfrm>
                          <a:custGeom>
                            <a:avLst/>
                            <a:gdLst/>
                            <a:ahLst/>
                            <a:cxnLst/>
                            <a:rect l="0" t="0" r="0" b="0"/>
                            <a:pathLst>
                              <a:path w="200744" h="122276">
                                <a:moveTo>
                                  <a:pt x="9938" y="1673"/>
                                </a:moveTo>
                                <a:lnTo>
                                  <a:pt x="196860" y="110065"/>
                                </a:lnTo>
                                <a:cubicBezTo>
                                  <a:pt x="199748" y="111750"/>
                                  <a:pt x="200744" y="115461"/>
                                  <a:pt x="199067" y="118374"/>
                                </a:cubicBezTo>
                                <a:cubicBezTo>
                                  <a:pt x="197402" y="121275"/>
                                  <a:pt x="193694" y="122276"/>
                                  <a:pt x="190793" y="120591"/>
                                </a:cubicBezTo>
                                <a:lnTo>
                                  <a:pt x="3884" y="12212"/>
                                </a:lnTo>
                                <a:cubicBezTo>
                                  <a:pt x="984" y="10526"/>
                                  <a:pt x="0" y="6815"/>
                                  <a:pt x="1665" y="3902"/>
                                </a:cubicBezTo>
                                <a:cubicBezTo>
                                  <a:pt x="3342" y="988"/>
                                  <a:pt x="7038" y="0"/>
                                  <a:pt x="9938" y="1673"/>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0" y="1389556"/>
                            <a:ext cx="232271" cy="140567"/>
                          </a:xfrm>
                          <a:custGeom>
                            <a:avLst/>
                            <a:gdLst/>
                            <a:ahLst/>
                            <a:cxnLst/>
                            <a:rect l="0" t="0" r="0" b="0"/>
                            <a:pathLst>
                              <a:path w="232271" h="140567">
                                <a:moveTo>
                                  <a:pt x="222332" y="1685"/>
                                </a:moveTo>
                                <a:cubicBezTo>
                                  <a:pt x="225233" y="0"/>
                                  <a:pt x="228928" y="1001"/>
                                  <a:pt x="230606" y="3902"/>
                                </a:cubicBezTo>
                                <a:cubicBezTo>
                                  <a:pt x="232271" y="6815"/>
                                  <a:pt x="231287" y="10526"/>
                                  <a:pt x="228386" y="12212"/>
                                </a:cubicBezTo>
                                <a:lnTo>
                                  <a:pt x="9941" y="138882"/>
                                </a:lnTo>
                                <a:cubicBezTo>
                                  <a:pt x="7045" y="140567"/>
                                  <a:pt x="3343" y="139567"/>
                                  <a:pt x="1671" y="136653"/>
                                </a:cubicBezTo>
                                <a:cubicBezTo>
                                  <a:pt x="0" y="133752"/>
                                  <a:pt x="991" y="130028"/>
                                  <a:pt x="3887" y="128356"/>
                                </a:cubicBezTo>
                                <a:lnTo>
                                  <a:pt x="222332" y="1685"/>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437013" y="1769696"/>
                            <a:ext cx="253475" cy="91925"/>
                          </a:xfrm>
                          <a:custGeom>
                            <a:avLst/>
                            <a:gdLst/>
                            <a:ahLst/>
                            <a:cxnLst/>
                            <a:rect l="0" t="0" r="0" b="0"/>
                            <a:pathLst>
                              <a:path w="253475" h="91925">
                                <a:moveTo>
                                  <a:pt x="8665" y="1039"/>
                                </a:moveTo>
                                <a:lnTo>
                                  <a:pt x="248556" y="79322"/>
                                </a:lnTo>
                                <a:cubicBezTo>
                                  <a:pt x="251735" y="80360"/>
                                  <a:pt x="253475" y="83793"/>
                                  <a:pt x="252441" y="86985"/>
                                </a:cubicBezTo>
                                <a:cubicBezTo>
                                  <a:pt x="251407" y="90177"/>
                                  <a:pt x="247989" y="91925"/>
                                  <a:pt x="244811" y="90886"/>
                                </a:cubicBezTo>
                                <a:lnTo>
                                  <a:pt x="4919" y="12603"/>
                                </a:lnTo>
                                <a:cubicBezTo>
                                  <a:pt x="1741" y="11564"/>
                                  <a:pt x="0" y="8132"/>
                                  <a:pt x="1034" y="4940"/>
                                </a:cubicBezTo>
                                <a:cubicBezTo>
                                  <a:pt x="2068" y="1748"/>
                                  <a:pt x="5486" y="0"/>
                                  <a:pt x="8665" y="103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676829" y="1642949"/>
                            <a:ext cx="161988" cy="218748"/>
                          </a:xfrm>
                          <a:custGeom>
                            <a:avLst/>
                            <a:gdLst/>
                            <a:ahLst/>
                            <a:cxnLst/>
                            <a:rect l="0" t="0" r="0" b="0"/>
                            <a:pathLst>
                              <a:path w="161988" h="218748">
                                <a:moveTo>
                                  <a:pt x="158684" y="1976"/>
                                </a:moveTo>
                                <a:cubicBezTo>
                                  <a:pt x="161395" y="3952"/>
                                  <a:pt x="161988" y="7752"/>
                                  <a:pt x="160033" y="10463"/>
                                </a:cubicBezTo>
                                <a:lnTo>
                                  <a:pt x="11767" y="215429"/>
                                </a:lnTo>
                                <a:cubicBezTo>
                                  <a:pt x="9800" y="218140"/>
                                  <a:pt x="6016" y="218748"/>
                                  <a:pt x="3304" y="216772"/>
                                </a:cubicBezTo>
                                <a:cubicBezTo>
                                  <a:pt x="605" y="214796"/>
                                  <a:pt x="0" y="210996"/>
                                  <a:pt x="1968" y="208273"/>
                                </a:cubicBezTo>
                                <a:lnTo>
                                  <a:pt x="150233" y="3318"/>
                                </a:lnTo>
                                <a:cubicBezTo>
                                  <a:pt x="152201" y="608"/>
                                  <a:pt x="155985" y="0"/>
                                  <a:pt x="158684" y="197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676829" y="1437995"/>
                            <a:ext cx="161988" cy="218736"/>
                          </a:xfrm>
                          <a:custGeom>
                            <a:avLst/>
                            <a:gdLst/>
                            <a:ahLst/>
                            <a:cxnLst/>
                            <a:rect l="0" t="0" r="0" b="0"/>
                            <a:pathLst>
                              <a:path w="161988" h="218736">
                                <a:moveTo>
                                  <a:pt x="3304" y="1977"/>
                                </a:moveTo>
                                <a:cubicBezTo>
                                  <a:pt x="6016" y="0"/>
                                  <a:pt x="9800" y="595"/>
                                  <a:pt x="11767" y="3319"/>
                                </a:cubicBezTo>
                                <a:lnTo>
                                  <a:pt x="160033" y="208273"/>
                                </a:lnTo>
                                <a:cubicBezTo>
                                  <a:pt x="161988" y="210996"/>
                                  <a:pt x="161395" y="214796"/>
                                  <a:pt x="158684" y="216773"/>
                                </a:cubicBezTo>
                                <a:cubicBezTo>
                                  <a:pt x="155985" y="218736"/>
                                  <a:pt x="152201" y="218140"/>
                                  <a:pt x="150233" y="215417"/>
                                </a:cubicBezTo>
                                <a:lnTo>
                                  <a:pt x="1968" y="10464"/>
                                </a:lnTo>
                                <a:cubicBezTo>
                                  <a:pt x="0" y="7753"/>
                                  <a:pt x="605" y="3940"/>
                                  <a:pt x="3304" y="19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437013" y="1438071"/>
                            <a:ext cx="253475" cy="91925"/>
                          </a:xfrm>
                          <a:custGeom>
                            <a:avLst/>
                            <a:gdLst/>
                            <a:ahLst/>
                            <a:cxnLst/>
                            <a:rect l="0" t="0" r="0" b="0"/>
                            <a:pathLst>
                              <a:path w="253475" h="91925">
                                <a:moveTo>
                                  <a:pt x="244811" y="1026"/>
                                </a:moveTo>
                                <a:cubicBezTo>
                                  <a:pt x="247989" y="0"/>
                                  <a:pt x="251407" y="1736"/>
                                  <a:pt x="252441" y="4941"/>
                                </a:cubicBezTo>
                                <a:cubicBezTo>
                                  <a:pt x="253475" y="8133"/>
                                  <a:pt x="251735" y="11565"/>
                                  <a:pt x="248556" y="12591"/>
                                </a:cubicBezTo>
                                <a:lnTo>
                                  <a:pt x="8665" y="90887"/>
                                </a:lnTo>
                                <a:cubicBezTo>
                                  <a:pt x="5486" y="91925"/>
                                  <a:pt x="2068" y="90177"/>
                                  <a:pt x="1034" y="86985"/>
                                </a:cubicBezTo>
                                <a:cubicBezTo>
                                  <a:pt x="0" y="83781"/>
                                  <a:pt x="1741" y="80360"/>
                                  <a:pt x="4919" y="79322"/>
                                </a:cubicBezTo>
                                <a:lnTo>
                                  <a:pt x="244811" y="1026"/>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1028349" y="1512617"/>
                            <a:ext cx="83441" cy="105643"/>
                          </a:xfrm>
                          <a:custGeom>
                            <a:avLst/>
                            <a:gdLst/>
                            <a:ahLst/>
                            <a:cxnLst/>
                            <a:rect l="0" t="0" r="0" b="0"/>
                            <a:pathLst>
                              <a:path w="83441" h="105643">
                                <a:moveTo>
                                  <a:pt x="0" y="0"/>
                                </a:moveTo>
                                <a:lnTo>
                                  <a:pt x="20658" y="0"/>
                                </a:lnTo>
                                <a:lnTo>
                                  <a:pt x="63703" y="70543"/>
                                </a:lnTo>
                                <a:lnTo>
                                  <a:pt x="63703" y="0"/>
                                </a:lnTo>
                                <a:lnTo>
                                  <a:pt x="83441" y="0"/>
                                </a:lnTo>
                                <a:lnTo>
                                  <a:pt x="83441" y="105643"/>
                                </a:lnTo>
                                <a:lnTo>
                                  <a:pt x="62126" y="105643"/>
                                </a:lnTo>
                                <a:lnTo>
                                  <a:pt x="19725" y="36747"/>
                                </a:lnTo>
                                <a:lnTo>
                                  <a:pt x="19725" y="105643"/>
                                </a:lnTo>
                                <a:lnTo>
                                  <a:pt x="0" y="1056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1137291" y="1512617"/>
                            <a:ext cx="84096" cy="105643"/>
                          </a:xfrm>
                          <a:custGeom>
                            <a:avLst/>
                            <a:gdLst/>
                            <a:ahLst/>
                            <a:cxnLst/>
                            <a:rect l="0" t="0" r="0" b="0"/>
                            <a:pathLst>
                              <a:path w="84096" h="105643">
                                <a:moveTo>
                                  <a:pt x="0" y="0"/>
                                </a:moveTo>
                                <a:lnTo>
                                  <a:pt x="21239" y="0"/>
                                </a:lnTo>
                                <a:lnTo>
                                  <a:pt x="21239" y="41586"/>
                                </a:lnTo>
                                <a:lnTo>
                                  <a:pt x="62858" y="41586"/>
                                </a:lnTo>
                                <a:lnTo>
                                  <a:pt x="62858" y="0"/>
                                </a:lnTo>
                                <a:lnTo>
                                  <a:pt x="84096" y="0"/>
                                </a:lnTo>
                                <a:lnTo>
                                  <a:pt x="84096" y="105643"/>
                                </a:lnTo>
                                <a:lnTo>
                                  <a:pt x="62858" y="105643"/>
                                </a:lnTo>
                                <a:lnTo>
                                  <a:pt x="62858" y="59447"/>
                                </a:lnTo>
                                <a:lnTo>
                                  <a:pt x="21239" y="59447"/>
                                </a:lnTo>
                                <a:lnTo>
                                  <a:pt x="21239" y="105643"/>
                                </a:lnTo>
                                <a:lnTo>
                                  <a:pt x="0" y="1056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788457" y="1180992"/>
                            <a:ext cx="83441" cy="105632"/>
                          </a:xfrm>
                          <a:custGeom>
                            <a:avLst/>
                            <a:gdLst/>
                            <a:ahLst/>
                            <a:cxnLst/>
                            <a:rect l="0" t="0" r="0" b="0"/>
                            <a:pathLst>
                              <a:path w="83441" h="105632">
                                <a:moveTo>
                                  <a:pt x="0" y="0"/>
                                </a:moveTo>
                                <a:lnTo>
                                  <a:pt x="20658" y="0"/>
                                </a:lnTo>
                                <a:lnTo>
                                  <a:pt x="63703" y="70544"/>
                                </a:lnTo>
                                <a:lnTo>
                                  <a:pt x="63703" y="0"/>
                                </a:lnTo>
                                <a:lnTo>
                                  <a:pt x="83441" y="0"/>
                                </a:lnTo>
                                <a:lnTo>
                                  <a:pt x="83441" y="105632"/>
                                </a:lnTo>
                                <a:lnTo>
                                  <a:pt x="62126" y="105632"/>
                                </a:lnTo>
                                <a:lnTo>
                                  <a:pt x="19725" y="36747"/>
                                </a:lnTo>
                                <a:lnTo>
                                  <a:pt x="19725" y="105632"/>
                                </a:lnTo>
                                <a:lnTo>
                                  <a:pt x="0" y="1056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825170" y="1586049"/>
                            <a:ext cx="188158" cy="70619"/>
                          </a:xfrm>
                          <a:custGeom>
                            <a:avLst/>
                            <a:gdLst/>
                            <a:ahLst/>
                            <a:cxnLst/>
                            <a:rect l="0" t="0" r="0" b="0"/>
                            <a:pathLst>
                              <a:path w="188158" h="70619">
                                <a:moveTo>
                                  <a:pt x="179493" y="1039"/>
                                </a:moveTo>
                                <a:cubicBezTo>
                                  <a:pt x="182671" y="0"/>
                                  <a:pt x="186089" y="1748"/>
                                  <a:pt x="187123" y="4952"/>
                                </a:cubicBezTo>
                                <a:cubicBezTo>
                                  <a:pt x="188158" y="8144"/>
                                  <a:pt x="186417" y="11564"/>
                                  <a:pt x="183226" y="12603"/>
                                </a:cubicBezTo>
                                <a:lnTo>
                                  <a:pt x="8665" y="69580"/>
                                </a:lnTo>
                                <a:cubicBezTo>
                                  <a:pt x="5486" y="70619"/>
                                  <a:pt x="2068" y="68871"/>
                                  <a:pt x="1034" y="65679"/>
                                </a:cubicBezTo>
                                <a:cubicBezTo>
                                  <a:pt x="0" y="62474"/>
                                  <a:pt x="1741" y="59054"/>
                                  <a:pt x="4919" y="58015"/>
                                </a:cubicBezTo>
                                <a:lnTo>
                                  <a:pt x="179493" y="1039"/>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1065794" y="1312135"/>
                            <a:ext cx="12107" cy="195238"/>
                          </a:xfrm>
                          <a:custGeom>
                            <a:avLst/>
                            <a:gdLst/>
                            <a:ahLst/>
                            <a:cxnLst/>
                            <a:rect l="0" t="0" r="0" b="0"/>
                            <a:pathLst>
                              <a:path w="12107" h="195238">
                                <a:moveTo>
                                  <a:pt x="6054" y="0"/>
                                </a:moveTo>
                                <a:cubicBezTo>
                                  <a:pt x="9409" y="0"/>
                                  <a:pt x="12107" y="2723"/>
                                  <a:pt x="12107" y="6080"/>
                                </a:cubicBezTo>
                                <a:lnTo>
                                  <a:pt x="12107" y="189157"/>
                                </a:lnTo>
                                <a:cubicBezTo>
                                  <a:pt x="12107" y="192515"/>
                                  <a:pt x="9409" y="195238"/>
                                  <a:pt x="6054" y="195238"/>
                                </a:cubicBezTo>
                                <a:cubicBezTo>
                                  <a:pt x="2712" y="195238"/>
                                  <a:pt x="0" y="192515"/>
                                  <a:pt x="0" y="189157"/>
                                </a:cubicBezTo>
                                <a:lnTo>
                                  <a:pt x="0" y="6080"/>
                                </a:lnTo>
                                <a:cubicBezTo>
                                  <a:pt x="0" y="2723"/>
                                  <a:pt x="2712" y="0"/>
                                  <a:pt x="60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889290" y="1254031"/>
                            <a:ext cx="189356" cy="70999"/>
                          </a:xfrm>
                          <a:custGeom>
                            <a:avLst/>
                            <a:gdLst/>
                            <a:ahLst/>
                            <a:cxnLst/>
                            <a:rect l="0" t="0" r="0" b="0"/>
                            <a:pathLst>
                              <a:path w="189356" h="70999">
                                <a:moveTo>
                                  <a:pt x="8664" y="1039"/>
                                </a:moveTo>
                                <a:lnTo>
                                  <a:pt x="184437" y="58396"/>
                                </a:lnTo>
                                <a:cubicBezTo>
                                  <a:pt x="187615" y="59434"/>
                                  <a:pt x="189356" y="62867"/>
                                  <a:pt x="188321" y="66059"/>
                                </a:cubicBezTo>
                                <a:cubicBezTo>
                                  <a:pt x="187287" y="69251"/>
                                  <a:pt x="183869" y="70999"/>
                                  <a:pt x="180691" y="69960"/>
                                </a:cubicBezTo>
                                <a:lnTo>
                                  <a:pt x="4919" y="12604"/>
                                </a:lnTo>
                                <a:cubicBezTo>
                                  <a:pt x="1740" y="11565"/>
                                  <a:pt x="0" y="8132"/>
                                  <a:pt x="1034" y="4940"/>
                                </a:cubicBezTo>
                                <a:cubicBezTo>
                                  <a:pt x="2068" y="1748"/>
                                  <a:pt x="5486" y="0"/>
                                  <a:pt x="8664" y="103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Shape 163"/>
                        <wps:cNvSpPr/>
                        <wps:spPr>
                          <a:xfrm>
                            <a:off x="676829" y="1299734"/>
                            <a:ext cx="113747" cy="152043"/>
                          </a:xfrm>
                          <a:custGeom>
                            <a:avLst/>
                            <a:gdLst/>
                            <a:ahLst/>
                            <a:cxnLst/>
                            <a:rect l="0" t="0" r="0" b="0"/>
                            <a:pathLst>
                              <a:path w="113747" h="152043">
                                <a:moveTo>
                                  <a:pt x="110443" y="1977"/>
                                </a:moveTo>
                                <a:cubicBezTo>
                                  <a:pt x="113154" y="3939"/>
                                  <a:pt x="113747" y="7752"/>
                                  <a:pt x="111780" y="10463"/>
                                </a:cubicBezTo>
                                <a:lnTo>
                                  <a:pt x="11767" y="148725"/>
                                </a:lnTo>
                                <a:cubicBezTo>
                                  <a:pt x="9800" y="151448"/>
                                  <a:pt x="6016" y="152043"/>
                                  <a:pt x="3304" y="150068"/>
                                </a:cubicBezTo>
                                <a:cubicBezTo>
                                  <a:pt x="605" y="148092"/>
                                  <a:pt x="0" y="144291"/>
                                  <a:pt x="1968" y="141581"/>
                                </a:cubicBezTo>
                                <a:lnTo>
                                  <a:pt x="101993" y="3319"/>
                                </a:lnTo>
                                <a:cubicBezTo>
                                  <a:pt x="103948" y="595"/>
                                  <a:pt x="107744" y="0"/>
                                  <a:pt x="110443" y="1977"/>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 name="Shape 164"/>
                        <wps:cNvSpPr/>
                        <wps:spPr>
                          <a:xfrm>
                            <a:off x="378910" y="1181942"/>
                            <a:ext cx="84084" cy="105631"/>
                          </a:xfrm>
                          <a:custGeom>
                            <a:avLst/>
                            <a:gdLst/>
                            <a:ahLst/>
                            <a:cxnLst/>
                            <a:rect l="0" t="0" r="0" b="0"/>
                            <a:pathLst>
                              <a:path w="84084" h="105631">
                                <a:moveTo>
                                  <a:pt x="0" y="0"/>
                                </a:moveTo>
                                <a:lnTo>
                                  <a:pt x="21238" y="0"/>
                                </a:lnTo>
                                <a:lnTo>
                                  <a:pt x="21238" y="41573"/>
                                </a:lnTo>
                                <a:lnTo>
                                  <a:pt x="62845" y="41573"/>
                                </a:lnTo>
                                <a:lnTo>
                                  <a:pt x="62845" y="0"/>
                                </a:lnTo>
                                <a:lnTo>
                                  <a:pt x="84084" y="0"/>
                                </a:lnTo>
                                <a:lnTo>
                                  <a:pt x="84084" y="105631"/>
                                </a:lnTo>
                                <a:lnTo>
                                  <a:pt x="62845" y="105631"/>
                                </a:lnTo>
                                <a:lnTo>
                                  <a:pt x="62845" y="59447"/>
                                </a:lnTo>
                                <a:lnTo>
                                  <a:pt x="21238" y="59447"/>
                                </a:lnTo>
                                <a:lnTo>
                                  <a:pt x="21238" y="105631"/>
                                </a:lnTo>
                                <a:lnTo>
                                  <a:pt x="0" y="1056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 name="Shape 165"/>
                        <wps:cNvSpPr/>
                        <wps:spPr>
                          <a:xfrm>
                            <a:off x="483627" y="1180144"/>
                            <a:ext cx="50971" cy="109210"/>
                          </a:xfrm>
                          <a:custGeom>
                            <a:avLst/>
                            <a:gdLst/>
                            <a:ahLst/>
                            <a:cxnLst/>
                            <a:rect l="0" t="0" r="0" b="0"/>
                            <a:pathLst>
                              <a:path w="50971" h="109210">
                                <a:moveTo>
                                  <a:pt x="50864" y="0"/>
                                </a:moveTo>
                                <a:lnTo>
                                  <a:pt x="50971" y="19"/>
                                </a:lnTo>
                                <a:lnTo>
                                  <a:pt x="50971" y="18273"/>
                                </a:lnTo>
                                <a:lnTo>
                                  <a:pt x="29916" y="27272"/>
                                </a:lnTo>
                                <a:cubicBezTo>
                                  <a:pt x="24555" y="33302"/>
                                  <a:pt x="21882" y="42383"/>
                                  <a:pt x="21882" y="54544"/>
                                </a:cubicBezTo>
                                <a:cubicBezTo>
                                  <a:pt x="21882" y="66502"/>
                                  <a:pt x="24631" y="75571"/>
                                  <a:pt x="30130" y="81741"/>
                                </a:cubicBezTo>
                                <a:lnTo>
                                  <a:pt x="50971" y="90953"/>
                                </a:lnTo>
                                <a:lnTo>
                                  <a:pt x="50971" y="109210"/>
                                </a:lnTo>
                                <a:lnTo>
                                  <a:pt x="30099" y="105643"/>
                                </a:lnTo>
                                <a:cubicBezTo>
                                  <a:pt x="23881" y="103246"/>
                                  <a:pt x="18464" y="99652"/>
                                  <a:pt x="13848" y="94864"/>
                                </a:cubicBezTo>
                                <a:cubicBezTo>
                                  <a:pt x="4616" y="85275"/>
                                  <a:pt x="0" y="72075"/>
                                  <a:pt x="0" y="55266"/>
                                </a:cubicBezTo>
                                <a:cubicBezTo>
                                  <a:pt x="0" y="44500"/>
                                  <a:pt x="1602" y="35468"/>
                                  <a:pt x="4805" y="28171"/>
                                </a:cubicBezTo>
                                <a:cubicBezTo>
                                  <a:pt x="7201" y="22788"/>
                                  <a:pt x="10455" y="17962"/>
                                  <a:pt x="14592" y="13680"/>
                                </a:cubicBezTo>
                                <a:cubicBezTo>
                                  <a:pt x="18741" y="9411"/>
                                  <a:pt x="23269" y="6245"/>
                                  <a:pt x="28188" y="4180"/>
                                </a:cubicBezTo>
                                <a:cubicBezTo>
                                  <a:pt x="34746" y="1393"/>
                                  <a:pt x="42301" y="0"/>
                                  <a:pt x="50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534598" y="1180163"/>
                            <a:ext cx="51046" cy="109222"/>
                          </a:xfrm>
                          <a:custGeom>
                            <a:avLst/>
                            <a:gdLst/>
                            <a:ahLst/>
                            <a:cxnLst/>
                            <a:rect l="0" t="0" r="0" b="0"/>
                            <a:pathLst>
                              <a:path w="51046" h="109222">
                                <a:moveTo>
                                  <a:pt x="0" y="0"/>
                                </a:moveTo>
                                <a:lnTo>
                                  <a:pt x="20817" y="3601"/>
                                </a:lnTo>
                                <a:cubicBezTo>
                                  <a:pt x="27018" y="6014"/>
                                  <a:pt x="32444" y="9634"/>
                                  <a:pt x="37098" y="14460"/>
                                </a:cubicBezTo>
                                <a:cubicBezTo>
                                  <a:pt x="46393" y="24112"/>
                                  <a:pt x="51046" y="37539"/>
                                  <a:pt x="51046" y="54741"/>
                                </a:cubicBezTo>
                                <a:cubicBezTo>
                                  <a:pt x="51046" y="71791"/>
                                  <a:pt x="46431" y="85142"/>
                                  <a:pt x="37199" y="94769"/>
                                </a:cubicBezTo>
                                <a:cubicBezTo>
                                  <a:pt x="27967" y="104396"/>
                                  <a:pt x="15632" y="109222"/>
                                  <a:pt x="183" y="109222"/>
                                </a:cubicBezTo>
                                <a:lnTo>
                                  <a:pt x="0" y="109191"/>
                                </a:lnTo>
                                <a:lnTo>
                                  <a:pt x="0" y="90934"/>
                                </a:lnTo>
                                <a:lnTo>
                                  <a:pt x="107" y="90981"/>
                                </a:lnTo>
                                <a:cubicBezTo>
                                  <a:pt x="8570" y="90981"/>
                                  <a:pt x="15519" y="87929"/>
                                  <a:pt x="20955" y="81798"/>
                                </a:cubicBezTo>
                                <a:cubicBezTo>
                                  <a:pt x="26378" y="75680"/>
                                  <a:pt x="29089" y="66484"/>
                                  <a:pt x="29089" y="54234"/>
                                </a:cubicBezTo>
                                <a:cubicBezTo>
                                  <a:pt x="29089" y="42125"/>
                                  <a:pt x="26453" y="33106"/>
                                  <a:pt x="21169" y="27139"/>
                                </a:cubicBezTo>
                                <a:cubicBezTo>
                                  <a:pt x="15885" y="21186"/>
                                  <a:pt x="8860" y="18209"/>
                                  <a:pt x="107" y="18209"/>
                                </a:cubicBezTo>
                                <a:lnTo>
                                  <a:pt x="0" y="182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 name="Shape 167"/>
                        <wps:cNvSpPr/>
                        <wps:spPr>
                          <a:xfrm>
                            <a:off x="570510" y="1291006"/>
                            <a:ext cx="120053" cy="160771"/>
                          </a:xfrm>
                          <a:custGeom>
                            <a:avLst/>
                            <a:gdLst/>
                            <a:ahLst/>
                            <a:cxnLst/>
                            <a:rect l="0" t="0" r="0" b="0"/>
                            <a:pathLst>
                              <a:path w="120053" h="160771">
                                <a:moveTo>
                                  <a:pt x="3304" y="1976"/>
                                </a:moveTo>
                                <a:cubicBezTo>
                                  <a:pt x="6003" y="0"/>
                                  <a:pt x="9787" y="595"/>
                                  <a:pt x="11754" y="3318"/>
                                </a:cubicBezTo>
                                <a:lnTo>
                                  <a:pt x="118085" y="150308"/>
                                </a:lnTo>
                                <a:cubicBezTo>
                                  <a:pt x="120053" y="153019"/>
                                  <a:pt x="119448" y="156819"/>
                                  <a:pt x="116749" y="158795"/>
                                </a:cubicBezTo>
                                <a:cubicBezTo>
                                  <a:pt x="114037" y="160771"/>
                                  <a:pt x="110253" y="160176"/>
                                  <a:pt x="108286" y="157452"/>
                                </a:cubicBezTo>
                                <a:lnTo>
                                  <a:pt x="1967" y="10463"/>
                                </a:lnTo>
                                <a:cubicBezTo>
                                  <a:pt x="0" y="7752"/>
                                  <a:pt x="593" y="3952"/>
                                  <a:pt x="3304" y="197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927466" y="1795017"/>
                            <a:ext cx="50978" cy="109211"/>
                          </a:xfrm>
                          <a:custGeom>
                            <a:avLst/>
                            <a:gdLst/>
                            <a:ahLst/>
                            <a:cxnLst/>
                            <a:rect l="0" t="0" r="0" b="0"/>
                            <a:pathLst>
                              <a:path w="50978" h="109211">
                                <a:moveTo>
                                  <a:pt x="50864" y="0"/>
                                </a:moveTo>
                                <a:lnTo>
                                  <a:pt x="50978" y="19"/>
                                </a:lnTo>
                                <a:lnTo>
                                  <a:pt x="50978" y="18272"/>
                                </a:lnTo>
                                <a:lnTo>
                                  <a:pt x="29915" y="27273"/>
                                </a:lnTo>
                                <a:cubicBezTo>
                                  <a:pt x="24555" y="33302"/>
                                  <a:pt x="21882" y="42384"/>
                                  <a:pt x="21882" y="54545"/>
                                </a:cubicBezTo>
                                <a:cubicBezTo>
                                  <a:pt x="21882" y="66503"/>
                                  <a:pt x="24631" y="75572"/>
                                  <a:pt x="30130" y="81742"/>
                                </a:cubicBezTo>
                                <a:lnTo>
                                  <a:pt x="50978" y="90956"/>
                                </a:lnTo>
                                <a:lnTo>
                                  <a:pt x="50978" y="109211"/>
                                </a:lnTo>
                                <a:lnTo>
                                  <a:pt x="30099" y="105644"/>
                                </a:lnTo>
                                <a:cubicBezTo>
                                  <a:pt x="23881" y="103247"/>
                                  <a:pt x="18464" y="99652"/>
                                  <a:pt x="13848" y="94864"/>
                                </a:cubicBezTo>
                                <a:cubicBezTo>
                                  <a:pt x="4616" y="85275"/>
                                  <a:pt x="0" y="72076"/>
                                  <a:pt x="0" y="55267"/>
                                </a:cubicBezTo>
                                <a:cubicBezTo>
                                  <a:pt x="0" y="44500"/>
                                  <a:pt x="1601" y="35468"/>
                                  <a:pt x="4805" y="28172"/>
                                </a:cubicBezTo>
                                <a:cubicBezTo>
                                  <a:pt x="7201" y="22789"/>
                                  <a:pt x="10468" y="17962"/>
                                  <a:pt x="14605" y="13681"/>
                                </a:cubicBezTo>
                                <a:cubicBezTo>
                                  <a:pt x="18741" y="9412"/>
                                  <a:pt x="23269" y="6245"/>
                                  <a:pt x="28200" y="4180"/>
                                </a:cubicBezTo>
                                <a:cubicBezTo>
                                  <a:pt x="34746" y="1394"/>
                                  <a:pt x="42301" y="0"/>
                                  <a:pt x="50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978444" y="1795037"/>
                            <a:ext cx="51040" cy="109222"/>
                          </a:xfrm>
                          <a:custGeom>
                            <a:avLst/>
                            <a:gdLst/>
                            <a:ahLst/>
                            <a:cxnLst/>
                            <a:rect l="0" t="0" r="0" b="0"/>
                            <a:pathLst>
                              <a:path w="51040" h="109222">
                                <a:moveTo>
                                  <a:pt x="0" y="0"/>
                                </a:moveTo>
                                <a:lnTo>
                                  <a:pt x="20811" y="3601"/>
                                </a:lnTo>
                                <a:cubicBezTo>
                                  <a:pt x="27012" y="6014"/>
                                  <a:pt x="32438" y="9634"/>
                                  <a:pt x="37092" y="14460"/>
                                </a:cubicBezTo>
                                <a:cubicBezTo>
                                  <a:pt x="46387" y="24112"/>
                                  <a:pt x="51040" y="37539"/>
                                  <a:pt x="51040" y="54741"/>
                                </a:cubicBezTo>
                                <a:cubicBezTo>
                                  <a:pt x="51040" y="71791"/>
                                  <a:pt x="46424" y="85142"/>
                                  <a:pt x="37193" y="94769"/>
                                </a:cubicBezTo>
                                <a:cubicBezTo>
                                  <a:pt x="27961" y="104408"/>
                                  <a:pt x="15626" y="109222"/>
                                  <a:pt x="176" y="109222"/>
                                </a:cubicBezTo>
                                <a:lnTo>
                                  <a:pt x="0" y="109192"/>
                                </a:lnTo>
                                <a:lnTo>
                                  <a:pt x="0" y="90937"/>
                                </a:lnTo>
                                <a:lnTo>
                                  <a:pt x="101" y="90981"/>
                                </a:lnTo>
                                <a:cubicBezTo>
                                  <a:pt x="8576" y="90981"/>
                                  <a:pt x="15513" y="87929"/>
                                  <a:pt x="20948" y="81798"/>
                                </a:cubicBezTo>
                                <a:cubicBezTo>
                                  <a:pt x="26371" y="75680"/>
                                  <a:pt x="29096" y="66484"/>
                                  <a:pt x="29096" y="54234"/>
                                </a:cubicBezTo>
                                <a:cubicBezTo>
                                  <a:pt x="29096" y="42137"/>
                                  <a:pt x="26447" y="33106"/>
                                  <a:pt x="21163" y="27139"/>
                                </a:cubicBezTo>
                                <a:cubicBezTo>
                                  <a:pt x="15878" y="21186"/>
                                  <a:pt x="8854" y="18209"/>
                                  <a:pt x="101" y="18209"/>
                                </a:cubicBezTo>
                                <a:lnTo>
                                  <a:pt x="0" y="182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1049134" y="1796816"/>
                            <a:ext cx="84084" cy="105644"/>
                          </a:xfrm>
                          <a:custGeom>
                            <a:avLst/>
                            <a:gdLst/>
                            <a:ahLst/>
                            <a:cxnLst/>
                            <a:rect l="0" t="0" r="0" b="0"/>
                            <a:pathLst>
                              <a:path w="84084" h="105644">
                                <a:moveTo>
                                  <a:pt x="0" y="0"/>
                                </a:moveTo>
                                <a:lnTo>
                                  <a:pt x="21239" y="0"/>
                                </a:lnTo>
                                <a:lnTo>
                                  <a:pt x="21239" y="41573"/>
                                </a:lnTo>
                                <a:lnTo>
                                  <a:pt x="62845" y="41573"/>
                                </a:lnTo>
                                <a:lnTo>
                                  <a:pt x="62845" y="0"/>
                                </a:lnTo>
                                <a:lnTo>
                                  <a:pt x="84084" y="0"/>
                                </a:lnTo>
                                <a:lnTo>
                                  <a:pt x="84084" y="105644"/>
                                </a:lnTo>
                                <a:lnTo>
                                  <a:pt x="62845" y="105644"/>
                                </a:lnTo>
                                <a:lnTo>
                                  <a:pt x="62845" y="59447"/>
                                </a:lnTo>
                                <a:lnTo>
                                  <a:pt x="21239" y="59447"/>
                                </a:lnTo>
                                <a:lnTo>
                                  <a:pt x="21239" y="105644"/>
                                </a:lnTo>
                                <a:lnTo>
                                  <a:pt x="0" y="1056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825095" y="1642949"/>
                            <a:ext cx="117657" cy="157452"/>
                          </a:xfrm>
                          <a:custGeom>
                            <a:avLst/>
                            <a:gdLst/>
                            <a:ahLst/>
                            <a:cxnLst/>
                            <a:rect l="0" t="0" r="0" b="0"/>
                            <a:pathLst>
                              <a:path w="117657" h="157452">
                                <a:moveTo>
                                  <a:pt x="3304" y="1976"/>
                                </a:moveTo>
                                <a:cubicBezTo>
                                  <a:pt x="6016" y="0"/>
                                  <a:pt x="9799" y="608"/>
                                  <a:pt x="11767" y="3318"/>
                                </a:cubicBezTo>
                                <a:lnTo>
                                  <a:pt x="115689" y="146989"/>
                                </a:lnTo>
                                <a:cubicBezTo>
                                  <a:pt x="117657" y="149700"/>
                                  <a:pt x="117051" y="153500"/>
                                  <a:pt x="114353" y="155476"/>
                                </a:cubicBezTo>
                                <a:cubicBezTo>
                                  <a:pt x="111641" y="157452"/>
                                  <a:pt x="107857" y="156844"/>
                                  <a:pt x="105890" y="154133"/>
                                </a:cubicBezTo>
                                <a:lnTo>
                                  <a:pt x="1967" y="10463"/>
                                </a:lnTo>
                                <a:cubicBezTo>
                                  <a:pt x="0" y="7752"/>
                                  <a:pt x="605" y="3952"/>
                                  <a:pt x="3304" y="197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708888" y="2035958"/>
                            <a:ext cx="50971" cy="109208"/>
                          </a:xfrm>
                          <a:custGeom>
                            <a:avLst/>
                            <a:gdLst/>
                            <a:ahLst/>
                            <a:cxnLst/>
                            <a:rect l="0" t="0" r="0" b="0"/>
                            <a:pathLst>
                              <a:path w="50971" h="109208">
                                <a:moveTo>
                                  <a:pt x="50864" y="0"/>
                                </a:moveTo>
                                <a:lnTo>
                                  <a:pt x="50971" y="19"/>
                                </a:lnTo>
                                <a:lnTo>
                                  <a:pt x="50971" y="18274"/>
                                </a:lnTo>
                                <a:lnTo>
                                  <a:pt x="29916" y="27271"/>
                                </a:lnTo>
                                <a:cubicBezTo>
                                  <a:pt x="24555" y="33301"/>
                                  <a:pt x="21882" y="42392"/>
                                  <a:pt x="21882" y="54546"/>
                                </a:cubicBezTo>
                                <a:cubicBezTo>
                                  <a:pt x="21882" y="66508"/>
                                  <a:pt x="24631" y="75576"/>
                                  <a:pt x="30130" y="81749"/>
                                </a:cubicBezTo>
                                <a:lnTo>
                                  <a:pt x="50971" y="90961"/>
                                </a:lnTo>
                                <a:lnTo>
                                  <a:pt x="50971" y="109208"/>
                                </a:lnTo>
                                <a:lnTo>
                                  <a:pt x="30099" y="105645"/>
                                </a:lnTo>
                                <a:cubicBezTo>
                                  <a:pt x="23881" y="103250"/>
                                  <a:pt x="18464" y="99655"/>
                                  <a:pt x="13848" y="94863"/>
                                </a:cubicBezTo>
                                <a:cubicBezTo>
                                  <a:pt x="4616" y="85279"/>
                                  <a:pt x="0" y="72080"/>
                                  <a:pt x="0" y="55267"/>
                                </a:cubicBezTo>
                                <a:cubicBezTo>
                                  <a:pt x="0" y="44506"/>
                                  <a:pt x="1602" y="35475"/>
                                  <a:pt x="4805" y="28172"/>
                                </a:cubicBezTo>
                                <a:cubicBezTo>
                                  <a:pt x="7201" y="22792"/>
                                  <a:pt x="10456" y="17963"/>
                                  <a:pt x="14605" y="13694"/>
                                </a:cubicBezTo>
                                <a:cubicBezTo>
                                  <a:pt x="18741" y="9412"/>
                                  <a:pt x="23269" y="6245"/>
                                  <a:pt x="28200" y="4180"/>
                                </a:cubicBezTo>
                                <a:cubicBezTo>
                                  <a:pt x="34746" y="1394"/>
                                  <a:pt x="42301" y="0"/>
                                  <a:pt x="50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 name="Shape 173"/>
                        <wps:cNvSpPr/>
                        <wps:spPr>
                          <a:xfrm>
                            <a:off x="759860" y="2035977"/>
                            <a:ext cx="51047" cy="109220"/>
                          </a:xfrm>
                          <a:custGeom>
                            <a:avLst/>
                            <a:gdLst/>
                            <a:ahLst/>
                            <a:cxnLst/>
                            <a:rect l="0" t="0" r="0" b="0"/>
                            <a:pathLst>
                              <a:path w="51047" h="109220">
                                <a:moveTo>
                                  <a:pt x="0" y="0"/>
                                </a:moveTo>
                                <a:lnTo>
                                  <a:pt x="20817" y="3601"/>
                                </a:lnTo>
                                <a:cubicBezTo>
                                  <a:pt x="27018" y="6014"/>
                                  <a:pt x="32444" y="9634"/>
                                  <a:pt x="37098" y="14460"/>
                                </a:cubicBezTo>
                                <a:cubicBezTo>
                                  <a:pt x="46393" y="24119"/>
                                  <a:pt x="51047" y="37546"/>
                                  <a:pt x="51047" y="54744"/>
                                </a:cubicBezTo>
                                <a:cubicBezTo>
                                  <a:pt x="51047" y="71798"/>
                                  <a:pt x="46431" y="85141"/>
                                  <a:pt x="37199" y="94773"/>
                                </a:cubicBezTo>
                                <a:cubicBezTo>
                                  <a:pt x="27967" y="104404"/>
                                  <a:pt x="15632" y="109220"/>
                                  <a:pt x="183" y="109220"/>
                                </a:cubicBezTo>
                                <a:lnTo>
                                  <a:pt x="0" y="109189"/>
                                </a:lnTo>
                                <a:lnTo>
                                  <a:pt x="0" y="90943"/>
                                </a:lnTo>
                                <a:lnTo>
                                  <a:pt x="107" y="90990"/>
                                </a:lnTo>
                                <a:cubicBezTo>
                                  <a:pt x="8570" y="90990"/>
                                  <a:pt x="15519" y="87927"/>
                                  <a:pt x="20955" y="81802"/>
                                </a:cubicBezTo>
                                <a:cubicBezTo>
                                  <a:pt x="26378" y="75677"/>
                                  <a:pt x="29089" y="66489"/>
                                  <a:pt x="29089" y="54239"/>
                                </a:cubicBezTo>
                                <a:cubicBezTo>
                                  <a:pt x="29089" y="42132"/>
                                  <a:pt x="26453" y="33103"/>
                                  <a:pt x="21169" y="27145"/>
                                </a:cubicBezTo>
                                <a:cubicBezTo>
                                  <a:pt x="15885" y="21188"/>
                                  <a:pt x="8860" y="18210"/>
                                  <a:pt x="107" y="18210"/>
                                </a:cubicBezTo>
                                <a:lnTo>
                                  <a:pt x="0" y="182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688356" y="1832145"/>
                            <a:ext cx="71963" cy="194097"/>
                          </a:xfrm>
                          <a:custGeom>
                            <a:avLst/>
                            <a:gdLst/>
                            <a:ahLst/>
                            <a:cxnLst/>
                            <a:rect l="0" t="0" r="0" b="0"/>
                            <a:pathLst>
                              <a:path w="71963" h="194097">
                                <a:moveTo>
                                  <a:pt x="4919" y="1039"/>
                                </a:moveTo>
                                <a:cubicBezTo>
                                  <a:pt x="8109" y="0"/>
                                  <a:pt x="11514" y="1748"/>
                                  <a:pt x="12549" y="4940"/>
                                </a:cubicBezTo>
                                <a:lnTo>
                                  <a:pt x="70929" y="185396"/>
                                </a:lnTo>
                                <a:cubicBezTo>
                                  <a:pt x="71963" y="188588"/>
                                  <a:pt x="70223" y="192020"/>
                                  <a:pt x="67045" y="193059"/>
                                </a:cubicBezTo>
                                <a:cubicBezTo>
                                  <a:pt x="63867" y="194097"/>
                                  <a:pt x="60449" y="192350"/>
                                  <a:pt x="59415" y="189145"/>
                                </a:cubicBezTo>
                                <a:lnTo>
                                  <a:pt x="1034" y="8702"/>
                                </a:lnTo>
                                <a:cubicBezTo>
                                  <a:pt x="0" y="5510"/>
                                  <a:pt x="1740" y="2077"/>
                                  <a:pt x="4919" y="103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658377" y="1841937"/>
                            <a:ext cx="71951" cy="194085"/>
                          </a:xfrm>
                          <a:custGeom>
                            <a:avLst/>
                            <a:gdLst/>
                            <a:ahLst/>
                            <a:cxnLst/>
                            <a:rect l="0" t="0" r="0" b="0"/>
                            <a:pathLst>
                              <a:path w="71951" h="194085">
                                <a:moveTo>
                                  <a:pt x="4919" y="1039"/>
                                </a:moveTo>
                                <a:cubicBezTo>
                                  <a:pt x="8097" y="0"/>
                                  <a:pt x="11515" y="1748"/>
                                  <a:pt x="12549" y="4940"/>
                                </a:cubicBezTo>
                                <a:lnTo>
                                  <a:pt x="70917" y="185382"/>
                                </a:lnTo>
                                <a:cubicBezTo>
                                  <a:pt x="71951" y="188575"/>
                                  <a:pt x="70211" y="192008"/>
                                  <a:pt x="67033" y="193046"/>
                                </a:cubicBezTo>
                                <a:cubicBezTo>
                                  <a:pt x="63854" y="194085"/>
                                  <a:pt x="60437" y="192337"/>
                                  <a:pt x="59402" y="189145"/>
                                </a:cubicBezTo>
                                <a:lnTo>
                                  <a:pt x="1034" y="8689"/>
                                </a:lnTo>
                                <a:cubicBezTo>
                                  <a:pt x="0" y="5497"/>
                                  <a:pt x="1741" y="2077"/>
                                  <a:pt x="4919" y="103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1231540" y="1109512"/>
                            <a:ext cx="85572" cy="109317"/>
                          </a:xfrm>
                          <a:custGeom>
                            <a:avLst/>
                            <a:gdLst/>
                            <a:ahLst/>
                            <a:cxnLst/>
                            <a:rect l="0" t="0" r="0" b="0"/>
                            <a:pathLst>
                              <a:path w="85572" h="109317">
                                <a:moveTo>
                                  <a:pt x="42187" y="0"/>
                                </a:moveTo>
                                <a:cubicBezTo>
                                  <a:pt x="55430" y="0"/>
                                  <a:pt x="65267" y="2914"/>
                                  <a:pt x="71951" y="8727"/>
                                </a:cubicBezTo>
                                <a:cubicBezTo>
                                  <a:pt x="78636" y="14529"/>
                                  <a:pt x="82167" y="22294"/>
                                  <a:pt x="82545" y="31997"/>
                                </a:cubicBezTo>
                                <a:lnTo>
                                  <a:pt x="61231" y="32934"/>
                                </a:lnTo>
                                <a:cubicBezTo>
                                  <a:pt x="60348" y="27501"/>
                                  <a:pt x="58457" y="23599"/>
                                  <a:pt x="55430" y="21230"/>
                                </a:cubicBezTo>
                                <a:cubicBezTo>
                                  <a:pt x="52403" y="18848"/>
                                  <a:pt x="47989" y="17658"/>
                                  <a:pt x="41935" y="17658"/>
                                </a:cubicBezTo>
                                <a:cubicBezTo>
                                  <a:pt x="35755" y="17658"/>
                                  <a:pt x="30962" y="18924"/>
                                  <a:pt x="27431" y="21471"/>
                                </a:cubicBezTo>
                                <a:cubicBezTo>
                                  <a:pt x="25287" y="23105"/>
                                  <a:pt x="24152" y="25296"/>
                                  <a:pt x="24152" y="28032"/>
                                </a:cubicBezTo>
                                <a:cubicBezTo>
                                  <a:pt x="24152" y="30528"/>
                                  <a:pt x="25161" y="32669"/>
                                  <a:pt x="27305" y="34442"/>
                                </a:cubicBezTo>
                                <a:cubicBezTo>
                                  <a:pt x="29954" y="36709"/>
                                  <a:pt x="36512" y="39065"/>
                                  <a:pt x="46727" y="41510"/>
                                </a:cubicBezTo>
                                <a:cubicBezTo>
                                  <a:pt x="57069" y="43955"/>
                                  <a:pt x="64763" y="46488"/>
                                  <a:pt x="69681" y="49110"/>
                                </a:cubicBezTo>
                                <a:cubicBezTo>
                                  <a:pt x="74600" y="51733"/>
                                  <a:pt x="78510" y="55304"/>
                                  <a:pt x="81284" y="59852"/>
                                </a:cubicBezTo>
                                <a:cubicBezTo>
                                  <a:pt x="84185" y="64387"/>
                                  <a:pt x="85572" y="69998"/>
                                  <a:pt x="85572" y="76674"/>
                                </a:cubicBezTo>
                                <a:cubicBezTo>
                                  <a:pt x="85572" y="82729"/>
                                  <a:pt x="83807" y="88391"/>
                                  <a:pt x="80528" y="93686"/>
                                </a:cubicBezTo>
                                <a:cubicBezTo>
                                  <a:pt x="77122" y="98968"/>
                                  <a:pt x="72456" y="102895"/>
                                  <a:pt x="66276" y="105466"/>
                                </a:cubicBezTo>
                                <a:cubicBezTo>
                                  <a:pt x="60222" y="108038"/>
                                  <a:pt x="52529" y="109317"/>
                                  <a:pt x="43449" y="109317"/>
                                </a:cubicBezTo>
                                <a:cubicBezTo>
                                  <a:pt x="30080" y="109317"/>
                                  <a:pt x="19864" y="106226"/>
                                  <a:pt x="12801" y="100057"/>
                                </a:cubicBezTo>
                                <a:cubicBezTo>
                                  <a:pt x="5612" y="93889"/>
                                  <a:pt x="1388" y="84895"/>
                                  <a:pt x="0" y="73077"/>
                                </a:cubicBezTo>
                                <a:lnTo>
                                  <a:pt x="20621" y="71050"/>
                                </a:lnTo>
                                <a:cubicBezTo>
                                  <a:pt x="21882" y="78017"/>
                                  <a:pt x="24404" y="83134"/>
                                  <a:pt x="28188" y="86402"/>
                                </a:cubicBezTo>
                                <a:cubicBezTo>
                                  <a:pt x="32098" y="89670"/>
                                  <a:pt x="37142" y="91305"/>
                                  <a:pt x="43574" y="91305"/>
                                </a:cubicBezTo>
                                <a:cubicBezTo>
                                  <a:pt x="50511" y="91305"/>
                                  <a:pt x="55682" y="89848"/>
                                  <a:pt x="59087" y="86947"/>
                                </a:cubicBezTo>
                                <a:cubicBezTo>
                                  <a:pt x="62492" y="84034"/>
                                  <a:pt x="64258" y="80639"/>
                                  <a:pt x="64258" y="76750"/>
                                </a:cubicBezTo>
                                <a:cubicBezTo>
                                  <a:pt x="64258" y="74254"/>
                                  <a:pt x="63502" y="72127"/>
                                  <a:pt x="62114" y="70365"/>
                                </a:cubicBezTo>
                                <a:cubicBezTo>
                                  <a:pt x="60601" y="68618"/>
                                  <a:pt x="58078" y="67085"/>
                                  <a:pt x="54421" y="65793"/>
                                </a:cubicBezTo>
                                <a:cubicBezTo>
                                  <a:pt x="52024" y="64932"/>
                                  <a:pt x="46349" y="63386"/>
                                  <a:pt x="37395" y="61182"/>
                                </a:cubicBezTo>
                                <a:cubicBezTo>
                                  <a:pt x="26044" y="58345"/>
                                  <a:pt x="18098" y="54861"/>
                                  <a:pt x="13432" y="50732"/>
                                </a:cubicBezTo>
                                <a:cubicBezTo>
                                  <a:pt x="7000" y="44917"/>
                                  <a:pt x="3809" y="37836"/>
                                  <a:pt x="3809" y="29476"/>
                                </a:cubicBezTo>
                                <a:cubicBezTo>
                                  <a:pt x="3809" y="24093"/>
                                  <a:pt x="5360" y="19064"/>
                                  <a:pt x="8387" y="14377"/>
                                </a:cubicBezTo>
                                <a:cubicBezTo>
                                  <a:pt x="11414" y="9690"/>
                                  <a:pt x="15828" y="6131"/>
                                  <a:pt x="21503" y="3673"/>
                                </a:cubicBezTo>
                                <a:cubicBezTo>
                                  <a:pt x="27179" y="1229"/>
                                  <a:pt x="34116" y="0"/>
                                  <a:pt x="421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1046460" y="1190239"/>
                            <a:ext cx="171371" cy="128825"/>
                          </a:xfrm>
                          <a:custGeom>
                            <a:avLst/>
                            <a:gdLst/>
                            <a:ahLst/>
                            <a:cxnLst/>
                            <a:rect l="0" t="0" r="0" b="0"/>
                            <a:pathLst>
                              <a:path w="171371" h="128825">
                                <a:moveTo>
                                  <a:pt x="160954" y="1976"/>
                                </a:moveTo>
                                <a:cubicBezTo>
                                  <a:pt x="163653" y="0"/>
                                  <a:pt x="167436" y="595"/>
                                  <a:pt x="169404" y="3318"/>
                                </a:cubicBezTo>
                                <a:cubicBezTo>
                                  <a:pt x="171371" y="6029"/>
                                  <a:pt x="170766" y="9830"/>
                                  <a:pt x="168067" y="11805"/>
                                </a:cubicBezTo>
                                <a:lnTo>
                                  <a:pt x="10418" y="126848"/>
                                </a:lnTo>
                                <a:cubicBezTo>
                                  <a:pt x="7719" y="128825"/>
                                  <a:pt x="3935" y="128216"/>
                                  <a:pt x="1968" y="125506"/>
                                </a:cubicBezTo>
                                <a:cubicBezTo>
                                  <a:pt x="0" y="122782"/>
                                  <a:pt x="593" y="118982"/>
                                  <a:pt x="3304" y="117006"/>
                                </a:cubicBezTo>
                                <a:lnTo>
                                  <a:pt x="160954" y="1976"/>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1064986" y="1215852"/>
                            <a:ext cx="171409" cy="128825"/>
                          </a:xfrm>
                          <a:custGeom>
                            <a:avLst/>
                            <a:gdLst/>
                            <a:ahLst/>
                            <a:cxnLst/>
                            <a:rect l="0" t="0" r="0" b="0"/>
                            <a:pathLst>
                              <a:path w="171409" h="128825">
                                <a:moveTo>
                                  <a:pt x="160954" y="1977"/>
                                </a:moveTo>
                                <a:cubicBezTo>
                                  <a:pt x="163666" y="0"/>
                                  <a:pt x="167449" y="608"/>
                                  <a:pt x="169417" y="3319"/>
                                </a:cubicBezTo>
                                <a:cubicBezTo>
                                  <a:pt x="171409" y="6042"/>
                                  <a:pt x="170779" y="9843"/>
                                  <a:pt x="168067" y="11819"/>
                                </a:cubicBezTo>
                                <a:lnTo>
                                  <a:pt x="10430" y="126849"/>
                                </a:lnTo>
                                <a:cubicBezTo>
                                  <a:pt x="7719" y="128825"/>
                                  <a:pt x="3935" y="128229"/>
                                  <a:pt x="1968" y="125506"/>
                                </a:cubicBezTo>
                                <a:cubicBezTo>
                                  <a:pt x="0" y="122796"/>
                                  <a:pt x="606" y="118995"/>
                                  <a:pt x="3304" y="117019"/>
                                </a:cubicBezTo>
                                <a:lnTo>
                                  <a:pt x="160954" y="197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710503" y="940051"/>
                            <a:ext cx="83441" cy="105631"/>
                          </a:xfrm>
                          <a:custGeom>
                            <a:avLst/>
                            <a:gdLst/>
                            <a:ahLst/>
                            <a:cxnLst/>
                            <a:rect l="0" t="0" r="0" b="0"/>
                            <a:pathLst>
                              <a:path w="83441" h="105631">
                                <a:moveTo>
                                  <a:pt x="0" y="0"/>
                                </a:moveTo>
                                <a:lnTo>
                                  <a:pt x="20671" y="0"/>
                                </a:lnTo>
                                <a:lnTo>
                                  <a:pt x="63715" y="70543"/>
                                </a:lnTo>
                                <a:lnTo>
                                  <a:pt x="63715" y="0"/>
                                </a:lnTo>
                                <a:lnTo>
                                  <a:pt x="83441" y="0"/>
                                </a:lnTo>
                                <a:lnTo>
                                  <a:pt x="83441" y="105631"/>
                                </a:lnTo>
                                <a:lnTo>
                                  <a:pt x="62139" y="105631"/>
                                </a:lnTo>
                                <a:lnTo>
                                  <a:pt x="19738" y="36747"/>
                                </a:lnTo>
                                <a:lnTo>
                                  <a:pt x="19738" y="105631"/>
                                </a:lnTo>
                                <a:lnTo>
                                  <a:pt x="0" y="1056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770599" y="1064429"/>
                            <a:ext cx="43461" cy="105986"/>
                          </a:xfrm>
                          <a:custGeom>
                            <a:avLst/>
                            <a:gdLst/>
                            <a:ahLst/>
                            <a:cxnLst/>
                            <a:rect l="0" t="0" r="0" b="0"/>
                            <a:pathLst>
                              <a:path w="43461" h="105986">
                                <a:moveTo>
                                  <a:pt x="4919" y="1039"/>
                                </a:moveTo>
                                <a:cubicBezTo>
                                  <a:pt x="8110" y="0"/>
                                  <a:pt x="11515" y="1749"/>
                                  <a:pt x="12549" y="4941"/>
                                </a:cubicBezTo>
                                <a:lnTo>
                                  <a:pt x="42426" y="97296"/>
                                </a:lnTo>
                                <a:cubicBezTo>
                                  <a:pt x="43461" y="100488"/>
                                  <a:pt x="41720" y="103922"/>
                                  <a:pt x="38542" y="104960"/>
                                </a:cubicBezTo>
                                <a:cubicBezTo>
                                  <a:pt x="35364" y="105986"/>
                                  <a:pt x="31946" y="104238"/>
                                  <a:pt x="30912" y="101046"/>
                                </a:cubicBezTo>
                                <a:lnTo>
                                  <a:pt x="1034" y="8703"/>
                                </a:lnTo>
                                <a:cubicBezTo>
                                  <a:pt x="0" y="5511"/>
                                  <a:pt x="1741" y="2078"/>
                                  <a:pt x="4919" y="1039"/>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806846" y="813228"/>
                            <a:ext cx="132173" cy="132700"/>
                          </a:xfrm>
                          <a:custGeom>
                            <a:avLst/>
                            <a:gdLst/>
                            <a:ahLst/>
                            <a:cxnLst/>
                            <a:rect l="0" t="0" r="0" b="0"/>
                            <a:pathLst>
                              <a:path w="132173" h="132700">
                                <a:moveTo>
                                  <a:pt x="121251" y="2280"/>
                                </a:moveTo>
                                <a:cubicBezTo>
                                  <a:pt x="123610" y="0"/>
                                  <a:pt x="127443" y="0"/>
                                  <a:pt x="129815" y="2280"/>
                                </a:cubicBezTo>
                                <a:cubicBezTo>
                                  <a:pt x="132173" y="4687"/>
                                  <a:pt x="132173" y="8487"/>
                                  <a:pt x="129815" y="10894"/>
                                </a:cubicBezTo>
                                <a:lnTo>
                                  <a:pt x="10922" y="130319"/>
                                </a:lnTo>
                                <a:cubicBezTo>
                                  <a:pt x="8563" y="132700"/>
                                  <a:pt x="4729" y="132700"/>
                                  <a:pt x="2358" y="130319"/>
                                </a:cubicBezTo>
                                <a:cubicBezTo>
                                  <a:pt x="0" y="127950"/>
                                  <a:pt x="0" y="124099"/>
                                  <a:pt x="2358" y="121718"/>
                                </a:cubicBezTo>
                                <a:lnTo>
                                  <a:pt x="121251" y="228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784547" y="800054"/>
                            <a:ext cx="122941" cy="123479"/>
                          </a:xfrm>
                          <a:custGeom>
                            <a:avLst/>
                            <a:gdLst/>
                            <a:ahLst/>
                            <a:cxnLst/>
                            <a:rect l="0" t="0" r="0" b="0"/>
                            <a:pathLst>
                              <a:path w="122941" h="123479">
                                <a:moveTo>
                                  <a:pt x="112020" y="2407"/>
                                </a:moveTo>
                                <a:cubicBezTo>
                                  <a:pt x="114378" y="0"/>
                                  <a:pt x="118212" y="0"/>
                                  <a:pt x="120583" y="2407"/>
                                </a:cubicBezTo>
                                <a:cubicBezTo>
                                  <a:pt x="122941" y="4687"/>
                                  <a:pt x="122941" y="8614"/>
                                  <a:pt x="120583" y="11021"/>
                                </a:cubicBezTo>
                                <a:lnTo>
                                  <a:pt x="10922" y="121098"/>
                                </a:lnTo>
                                <a:cubicBezTo>
                                  <a:pt x="8563" y="123479"/>
                                  <a:pt x="4730" y="123479"/>
                                  <a:pt x="2371" y="121098"/>
                                </a:cubicBezTo>
                                <a:cubicBezTo>
                                  <a:pt x="0" y="118729"/>
                                  <a:pt x="0" y="114878"/>
                                  <a:pt x="2371" y="112509"/>
                                </a:cubicBezTo>
                                <a:lnTo>
                                  <a:pt x="112020" y="240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926318" y="560393"/>
                            <a:ext cx="12107" cy="265503"/>
                          </a:xfrm>
                          <a:custGeom>
                            <a:avLst/>
                            <a:gdLst/>
                            <a:ahLst/>
                            <a:cxnLst/>
                            <a:rect l="0" t="0" r="0" b="0"/>
                            <a:pathLst>
                              <a:path w="12107" h="265503">
                                <a:moveTo>
                                  <a:pt x="6054" y="0"/>
                                </a:moveTo>
                                <a:cubicBezTo>
                                  <a:pt x="9396" y="0"/>
                                  <a:pt x="12107" y="2787"/>
                                  <a:pt x="12107" y="6080"/>
                                </a:cubicBezTo>
                                <a:lnTo>
                                  <a:pt x="12107" y="259423"/>
                                </a:lnTo>
                                <a:cubicBezTo>
                                  <a:pt x="12107" y="262843"/>
                                  <a:pt x="9396" y="265503"/>
                                  <a:pt x="6054" y="265503"/>
                                </a:cubicBezTo>
                                <a:cubicBezTo>
                                  <a:pt x="2711" y="265503"/>
                                  <a:pt x="0" y="262843"/>
                                  <a:pt x="0" y="259423"/>
                                </a:cubicBezTo>
                                <a:lnTo>
                                  <a:pt x="0" y="6080"/>
                                </a:lnTo>
                                <a:cubicBezTo>
                                  <a:pt x="0" y="2787"/>
                                  <a:pt x="2711" y="0"/>
                                  <a:pt x="60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925461" y="432835"/>
                            <a:ext cx="232274" cy="140605"/>
                          </a:xfrm>
                          <a:custGeom>
                            <a:avLst/>
                            <a:gdLst/>
                            <a:ahLst/>
                            <a:cxnLst/>
                            <a:rect l="0" t="0" r="0" b="0"/>
                            <a:pathLst>
                              <a:path w="232274" h="140605">
                                <a:moveTo>
                                  <a:pt x="222336" y="1774"/>
                                </a:moveTo>
                                <a:cubicBezTo>
                                  <a:pt x="225224" y="0"/>
                                  <a:pt x="228932" y="1014"/>
                                  <a:pt x="230597" y="3927"/>
                                </a:cubicBezTo>
                                <a:cubicBezTo>
                                  <a:pt x="232274" y="6840"/>
                                  <a:pt x="231278" y="10641"/>
                                  <a:pt x="228390" y="12287"/>
                                </a:cubicBezTo>
                                <a:lnTo>
                                  <a:pt x="9938" y="138959"/>
                                </a:lnTo>
                                <a:cubicBezTo>
                                  <a:pt x="7050" y="140605"/>
                                  <a:pt x="3342" y="139592"/>
                                  <a:pt x="1665" y="136678"/>
                                </a:cubicBezTo>
                                <a:cubicBezTo>
                                  <a:pt x="0" y="133765"/>
                                  <a:pt x="996" y="130091"/>
                                  <a:pt x="3884" y="128444"/>
                                </a:cubicBezTo>
                                <a:lnTo>
                                  <a:pt x="222336" y="1774"/>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Shape 185"/>
                        <wps:cNvSpPr/>
                        <wps:spPr>
                          <a:xfrm>
                            <a:off x="925461" y="414594"/>
                            <a:ext cx="200744" cy="122238"/>
                          </a:xfrm>
                          <a:custGeom>
                            <a:avLst/>
                            <a:gdLst/>
                            <a:ahLst/>
                            <a:cxnLst/>
                            <a:rect l="0" t="0" r="0" b="0"/>
                            <a:pathLst>
                              <a:path w="200744" h="122238">
                                <a:moveTo>
                                  <a:pt x="190806" y="1646"/>
                                </a:moveTo>
                                <a:cubicBezTo>
                                  <a:pt x="193694" y="0"/>
                                  <a:pt x="197402" y="1013"/>
                                  <a:pt x="199067" y="3927"/>
                                </a:cubicBezTo>
                                <a:cubicBezTo>
                                  <a:pt x="200744" y="6840"/>
                                  <a:pt x="199748" y="10514"/>
                                  <a:pt x="196860" y="12160"/>
                                </a:cubicBezTo>
                                <a:lnTo>
                                  <a:pt x="9938" y="120591"/>
                                </a:lnTo>
                                <a:cubicBezTo>
                                  <a:pt x="7050" y="122238"/>
                                  <a:pt x="3342" y="121351"/>
                                  <a:pt x="1665" y="118437"/>
                                </a:cubicBezTo>
                                <a:cubicBezTo>
                                  <a:pt x="0" y="115524"/>
                                  <a:pt x="996" y="111724"/>
                                  <a:pt x="3884" y="110077"/>
                                </a:cubicBezTo>
                                <a:lnTo>
                                  <a:pt x="190806" y="1646"/>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 name="Shape 186"/>
                        <wps:cNvSpPr/>
                        <wps:spPr>
                          <a:xfrm>
                            <a:off x="1144770" y="180379"/>
                            <a:ext cx="12107" cy="265503"/>
                          </a:xfrm>
                          <a:custGeom>
                            <a:avLst/>
                            <a:gdLst/>
                            <a:ahLst/>
                            <a:cxnLst/>
                            <a:rect l="0" t="0" r="0" b="0"/>
                            <a:pathLst>
                              <a:path w="12107" h="265503">
                                <a:moveTo>
                                  <a:pt x="6054" y="0"/>
                                </a:moveTo>
                                <a:cubicBezTo>
                                  <a:pt x="9396" y="0"/>
                                  <a:pt x="12107" y="2787"/>
                                  <a:pt x="12107" y="6080"/>
                                </a:cubicBezTo>
                                <a:lnTo>
                                  <a:pt x="12107" y="259423"/>
                                </a:lnTo>
                                <a:cubicBezTo>
                                  <a:pt x="12107" y="262843"/>
                                  <a:pt x="9396" y="265503"/>
                                  <a:pt x="6054" y="265503"/>
                                </a:cubicBezTo>
                                <a:cubicBezTo>
                                  <a:pt x="2711" y="265503"/>
                                  <a:pt x="0" y="262843"/>
                                  <a:pt x="0" y="259423"/>
                                </a:cubicBezTo>
                                <a:lnTo>
                                  <a:pt x="0" y="6080"/>
                                </a:lnTo>
                                <a:cubicBezTo>
                                  <a:pt x="0" y="2787"/>
                                  <a:pt x="2711" y="0"/>
                                  <a:pt x="60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 name="Shape 187"/>
                        <wps:cNvSpPr/>
                        <wps:spPr>
                          <a:xfrm>
                            <a:off x="925461" y="52822"/>
                            <a:ext cx="232274" cy="140605"/>
                          </a:xfrm>
                          <a:custGeom>
                            <a:avLst/>
                            <a:gdLst/>
                            <a:ahLst/>
                            <a:cxnLst/>
                            <a:rect l="0" t="0" r="0" b="0"/>
                            <a:pathLst>
                              <a:path w="232274" h="140605">
                                <a:moveTo>
                                  <a:pt x="9938" y="1774"/>
                                </a:moveTo>
                                <a:lnTo>
                                  <a:pt x="228390" y="128444"/>
                                </a:lnTo>
                                <a:cubicBezTo>
                                  <a:pt x="231278" y="130091"/>
                                  <a:pt x="232274" y="133765"/>
                                  <a:pt x="230597" y="136678"/>
                                </a:cubicBezTo>
                                <a:cubicBezTo>
                                  <a:pt x="228932" y="139591"/>
                                  <a:pt x="225224" y="140605"/>
                                  <a:pt x="222336" y="138958"/>
                                </a:cubicBezTo>
                                <a:lnTo>
                                  <a:pt x="3884" y="12287"/>
                                </a:lnTo>
                                <a:cubicBezTo>
                                  <a:pt x="996" y="10640"/>
                                  <a:pt x="0" y="6840"/>
                                  <a:pt x="1665" y="3927"/>
                                </a:cubicBezTo>
                                <a:cubicBezTo>
                                  <a:pt x="3342" y="1013"/>
                                  <a:pt x="7050" y="0"/>
                                  <a:pt x="9938" y="177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 name="Shape 188"/>
                        <wps:cNvSpPr/>
                        <wps:spPr>
                          <a:xfrm>
                            <a:off x="925461" y="89430"/>
                            <a:ext cx="200744" cy="122238"/>
                          </a:xfrm>
                          <a:custGeom>
                            <a:avLst/>
                            <a:gdLst/>
                            <a:ahLst/>
                            <a:cxnLst/>
                            <a:rect l="0" t="0" r="0" b="0"/>
                            <a:pathLst>
                              <a:path w="200744" h="122238">
                                <a:moveTo>
                                  <a:pt x="9938" y="1646"/>
                                </a:moveTo>
                                <a:lnTo>
                                  <a:pt x="196860" y="110077"/>
                                </a:lnTo>
                                <a:cubicBezTo>
                                  <a:pt x="199748" y="111724"/>
                                  <a:pt x="200744" y="115524"/>
                                  <a:pt x="199067" y="118437"/>
                                </a:cubicBezTo>
                                <a:cubicBezTo>
                                  <a:pt x="197402" y="121351"/>
                                  <a:pt x="193694" y="122238"/>
                                  <a:pt x="190806" y="120591"/>
                                </a:cubicBezTo>
                                <a:lnTo>
                                  <a:pt x="3884" y="12160"/>
                                </a:lnTo>
                                <a:cubicBezTo>
                                  <a:pt x="996" y="10513"/>
                                  <a:pt x="0" y="6840"/>
                                  <a:pt x="1665" y="3927"/>
                                </a:cubicBezTo>
                                <a:cubicBezTo>
                                  <a:pt x="3342" y="1013"/>
                                  <a:pt x="7050" y="0"/>
                                  <a:pt x="9938" y="164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 name="Shape 189"/>
                        <wps:cNvSpPr/>
                        <wps:spPr>
                          <a:xfrm>
                            <a:off x="707009" y="52822"/>
                            <a:ext cx="232274" cy="140605"/>
                          </a:xfrm>
                          <a:custGeom>
                            <a:avLst/>
                            <a:gdLst/>
                            <a:ahLst/>
                            <a:cxnLst/>
                            <a:rect l="0" t="0" r="0" b="0"/>
                            <a:pathLst>
                              <a:path w="232274" h="140605">
                                <a:moveTo>
                                  <a:pt x="222336" y="1774"/>
                                </a:moveTo>
                                <a:cubicBezTo>
                                  <a:pt x="225237" y="0"/>
                                  <a:pt x="228932" y="1013"/>
                                  <a:pt x="230610" y="3927"/>
                                </a:cubicBezTo>
                                <a:cubicBezTo>
                                  <a:pt x="232274" y="6840"/>
                                  <a:pt x="231291" y="10640"/>
                                  <a:pt x="228390" y="12287"/>
                                </a:cubicBezTo>
                                <a:lnTo>
                                  <a:pt x="9951" y="138958"/>
                                </a:lnTo>
                                <a:cubicBezTo>
                                  <a:pt x="7050" y="140605"/>
                                  <a:pt x="3342" y="139591"/>
                                  <a:pt x="1678" y="136678"/>
                                </a:cubicBezTo>
                                <a:cubicBezTo>
                                  <a:pt x="0" y="133765"/>
                                  <a:pt x="996" y="130091"/>
                                  <a:pt x="3897" y="128444"/>
                                </a:cubicBezTo>
                                <a:lnTo>
                                  <a:pt x="222336" y="1774"/>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 name="Shape 190"/>
                        <wps:cNvSpPr/>
                        <wps:spPr>
                          <a:xfrm>
                            <a:off x="707879" y="180379"/>
                            <a:ext cx="12107" cy="265503"/>
                          </a:xfrm>
                          <a:custGeom>
                            <a:avLst/>
                            <a:gdLst/>
                            <a:ahLst/>
                            <a:cxnLst/>
                            <a:rect l="0" t="0" r="0" b="0"/>
                            <a:pathLst>
                              <a:path w="12107" h="265503">
                                <a:moveTo>
                                  <a:pt x="6054" y="0"/>
                                </a:moveTo>
                                <a:cubicBezTo>
                                  <a:pt x="9396" y="0"/>
                                  <a:pt x="12107" y="2787"/>
                                  <a:pt x="12107" y="6080"/>
                                </a:cubicBezTo>
                                <a:lnTo>
                                  <a:pt x="12107" y="259423"/>
                                </a:lnTo>
                                <a:cubicBezTo>
                                  <a:pt x="12107" y="262843"/>
                                  <a:pt x="9396" y="265503"/>
                                  <a:pt x="6054" y="265503"/>
                                </a:cubicBezTo>
                                <a:cubicBezTo>
                                  <a:pt x="2711" y="265503"/>
                                  <a:pt x="0" y="262843"/>
                                  <a:pt x="0" y="259423"/>
                                </a:cubicBezTo>
                                <a:lnTo>
                                  <a:pt x="0" y="6080"/>
                                </a:lnTo>
                                <a:cubicBezTo>
                                  <a:pt x="0" y="2787"/>
                                  <a:pt x="2711" y="0"/>
                                  <a:pt x="60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Shape 191"/>
                        <wps:cNvSpPr/>
                        <wps:spPr>
                          <a:xfrm>
                            <a:off x="739409" y="198747"/>
                            <a:ext cx="12107" cy="228895"/>
                          </a:xfrm>
                          <a:custGeom>
                            <a:avLst/>
                            <a:gdLst/>
                            <a:ahLst/>
                            <a:cxnLst/>
                            <a:rect l="0" t="0" r="0" b="0"/>
                            <a:pathLst>
                              <a:path w="12107" h="228895">
                                <a:moveTo>
                                  <a:pt x="6054" y="0"/>
                                </a:moveTo>
                                <a:cubicBezTo>
                                  <a:pt x="9396" y="0"/>
                                  <a:pt x="12107" y="2660"/>
                                  <a:pt x="12107" y="6080"/>
                                </a:cubicBezTo>
                                <a:lnTo>
                                  <a:pt x="12107" y="222814"/>
                                </a:lnTo>
                                <a:cubicBezTo>
                                  <a:pt x="12107" y="226108"/>
                                  <a:pt x="9396" y="228895"/>
                                  <a:pt x="6054" y="228895"/>
                                </a:cubicBezTo>
                                <a:cubicBezTo>
                                  <a:pt x="2711" y="228895"/>
                                  <a:pt x="0" y="226108"/>
                                  <a:pt x="0" y="222814"/>
                                </a:cubicBezTo>
                                <a:lnTo>
                                  <a:pt x="0" y="6080"/>
                                </a:lnTo>
                                <a:cubicBezTo>
                                  <a:pt x="0" y="2660"/>
                                  <a:pt x="2711" y="0"/>
                                  <a:pt x="60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 name="Shape 192"/>
                        <wps:cNvSpPr/>
                        <wps:spPr>
                          <a:xfrm>
                            <a:off x="707009" y="432835"/>
                            <a:ext cx="232274" cy="140605"/>
                          </a:xfrm>
                          <a:custGeom>
                            <a:avLst/>
                            <a:gdLst/>
                            <a:ahLst/>
                            <a:cxnLst/>
                            <a:rect l="0" t="0" r="0" b="0"/>
                            <a:pathLst>
                              <a:path w="232274" h="140605">
                                <a:moveTo>
                                  <a:pt x="9951" y="1774"/>
                                </a:moveTo>
                                <a:lnTo>
                                  <a:pt x="228390" y="128444"/>
                                </a:lnTo>
                                <a:cubicBezTo>
                                  <a:pt x="231291" y="130091"/>
                                  <a:pt x="232274" y="133765"/>
                                  <a:pt x="230610" y="136678"/>
                                </a:cubicBezTo>
                                <a:cubicBezTo>
                                  <a:pt x="228932" y="139592"/>
                                  <a:pt x="225237" y="140605"/>
                                  <a:pt x="222336" y="138959"/>
                                </a:cubicBezTo>
                                <a:lnTo>
                                  <a:pt x="3897" y="12287"/>
                                </a:lnTo>
                                <a:cubicBezTo>
                                  <a:pt x="996" y="10641"/>
                                  <a:pt x="0" y="6840"/>
                                  <a:pt x="1678" y="3927"/>
                                </a:cubicBezTo>
                                <a:cubicBezTo>
                                  <a:pt x="3342" y="1014"/>
                                  <a:pt x="7050" y="0"/>
                                  <a:pt x="9951" y="177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 name="Shape 193"/>
                        <wps:cNvSpPr/>
                        <wps:spPr>
                          <a:xfrm>
                            <a:off x="1316482" y="0"/>
                            <a:ext cx="51015" cy="109284"/>
                          </a:xfrm>
                          <a:custGeom>
                            <a:avLst/>
                            <a:gdLst/>
                            <a:ahLst/>
                            <a:cxnLst/>
                            <a:rect l="0" t="0" r="0" b="0"/>
                            <a:pathLst>
                              <a:path w="51015" h="109284">
                                <a:moveTo>
                                  <a:pt x="50952" y="0"/>
                                </a:moveTo>
                                <a:lnTo>
                                  <a:pt x="51015" y="11"/>
                                </a:lnTo>
                                <a:lnTo>
                                  <a:pt x="51015" y="18267"/>
                                </a:lnTo>
                                <a:lnTo>
                                  <a:pt x="29890" y="27361"/>
                                </a:lnTo>
                                <a:cubicBezTo>
                                  <a:pt x="24593" y="33315"/>
                                  <a:pt x="21945" y="42435"/>
                                  <a:pt x="21945" y="54596"/>
                                </a:cubicBezTo>
                                <a:cubicBezTo>
                                  <a:pt x="21945" y="66502"/>
                                  <a:pt x="24719" y="75623"/>
                                  <a:pt x="30142" y="81830"/>
                                </a:cubicBezTo>
                                <a:lnTo>
                                  <a:pt x="51015" y="91048"/>
                                </a:lnTo>
                                <a:lnTo>
                                  <a:pt x="51015" y="109284"/>
                                </a:lnTo>
                                <a:lnTo>
                                  <a:pt x="30126" y="105707"/>
                                </a:lnTo>
                                <a:cubicBezTo>
                                  <a:pt x="23900" y="103300"/>
                                  <a:pt x="18476" y="99690"/>
                                  <a:pt x="13873" y="94877"/>
                                </a:cubicBezTo>
                                <a:cubicBezTo>
                                  <a:pt x="4666" y="85249"/>
                                  <a:pt x="0" y="72076"/>
                                  <a:pt x="0" y="55355"/>
                                </a:cubicBezTo>
                                <a:cubicBezTo>
                                  <a:pt x="0" y="44588"/>
                                  <a:pt x="1639" y="35468"/>
                                  <a:pt x="4792" y="28248"/>
                                </a:cubicBezTo>
                                <a:cubicBezTo>
                                  <a:pt x="7189" y="22801"/>
                                  <a:pt x="10468" y="17987"/>
                                  <a:pt x="14630" y="13680"/>
                                </a:cubicBezTo>
                                <a:cubicBezTo>
                                  <a:pt x="18791" y="9500"/>
                                  <a:pt x="23332" y="6333"/>
                                  <a:pt x="28251" y="4180"/>
                                </a:cubicBezTo>
                                <a:cubicBezTo>
                                  <a:pt x="34809" y="1393"/>
                                  <a:pt x="42376" y="0"/>
                                  <a:pt x="509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 name="Shape 194"/>
                        <wps:cNvSpPr/>
                        <wps:spPr>
                          <a:xfrm>
                            <a:off x="1367497" y="11"/>
                            <a:ext cx="51015" cy="109306"/>
                          </a:xfrm>
                          <a:custGeom>
                            <a:avLst/>
                            <a:gdLst/>
                            <a:ahLst/>
                            <a:cxnLst/>
                            <a:rect l="0" t="0" r="0" b="0"/>
                            <a:pathLst>
                              <a:path w="51015" h="109306">
                                <a:moveTo>
                                  <a:pt x="0" y="0"/>
                                </a:moveTo>
                                <a:lnTo>
                                  <a:pt x="20794" y="3615"/>
                                </a:lnTo>
                                <a:cubicBezTo>
                                  <a:pt x="26990" y="6038"/>
                                  <a:pt x="32413" y="9679"/>
                                  <a:pt x="37016" y="14556"/>
                                </a:cubicBezTo>
                                <a:cubicBezTo>
                                  <a:pt x="46349" y="24183"/>
                                  <a:pt x="51015" y="37610"/>
                                  <a:pt x="51015" y="54838"/>
                                </a:cubicBezTo>
                                <a:cubicBezTo>
                                  <a:pt x="51015" y="71812"/>
                                  <a:pt x="46475" y="85239"/>
                                  <a:pt x="37142" y="94866"/>
                                </a:cubicBezTo>
                                <a:cubicBezTo>
                                  <a:pt x="27936" y="104492"/>
                                  <a:pt x="15576" y="109306"/>
                                  <a:pt x="189" y="109306"/>
                                </a:cubicBezTo>
                                <a:lnTo>
                                  <a:pt x="0" y="109274"/>
                                </a:lnTo>
                                <a:lnTo>
                                  <a:pt x="0" y="91037"/>
                                </a:lnTo>
                                <a:lnTo>
                                  <a:pt x="63" y="91065"/>
                                </a:lnTo>
                                <a:cubicBezTo>
                                  <a:pt x="8513" y="91065"/>
                                  <a:pt x="15450" y="88026"/>
                                  <a:pt x="20873" y="81819"/>
                                </a:cubicBezTo>
                                <a:cubicBezTo>
                                  <a:pt x="26422" y="75738"/>
                                  <a:pt x="29071" y="66491"/>
                                  <a:pt x="29071" y="54331"/>
                                </a:cubicBezTo>
                                <a:cubicBezTo>
                                  <a:pt x="29071" y="42171"/>
                                  <a:pt x="26422" y="33177"/>
                                  <a:pt x="21125" y="27224"/>
                                </a:cubicBezTo>
                                <a:cubicBezTo>
                                  <a:pt x="15828" y="21270"/>
                                  <a:pt x="8892" y="18230"/>
                                  <a:pt x="63" y="18230"/>
                                </a:cubicBezTo>
                                <a:lnTo>
                                  <a:pt x="0" y="182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 name="Shape 195"/>
                        <wps:cNvSpPr/>
                        <wps:spPr>
                          <a:xfrm>
                            <a:off x="1438187" y="1773"/>
                            <a:ext cx="84122" cy="105644"/>
                          </a:xfrm>
                          <a:custGeom>
                            <a:avLst/>
                            <a:gdLst/>
                            <a:ahLst/>
                            <a:cxnLst/>
                            <a:rect l="0" t="0" r="0" b="0"/>
                            <a:pathLst>
                              <a:path w="84122" h="105644">
                                <a:moveTo>
                                  <a:pt x="0" y="0"/>
                                </a:moveTo>
                                <a:lnTo>
                                  <a:pt x="21188" y="0"/>
                                </a:lnTo>
                                <a:lnTo>
                                  <a:pt x="21188" y="41675"/>
                                </a:lnTo>
                                <a:lnTo>
                                  <a:pt x="62807" y="41675"/>
                                </a:lnTo>
                                <a:lnTo>
                                  <a:pt x="62807" y="0"/>
                                </a:lnTo>
                                <a:lnTo>
                                  <a:pt x="84122" y="0"/>
                                </a:lnTo>
                                <a:lnTo>
                                  <a:pt x="84122" y="105644"/>
                                </a:lnTo>
                                <a:lnTo>
                                  <a:pt x="62807" y="105644"/>
                                </a:lnTo>
                                <a:lnTo>
                                  <a:pt x="62807" y="59536"/>
                                </a:lnTo>
                                <a:lnTo>
                                  <a:pt x="21188" y="59536"/>
                                </a:lnTo>
                                <a:lnTo>
                                  <a:pt x="21188" y="105644"/>
                                </a:lnTo>
                                <a:lnTo>
                                  <a:pt x="0" y="1056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6" name="Shape 196"/>
                        <wps:cNvSpPr/>
                        <wps:spPr>
                          <a:xfrm>
                            <a:off x="1143899" y="88417"/>
                            <a:ext cx="171069" cy="105010"/>
                          </a:xfrm>
                          <a:custGeom>
                            <a:avLst/>
                            <a:gdLst/>
                            <a:ahLst/>
                            <a:cxnLst/>
                            <a:rect l="0" t="0" r="0" b="0"/>
                            <a:pathLst>
                              <a:path w="171069" h="105010">
                                <a:moveTo>
                                  <a:pt x="161105" y="1646"/>
                                </a:moveTo>
                                <a:cubicBezTo>
                                  <a:pt x="164006" y="0"/>
                                  <a:pt x="167789" y="886"/>
                                  <a:pt x="169429" y="3800"/>
                                </a:cubicBezTo>
                                <a:cubicBezTo>
                                  <a:pt x="171069" y="6714"/>
                                  <a:pt x="170060" y="10513"/>
                                  <a:pt x="167159" y="12160"/>
                                </a:cubicBezTo>
                                <a:lnTo>
                                  <a:pt x="9951" y="103363"/>
                                </a:lnTo>
                                <a:cubicBezTo>
                                  <a:pt x="7050" y="105010"/>
                                  <a:pt x="3342" y="103997"/>
                                  <a:pt x="1677" y="101083"/>
                                </a:cubicBezTo>
                                <a:cubicBezTo>
                                  <a:pt x="0" y="98170"/>
                                  <a:pt x="996" y="94496"/>
                                  <a:pt x="3897" y="92850"/>
                                </a:cubicBezTo>
                                <a:lnTo>
                                  <a:pt x="161105" y="1646"/>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62B1B85" id="Group 1003" o:spid="_x0000_s1026" style="width:388.5pt;height:417.65pt;mso-position-horizontal-relative:char;mso-position-vertical-relative:line" coordsize="15223,21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">
                <v:shape id="Shape 144" o:spid="_x0000_s1027" style="position:absolute;left:8;top:15170;width:121;height:2655;visibility:visible;mso-wrap-style:square;v-text-anchor:top" coordsize="12107,2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" path="m6054,v3343,,6053,2724,6053,6080l12107,259422v,3357,-2710,6080,-6053,6080c2710,265502,,262779,,259422l,6080c,2724,2710,,6054,xe" fillcolor="black" stroked="f" strokeweight="0">
                  <v:stroke miterlimit="83231f" joinstyle="miter"/>
                  <v:path arrowok="t" textboxrect="0,0,12107,265502"/>
                </v:shape>
                <v:shape id="Shape 145" o:spid="_x0000_s1028" style="position:absolute;left:323;top:15353;width:121;height:2290;visibility:visible;mso-wrap-style:square;v-text-anchor:top" coordsize="12107,228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" path="m6054,v3343,,6053,2724,6053,6080l12107,222853v,3356,-2710,6080,-6053,6080c2710,228933,,226209,,222853l,6080c,2724,2710,,6054,xe" fillcolor="black" stroked="f" strokeweight="0">
                  <v:stroke miterlimit="83231f" joinstyle="miter"/>
                  <v:path arrowok="t" textboxrect="0,0,12107,228933"/>
                </v:shape>
                <v:shape id="Shape 146" o:spid="_x0000_s1029" style="position:absolute;top:17695;width:2322;height:1406;visibility:visible;mso-wrap-style:square;v-text-anchor:top" coordsize="232271,14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" path="m9941,1685l228386,128356v2901,1672,3885,5396,2220,8297c228928,139567,225233,140567,222332,138882l3887,12211c991,10526,,6815,1671,3901,3343,1001,7045,,9941,1685xe" fillcolor="black" stroked="f" strokeweight="0">
                  <v:stroke miterlimit="83231f" joinstyle="miter"/>
                  <v:path arrowok="t" textboxrect="0,0,232271,140567"/>
                </v:shape>
                <v:shape id="Shape 147" o:spid="_x0000_s1030" style="position:absolute;left:2184;top:17695;width:2323;height:1406;visibility:visible;mso-wrap-style:square;v-text-anchor:top" coordsize="232274,14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" path="m222323,1685v2901,-1685,6609,-684,8274,2216c232274,6815,231278,10526,228377,12211l9938,138882v-2900,1685,-6596,685,-8273,-2229c,133752,984,130028,3884,128356l222323,1685xe" fillcolor="black" stroked="f" strokeweight="0">
                  <v:stroke miterlimit="83231f" joinstyle="miter"/>
                  <v:path arrowok="t" textboxrect="0,0,232274,140567"/>
                </v:shape>
                <v:shape id="Shape 148" o:spid="_x0000_s1031" style="position:absolute;left:2184;top:17512;width:2007;height:1223;visibility:visible;mso-wrap-style:square;v-text-anchor:top" coordsize="200744,1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" path="m190793,1672c193694,,197402,988,199067,3902v1677,2901,681,6624,-2207,8310l9938,120591v-2900,1684,-6596,684,-8273,-2217c,115461,984,111737,3884,110065l190793,1672xe" fillcolor="black" stroked="f" strokeweight="0">
                  <v:stroke miterlimit="83231f" joinstyle="miter"/>
                  <v:path arrowok="t" textboxrect="0,0,200744,122275"/>
                </v:shape>
                <v:shape id="Shape 149" o:spid="_x0000_s1032" style="position:absolute;left:4377;top:15170;width:121;height:2655;visibility:visible;mso-wrap-style:square;v-text-anchor:top" coordsize="12108,265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" path="m6054,v3355,,6054,2724,6054,6080l12108,259422v,3357,-2699,6080,-6054,6080c2712,265502,,262779,,259422l,6080c,2724,2712,,6054,xe" fillcolor="black" stroked="f" strokeweight="0">
                  <v:stroke miterlimit="83231f" joinstyle="miter"/>
                  <v:path arrowok="t" textboxrect="0,0,12108,265502"/>
                </v:shape>
                <v:shape id="Shape 150" o:spid="_x0000_s1033" style="position:absolute;left:2184;top:13895;width:2323;height:1406;visibility:visible;mso-wrap-style:square;v-text-anchor:top" coordsize="232274,14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" path="m9938,1685l228377,128356v2901,1672,3897,5396,2220,8297c228932,139567,225224,140567,222323,138882l3884,12212c984,10526,,6815,1665,3902,3342,1001,7038,,9938,1685xe" fillcolor="black" stroked="f" strokeweight="0">
                  <v:stroke miterlimit="83231f" joinstyle="miter"/>
                  <v:path arrowok="t" textboxrect="0,0,232274,140567"/>
                </v:shape>
                <v:shape id="Shape 151" o:spid="_x0000_s1034" style="position:absolute;left:2184;top:14261;width:2007;height:1223;visibility:visible;mso-wrap-style:square;v-text-anchor:top" coordsize="200744,122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" path="m9938,1673l196860,110065v2888,1685,3884,5396,2207,8309c197402,121275,193694,122276,190793,120591l3884,12212c984,10526,,6815,1665,3902,3342,988,7038,,9938,1673xe" fillcolor="black" stroked="f" strokeweight="0">
                  <v:stroke miterlimit="83231f" joinstyle="miter"/>
                  <v:path arrowok="t" textboxrect="0,0,200744,122276"/>
                </v:shape>
                <v:shape id="Shape 152" o:spid="_x0000_s1035" style="position:absolute;top:13895;width:2322;height:1406;visibility:visible;mso-wrap-style:square;v-text-anchor:top" coordsize="232271,14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" path="m222332,1685v2901,-1685,6596,-684,8274,2217c232271,6815,231287,10526,228386,12212l9941,138882v-2896,1685,-6598,685,-8270,-2229c,133752,991,130028,3887,128356l222332,1685xe" fillcolor="black" stroked="f" strokeweight="0">
                  <v:stroke miterlimit="83231f" joinstyle="miter"/>
                  <v:path arrowok="t" textboxrect="0,0,232271,140567"/>
                </v:shape>
                <v:shape id="Shape 153" o:spid="_x0000_s1036" style="position:absolute;left:4370;top:17696;width:2534;height:920;visibility:visible;mso-wrap-style:square;v-text-anchor:top" coordsize="253475,9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" path="m8665,1039l248556,79322v3179,1038,4919,4471,3885,7663c251407,90177,247989,91925,244811,90886l4919,12603c1741,11564,,8132,1034,4940,2068,1748,5486,,8665,1039xe" fillcolor="black" stroked="f" strokeweight="0">
                  <v:stroke miterlimit="83231f" joinstyle="miter"/>
                  <v:path arrowok="t" textboxrect="0,0,253475,91925"/>
                </v:shape>
                <v:shape id="Shape 154" o:spid="_x0000_s1037" style="position:absolute;left:6768;top:16429;width:1620;height:2187;visibility:visible;mso-wrap-style:square;v-text-anchor:top" coordsize="161988,2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" path="m158684,1976v2711,1976,3304,5776,1349,8487l11767,215429v-1967,2711,-5751,3319,-8463,1343c605,214796,,210996,1968,208273l150233,3318c152201,608,155985,,158684,1976xe" fillcolor="black" stroked="f" strokeweight="0">
                  <v:stroke miterlimit="83231f" joinstyle="miter"/>
                  <v:path arrowok="t" textboxrect="0,0,161988,218748"/>
                </v:shape>
                <v:shape id="Shape 155" o:spid="_x0000_s1038" style="position:absolute;left:6768;top:14379;width:1620;height:2188;visibility:visible;mso-wrap-style:square;v-text-anchor:top" coordsize="161988,218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" path="m3304,1977c6016,,9800,595,11767,3319l160033,208273v1955,2723,1362,6523,-1349,8500c155985,218736,152201,218140,150233,215417l1968,10464c,7753,605,3940,3304,1977xe" fillcolor="black" stroked="f" strokeweight="0">
                  <v:stroke miterlimit="83231f" joinstyle="miter"/>
                  <v:path arrowok="t" textboxrect="0,0,161988,218736"/>
                </v:shape>
                <v:shape id="Shape 156" o:spid="_x0000_s1039" style="position:absolute;left:4370;top:14380;width:2534;height:919;visibility:visible;mso-wrap-style:square;v-text-anchor:top" coordsize="253475,9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" path="m244811,1026v3178,-1026,6596,710,7630,3915c253475,8133,251735,11565,248556,12591l8665,90887c5486,91925,2068,90177,1034,86985,,83781,1741,80360,4919,79322l244811,1026xe" fillcolor="black" stroked="f" strokeweight="0">
                  <v:stroke miterlimit="83231f" joinstyle="miter"/>
                  <v:path arrowok="t" textboxrect="0,0,253475,91925"/>
                </v:shape>
                <v:shape id="Shape 157" o:spid="_x0000_s1040" style="position:absolute;left:10283;top:15126;width:834;height:1056;visibility:visible;mso-wrap-style:square;v-text-anchor:top" coordsize="83441,105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" path="m,l20658,,63703,70543,63703,,83441,r,105643l62126,105643,19725,36747r,68896l,105643,,xe" fillcolor="black" stroked="f" strokeweight="0">
                  <v:stroke miterlimit="83231f" joinstyle="miter"/>
                  <v:path arrowok="t" textboxrect="0,0,83441,105643"/>
                </v:shape>
                <v:shape id="Shape 158" o:spid="_x0000_s1041" style="position:absolute;left:11372;top:15126;width:841;height:1056;visibility:visible;mso-wrap-style:square;v-text-anchor:top" coordsize="84096,105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" path="m,l21239,r,41586l62858,41586,62858,,84096,r,105643l62858,105643r,-46196l21239,59447r,46196l,105643,,xe" fillcolor="black" stroked="f" strokeweight="0">
                  <v:stroke miterlimit="83231f" joinstyle="miter"/>
                  <v:path arrowok="t" textboxrect="0,0,84096,105643"/>
                </v:shape>
                <v:shape id="Shape 159" o:spid="_x0000_s1042" style="position:absolute;left:7884;top:11809;width:834;height:1057;visibility:visible;mso-wrap-style:square;v-text-anchor:top" coordsize="83441,105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" path="m,l20658,,63703,70544,63703,,83441,r,105632l62126,105632,19725,36747r,68885l,105632,,xe" fillcolor="black" stroked="f" strokeweight="0">
                  <v:stroke miterlimit="83231f" joinstyle="miter"/>
                  <v:path arrowok="t" textboxrect="0,0,83441,105632"/>
                </v:shape>
                <v:shape id="Shape 160" o:spid="_x0000_s1043" style="position:absolute;left:8251;top:15860;width:1882;height:706;visibility:visible;mso-wrap-style:square;v-text-anchor:top" coordsize="188158,70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" path="m179493,1039v3178,-1039,6596,709,7630,3913c188158,8144,186417,11564,183226,12603l8665,69580c5486,70619,2068,68871,1034,65679,,62474,1741,59054,4919,58015l179493,1039xe" fillcolor="black" stroked="f" strokeweight="0">
                  <v:stroke miterlimit="83231f" joinstyle="miter"/>
                  <v:path arrowok="t" textboxrect="0,0,188158,70619"/>
                </v:shape>
                <v:shape id="Shape 161" o:spid="_x0000_s1044" style="position:absolute;left:10657;top:13121;width:122;height:1952;visibility:visible;mso-wrap-style:square;v-text-anchor:top" coordsize="12107,195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" path="m6054,v3355,,6053,2723,6053,6080l12107,189157v,3358,-2698,6081,-6053,6081c2712,195238,,192515,,189157l,6080c,2723,2712,,6054,xe" fillcolor="black" stroked="f" strokeweight="0">
                  <v:stroke miterlimit="83231f" joinstyle="miter"/>
                  <v:path arrowok="t" textboxrect="0,0,12107,195238"/>
                </v:shape>
                <v:shape id="Shape 162" o:spid="_x0000_s1045" style="position:absolute;left:8892;top:12540;width:1894;height:710;visibility:visible;mso-wrap-style:square;v-text-anchor:top" coordsize="189356,7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" path="m8664,1039l184437,58396v3178,1038,4919,4471,3884,7663c187287,69251,183869,70999,180691,69960l4919,12604c1740,11565,,8132,1034,4940,2068,1748,5486,,8664,1039xe" fillcolor="black" stroked="f" strokeweight="0">
                  <v:stroke miterlimit="83231f" joinstyle="miter"/>
                  <v:path arrowok="t" textboxrect="0,0,189356,70999"/>
                </v:shape>
                <v:shape id="Shape 163" o:spid="_x0000_s1046" style="position:absolute;left:6768;top:12997;width:1137;height:1520;visibility:visible;mso-wrap-style:square;v-text-anchor:top" coordsize="113747,152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" path="m110443,1977v2711,1962,3304,5775,1337,8486l11767,148725v-1967,2723,-5751,3318,-8463,1343c605,148092,,144291,1968,141581l101993,3319c103948,595,107744,,110443,1977xe" fillcolor="black" stroked="f" strokeweight="0">
                  <v:stroke miterlimit="83231f" joinstyle="miter"/>
                  <v:path arrowok="t" textboxrect="0,0,113747,152043"/>
                </v:shape>
                <v:shape id="Shape 164" o:spid="_x0000_s1047" style="position:absolute;left:3789;top:11819;width:840;height:1056;visibility:visible;mso-wrap-style:square;v-text-anchor:top" coordsize="84084,10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" path="m,l21238,r,41573l62845,41573,62845,,84084,r,105631l62845,105631r,-46184l21238,59447r,46184l,105631,,xe" fillcolor="black" stroked="f" strokeweight="0">
                  <v:stroke miterlimit="83231f" joinstyle="miter"/>
                  <v:path arrowok="t" textboxrect="0,0,84084,105631"/>
                </v:shape>
                <v:shape id="Shape 165" o:spid="_x0000_s1048" style="position:absolute;left:4836;top:11801;width:509;height:1092;visibility:visible;mso-wrap-style:square;v-text-anchor:top" coordsize="50971,10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" path="m50864,r107,19l50971,18273,29916,27272v-5361,6030,-8034,15111,-8034,27272c21882,66502,24631,75571,30130,81741r20841,9212l50971,109210,30099,105643c23881,103246,18464,99652,13848,94864,4616,85275,,72075,,55266,,44500,1602,35468,4805,28171,7201,22788,10455,17962,14592,13680,18741,9411,23269,6245,28188,4180,34746,1393,42301,,50864,xe" fillcolor="black" stroked="f" strokeweight="0">
                  <v:stroke miterlimit="83231f" joinstyle="miter"/>
                  <v:path arrowok="t" textboxrect="0,0,50971,109210"/>
                </v:shape>
                <v:shape id="Shape 166" o:spid="_x0000_s1049" style="position:absolute;left:5345;top:11801;width:511;height:1092;visibility:visible;mso-wrap-style:square;v-text-anchor:top" coordsize="51046,109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" path="m,l20817,3601v6201,2413,11627,6033,16281,10859c46393,24112,51046,37539,51046,54741v,17050,-4615,30401,-13847,40028c27967,104396,15632,109222,183,109222l,109191,,90934r107,47c8570,90981,15519,87929,20955,81798v5423,-6118,8134,-15314,8134,-27564c29089,42125,26453,33106,21169,27139,15885,21186,8860,18209,107,18209l,18255,,xe" fillcolor="black" stroked="f" strokeweight="0">
                  <v:stroke miterlimit="83231f" joinstyle="miter"/>
                  <v:path arrowok="t" textboxrect="0,0,51046,109222"/>
                </v:shape>
                <v:shape id="Shape 167" o:spid="_x0000_s1050" style="position:absolute;left:5705;top:12910;width:1200;height:1607;visibility:visible;mso-wrap-style:square;v-text-anchor:top" coordsize="120053,160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" path="m3304,1976c6003,,9787,595,11754,3318l118085,150308v1968,2711,1363,6511,-1336,8487c114037,160771,110253,160176,108286,157452l1967,10463c,7752,593,3952,3304,1976xe" fillcolor="black" stroked="f" strokeweight="0">
                  <v:stroke miterlimit="83231f" joinstyle="miter"/>
                  <v:path arrowok="t" textboxrect="0,0,120053,160771"/>
                </v:shape>
                <v:shape id="Shape 168" o:spid="_x0000_s1051" style="position:absolute;left:9274;top:17950;width:510;height:1092;visibility:visible;mso-wrap-style:square;v-text-anchor:top" coordsize="50978,10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" path="m50864,r114,19l50978,18272,29915,27273v-5360,6029,-8033,15111,-8033,27272c21882,66503,24631,75572,30130,81742r20848,9214l50978,109211,30099,105644c23881,103247,18464,99652,13848,94864,4616,85275,,72076,,55267,,44500,1601,35468,4805,28172,7201,22789,10468,17962,14605,13681,18741,9412,23269,6245,28200,4180,34746,1394,42301,,50864,xe" fillcolor="black" stroked="f" strokeweight="0">
                  <v:stroke miterlimit="83231f" joinstyle="miter"/>
                  <v:path arrowok="t" textboxrect="0,0,50978,109211"/>
                </v:shape>
                <v:shape id="Shape 169" o:spid="_x0000_s1052" style="position:absolute;left:9784;top:17950;width:510;height:1092;visibility:visible;mso-wrap-style:square;v-text-anchor:top" coordsize="51040,109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" path="m,l20811,3601v6201,2413,11627,6033,16281,10859c46387,24112,51040,37539,51040,54741v,17050,-4616,30401,-13847,40028c27961,104408,15626,109222,176,109222l,109192,,90937r101,44c8576,90981,15513,87929,20948,81798v5423,-6118,8148,-15314,8148,-27564c29096,42137,26447,33106,21163,27139,15878,21186,8854,18209,101,18209l,18252,,xe" fillcolor="black" stroked="f" strokeweight="0">
                  <v:stroke miterlimit="83231f" joinstyle="miter"/>
                  <v:path arrowok="t" textboxrect="0,0,51040,109222"/>
                </v:shape>
                <v:shape id="Shape 170" o:spid="_x0000_s1053" style="position:absolute;left:10491;top:17968;width:841;height:1056;visibility:visible;mso-wrap-style:square;v-text-anchor:top" coordsize="84084,105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" path="m,l21239,r,41573l62845,41573,62845,,84084,r,105644l62845,105644r,-46197l21239,59447r,46197l,105644,,xe" fillcolor="black" stroked="f" strokeweight="0">
                  <v:stroke miterlimit="83231f" joinstyle="miter"/>
                  <v:path arrowok="t" textboxrect="0,0,84084,105644"/>
                </v:shape>
                <v:shape id="Shape 171" o:spid="_x0000_s1054" style="position:absolute;left:8250;top:16429;width:1177;height:1575;visibility:visible;mso-wrap-style:square;v-text-anchor:top" coordsize="117657,15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" path="m3304,1976c6016,,9799,608,11767,3318l115689,146989v1968,2711,1362,6511,-1336,8487c111641,157452,107857,156844,105890,154133l1967,10463c,7752,605,3952,3304,1976xe" fillcolor="black" stroked="f" strokeweight="0">
                  <v:stroke miterlimit="83231f" joinstyle="miter"/>
                  <v:path arrowok="t" textboxrect="0,0,117657,157452"/>
                </v:shape>
                <v:shape id="Shape 172" o:spid="_x0000_s1055" style="position:absolute;left:7088;top:20359;width:510;height:1092;visibility:visible;mso-wrap-style:square;v-text-anchor:top" coordsize="50971,109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" path="m50864,r107,19l50971,18274,29916,27271v-5361,6030,-8034,15121,-8034,27275c21882,66508,24631,75576,30130,81749r20841,9212l50971,109208,30099,105645c23881,103250,18464,99655,13848,94863,4616,85279,,72080,,55267,,44506,1602,35475,4805,28172,7201,22792,10456,17963,14605,13694,18741,9412,23269,6245,28200,4180,34746,1394,42301,,50864,xe" fillcolor="black" stroked="f" strokeweight="0">
                  <v:stroke miterlimit="83231f" joinstyle="miter"/>
                  <v:path arrowok="t" textboxrect="0,0,50971,109208"/>
                </v:shape>
                <v:shape id="Shape 173" o:spid="_x0000_s1056" style="position:absolute;left:7598;top:20359;width:511;height:1092;visibility:visible;mso-wrap-style:square;v-text-anchor:top" coordsize="51047,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" path="m,l20817,3601v6201,2413,11627,6033,16281,10859c46393,24119,51047,37546,51047,54744v,17054,-4616,30397,-13848,40029c27967,104404,15632,109220,183,109220l,109189,,90943r107,47c8570,90990,15519,87927,20955,81802v5423,-6125,8134,-15313,8134,-27563c29089,42132,26453,33103,21169,27145,15885,21188,8860,18210,107,18210l,18255,,xe" fillcolor="black" stroked="f" strokeweight="0">
                  <v:stroke miterlimit="83231f" joinstyle="miter"/>
                  <v:path arrowok="t" textboxrect="0,0,51047,109220"/>
                </v:shape>
                <v:shape id="Shape 174" o:spid="_x0000_s1057" style="position:absolute;left:6883;top:18321;width:720;height:1941;visibility:visible;mso-wrap-style:square;v-text-anchor:top" coordsize="71963,194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" path="m4919,1039c8109,,11514,1748,12549,4940l70929,185396v1034,3192,-706,6624,-3884,7663c63867,194097,60449,192350,59415,189145l1034,8702c,5510,1740,2077,4919,1039xe" fillcolor="black" stroked="f" strokeweight="0">
                  <v:stroke miterlimit="83231f" joinstyle="miter"/>
                  <v:path arrowok="t" textboxrect="0,0,71963,194097"/>
                </v:shape>
                <v:shape id="Shape 175" o:spid="_x0000_s1058" style="position:absolute;left:6583;top:18419;width:720;height:1941;visibility:visible;mso-wrap-style:square;v-text-anchor:top" coordsize="71951,194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" path="m4919,1039c8097,,11515,1748,12549,4940l70917,185382v1034,3193,-706,6626,-3884,7664c63854,194085,60437,192337,59402,189145l1034,8689c,5497,1741,2077,4919,1039xe" fillcolor="black" stroked="f" strokeweight="0">
                  <v:stroke miterlimit="83231f" joinstyle="miter"/>
                  <v:path arrowok="t" textboxrect="0,0,71951,194085"/>
                </v:shape>
                <v:shape id="Shape 176" o:spid="_x0000_s1059" style="position:absolute;left:12315;top:11095;width:856;height:1093;visibility:visible;mso-wrap-style:square;v-text-anchor:top" coordsize="85572,109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" path="m42187,c55430,,65267,2914,71951,8727v6685,5802,10216,13567,10594,23270l61231,32934c60348,27501,58457,23599,55430,21230,52403,18848,47989,17658,41935,17658v-6180,,-10973,1266,-14504,3813c25287,23105,24152,25296,24152,28032v,2496,1009,4637,3153,6410c29954,36709,36512,39065,46727,41510v10342,2445,18036,4978,22954,7600c74600,51733,78510,55304,81284,59852v2901,4535,4288,10146,4288,16822c85572,82729,83807,88391,80528,93686v-3406,5282,-8072,9209,-14252,11780c60222,108038,52529,109317,43449,109317v-13369,,-23585,-3091,-30648,-9260c5612,93889,1388,84895,,73077l20621,71050v1261,6967,3783,12084,7567,15352c32098,89670,37142,91305,43574,91305v6937,,12108,-1457,15513,-4358c62492,84034,64258,80639,64258,76750v,-2496,-756,-4623,-2144,-6385c60601,68618,58078,67085,54421,65793,52024,64932,46349,63386,37395,61182,26044,58345,18098,54861,13432,50732,7000,44917,3809,37836,3809,29476v,-5383,1551,-10412,4578,-15099c11414,9690,15828,6131,21503,3673,27179,1229,34116,,42187,xe" fillcolor="black" stroked="f" strokeweight="0">
                  <v:stroke miterlimit="83231f" joinstyle="miter"/>
                  <v:path arrowok="t" textboxrect="0,0,85572,109317"/>
                </v:shape>
                <v:shape id="Shape 177" o:spid="_x0000_s1060" style="position:absolute;left:10464;top:11902;width:1714;height:1288;visibility:visible;mso-wrap-style:square;v-text-anchor:top" coordsize="171371,12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" path="m160954,1976c163653,,167436,595,169404,3318v1967,2711,1362,6512,-1337,8487l10418,126848v-2699,1977,-6483,1368,-8450,-1342c,122782,593,118982,3304,117006l160954,1976xe" fillcolor="black" stroked="f" strokeweight="0">
                  <v:stroke miterlimit="83231f" joinstyle="miter"/>
                  <v:path arrowok="t" textboxrect="0,0,171371,128825"/>
                </v:shape>
                <v:shape id="Shape 178" o:spid="_x0000_s1061" style="position:absolute;left:10649;top:12158;width:1714;height:1288;visibility:visible;mso-wrap-style:square;v-text-anchor:top" coordsize="171409,12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" path="m160954,1977c163666,,167449,608,169417,3319v1992,2723,1362,6524,-1350,8500l10430,126849v-2711,1976,-6495,1380,-8462,-1343c,122796,606,118995,3304,117019l160954,1977xe" fillcolor="black" stroked="f" strokeweight="0">
                  <v:stroke miterlimit="83231f" joinstyle="miter"/>
                  <v:path arrowok="t" textboxrect="0,0,171409,128825"/>
                </v:shape>
                <v:shape id="Shape 179" o:spid="_x0000_s1062" style="position:absolute;left:7105;top:9400;width:834;height:1056;visibility:visible;mso-wrap-style:square;v-text-anchor:top" coordsize="83441,10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" path="m,l20671,,63715,70543,63715,,83441,r,105631l62139,105631,19738,36747r,68884l,105631,,xe" fillcolor="black" stroked="f" strokeweight="0">
                  <v:stroke miterlimit="83231f" joinstyle="miter"/>
                  <v:path arrowok="t" textboxrect="0,0,83441,105631"/>
                </v:shape>
                <v:shape id="Shape 180" o:spid="_x0000_s1063" style="position:absolute;left:7705;top:10644;width:435;height:1060;visibility:visible;mso-wrap-style:square;v-text-anchor:top" coordsize="43461,105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" path="m4919,1039c8110,,11515,1749,12549,4941l42426,97296v1035,3192,-706,6626,-3884,7664c35364,105986,31946,104238,30912,101046l1034,8703c,5511,1741,2078,4919,1039xe" fillcolor="black" stroked="f" strokeweight="0">
                  <v:stroke miterlimit="83231f" joinstyle="miter"/>
                  <v:path arrowok="t" textboxrect="0,0,43461,105986"/>
                </v:shape>
                <v:shape id="Shape 181" o:spid="_x0000_s1064" style="position:absolute;left:8068;top:8132;width:1322;height:1327;visibility:visible;mso-wrap-style:square;v-text-anchor:top" coordsize="132173,13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" path="m121251,2280c123610,,127443,,129815,2280v2358,2407,2358,6207,,8614l10922,130319v-2359,2381,-6193,2381,-8564,c,127950,,124099,2358,121718l121251,2280xe" fillcolor="black" stroked="f" strokeweight="0">
                  <v:stroke miterlimit="83231f" joinstyle="miter"/>
                  <v:path arrowok="t" textboxrect="0,0,132173,132700"/>
                </v:shape>
                <v:shape id="Shape 182" o:spid="_x0000_s1065" style="position:absolute;left:7845;top:8000;width:1229;height:1235;visibility:visible;mso-wrap-style:square;v-text-anchor:top" coordsize="122941,12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" path="m112020,2407c114378,,118212,,120583,2407v2358,2280,2358,6207,,8614l10922,121098v-2359,2381,-6192,2381,-8551,c,118729,,114878,2371,112509l112020,2407xe" fillcolor="black" stroked="f" strokeweight="0">
                  <v:stroke miterlimit="83231f" joinstyle="miter"/>
                  <v:path arrowok="t" textboxrect="0,0,122941,123479"/>
                </v:shape>
                <v:shape id="Shape 183" o:spid="_x0000_s1066" style="position:absolute;left:9263;top:5603;width:121;height:2655;visibility:visible;mso-wrap-style:square;v-text-anchor:top" coordsize="12107,265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" path="m6054,v3342,,6053,2787,6053,6080l12107,259423v,3420,-2711,6080,-6053,6080c2711,265503,,262843,,259423l,6080c,2787,2711,,6054,xe" fillcolor="black" stroked="f" strokeweight="0">
                  <v:stroke miterlimit="83231f" joinstyle="miter"/>
                  <v:path arrowok="t" textboxrect="0,0,12107,265503"/>
                </v:shape>
                <v:shape id="Shape 184" o:spid="_x0000_s1067" style="position:absolute;left:9254;top:4328;width:2323;height:1406;visibility:visible;mso-wrap-style:square;v-text-anchor:top" coordsize="232274,14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" path="m222336,1774v2888,-1774,6596,-760,8261,2153c232274,6840,231278,10641,228390,12287l9938,138959v-2888,1646,-6596,633,-8273,-2281c,133765,996,130091,3884,128444l222336,1774xe" fillcolor="black" stroked="f" strokeweight="0">
                  <v:stroke miterlimit="83231f" joinstyle="miter"/>
                  <v:path arrowok="t" textboxrect="0,0,232274,140605"/>
                </v:shape>
                <v:shape id="Shape 185" o:spid="_x0000_s1068" style="position:absolute;left:9254;top:4145;width:2008;height:1223;visibility:visible;mso-wrap-style:square;v-text-anchor:top" coordsize="200744,12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" path="m190806,1646v2888,-1646,6596,-633,8261,2281c200744,6840,199748,10514,196860,12160l9938,120591v-2888,1647,-6596,760,-8273,-2154c,115524,996,111724,3884,110077l190806,1646xe" fillcolor="black" stroked="f" strokeweight="0">
                  <v:stroke miterlimit="83231f" joinstyle="miter"/>
                  <v:path arrowok="t" textboxrect="0,0,200744,122238"/>
                </v:shape>
                <v:shape id="Shape 186" o:spid="_x0000_s1069" style="position:absolute;left:11447;top:1803;width:121;height:2655;visibility:visible;mso-wrap-style:square;v-text-anchor:top" coordsize="12107,265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" path="m6054,v3342,,6053,2787,6053,6080l12107,259423v,3420,-2711,6080,-6053,6080c2711,265503,,262843,,259423l,6080c,2787,2711,,6054,xe" fillcolor="black" stroked="f" strokeweight="0">
                  <v:stroke miterlimit="83231f" joinstyle="miter"/>
                  <v:path arrowok="t" textboxrect="0,0,12107,265503"/>
                </v:shape>
                <v:shape id="Shape 187" o:spid="_x0000_s1070" style="position:absolute;left:9254;top:528;width:2323;height:1406;visibility:visible;mso-wrap-style:square;v-text-anchor:top" coordsize="232274,14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" path="m9938,1774l228390,128444v2888,1647,3884,5321,2207,8234c228932,139591,225224,140605,222336,138958l3884,12287c996,10640,,6840,1665,3927,3342,1013,7050,,9938,1774xe" fillcolor="black" stroked="f" strokeweight="0">
                  <v:stroke miterlimit="83231f" joinstyle="miter"/>
                  <v:path arrowok="t" textboxrect="0,0,232274,140605"/>
                </v:shape>
                <v:shape id="Shape 188" o:spid="_x0000_s1071" style="position:absolute;left:9254;top:894;width:2008;height:1222;visibility:visible;mso-wrap-style:square;v-text-anchor:top" coordsize="200744,12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" path="m9938,1646l196860,110077v2888,1647,3884,5447,2207,8360c197402,121351,193694,122238,190806,120591l3884,12160c996,10513,,6840,1665,3927,3342,1013,7050,,9938,1646xe" fillcolor="black" stroked="f" strokeweight="0">
                  <v:stroke miterlimit="83231f" joinstyle="miter"/>
                  <v:path arrowok="t" textboxrect="0,0,200744,122238"/>
                </v:shape>
                <v:shape id="Shape 189" o:spid="_x0000_s1072" style="position:absolute;left:7070;top:528;width:2322;height:1406;visibility:visible;mso-wrap-style:square;v-text-anchor:top" coordsize="232274,14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" path="m222336,1774v2901,-1774,6596,-761,8274,2153c232274,6840,231291,10640,228390,12287l9951,138958v-2901,1647,-6609,633,-8273,-2280c,133765,996,130091,3897,128444l222336,1774xe" fillcolor="black" stroked="f" strokeweight="0">
                  <v:stroke miterlimit="83231f" joinstyle="miter"/>
                  <v:path arrowok="t" textboxrect="0,0,232274,140605"/>
                </v:shape>
                <v:shape id="Shape 190" o:spid="_x0000_s1073" style="position:absolute;left:7078;top:1803;width:121;height:2655;visibility:visible;mso-wrap-style:square;v-text-anchor:top" coordsize="12107,265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" path="m6054,v3342,,6053,2787,6053,6080l12107,259423v,3420,-2711,6080,-6053,6080c2711,265503,,262843,,259423l,6080c,2787,2711,,6054,xe" fillcolor="black" stroked="f" strokeweight="0">
                  <v:stroke miterlimit="83231f" joinstyle="miter"/>
                  <v:path arrowok="t" textboxrect="0,0,12107,265503"/>
                </v:shape>
                <v:shape id="Shape 191" o:spid="_x0000_s1074" style="position:absolute;left:7394;top:1987;width:121;height:2289;visibility:visible;mso-wrap-style:square;v-text-anchor:top" coordsize="12107,22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" path="m6054,v3342,,6053,2660,6053,6080l12107,222814v,3294,-2711,6081,-6053,6081c2711,228895,,226108,,222814l,6080c,2660,2711,,6054,xe" fillcolor="black" stroked="f" strokeweight="0">
                  <v:stroke miterlimit="83231f" joinstyle="miter"/>
                  <v:path arrowok="t" textboxrect="0,0,12107,228895"/>
                </v:shape>
                <v:shape id="Shape 192" o:spid="_x0000_s1075" style="position:absolute;left:7070;top:4328;width:2322;height:1406;visibility:visible;mso-wrap-style:square;v-text-anchor:top" coordsize="232274,14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" path="m9951,1774l228390,128444v2901,1647,3884,5321,2220,8234c228932,139592,225237,140605,222336,138959l3897,12287c996,10641,,6840,1678,3927,3342,1014,7050,,9951,1774xe" fillcolor="black" stroked="f" strokeweight="0">
                  <v:stroke miterlimit="83231f" joinstyle="miter"/>
                  <v:path arrowok="t" textboxrect="0,0,232274,140605"/>
                </v:shape>
                <v:shape id="Shape 193" o:spid="_x0000_s1076" style="position:absolute;left:13164;width:510;height:1092;visibility:visible;mso-wrap-style:square;v-text-anchor:top" coordsize="51015,10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" path="m50952,r63,11l51015,18267,29890,27361v-5297,5954,-7945,15074,-7945,27235c21945,66502,24719,75623,30142,81830r20873,9218l51015,109284,30126,105707c23900,103300,18476,99690,13873,94877,4666,85249,,72076,,55355,,44588,1639,35468,4792,28248,7189,22801,10468,17987,14630,13680,18791,9500,23332,6333,28251,4180,34809,1393,42376,,50952,xe" fillcolor="black" stroked="f" strokeweight="0">
                  <v:stroke miterlimit="83231f" joinstyle="miter"/>
                  <v:path arrowok="t" textboxrect="0,0,51015,109284"/>
                </v:shape>
                <v:shape id="Shape 194" o:spid="_x0000_s1077" style="position:absolute;left:13674;width:511;height:1093;visibility:visible;mso-wrap-style:square;v-text-anchor:top" coordsize="51015,10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" path="m,l20794,3615v6196,2423,11619,6064,16222,10941c46349,24183,51015,37610,51015,54838v,16974,-4540,30401,-13873,40028c27936,104492,15576,109306,189,109306l,109274,,91037r63,28c8513,91065,15450,88026,20873,81819v5549,-6081,8198,-15328,8198,-27488c29071,42171,26422,33177,21125,27224,15828,21270,8892,18230,63,18230l,18257,,xe" fillcolor="black" stroked="f" strokeweight="0">
                  <v:stroke miterlimit="83231f" joinstyle="miter"/>
                  <v:path arrowok="t" textboxrect="0,0,51015,109306"/>
                </v:shape>
                <v:shape id="Shape 195" o:spid="_x0000_s1078" style="position:absolute;left:14381;top:17;width:842;height:1057;visibility:visible;mso-wrap-style:square;v-text-anchor:top" coordsize="84122,105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" path="m,l21188,r,41675l62807,41675,62807,,84122,r,105644l62807,105644r,-46108l21188,59536r,46108l,105644,,xe" fillcolor="black" stroked="f" strokeweight="0">
                  <v:stroke miterlimit="83231f" joinstyle="miter"/>
                  <v:path arrowok="t" textboxrect="0,0,84122,105644"/>
                </v:shape>
                <v:shape id="Shape 196" o:spid="_x0000_s1079" style="position:absolute;left:11438;top:884;width:1711;height:1050;visibility:visible;mso-wrap-style:square;v-text-anchor:top" coordsize="171069,10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" path="m161105,1646c164006,,167789,886,169429,3800v1640,2914,631,6713,-2270,8360l9951,103363v-2901,1647,-6609,634,-8274,-2280c,98170,996,94496,3897,92850l161105,1646xe" fillcolor="black" stroked="f" strokeweight="0">
                  <v:stroke miterlimit="83231f" joinstyle="miter"/>
                  <v:path arrowok="t" textboxrect="0,0,171069,105010"/>
                </v:shape>
                <w10:anchorlock/>
              </v:group>
            </w:pict>
          </mc:Fallback>
        </mc:AlternateContent>
      </w:r>
    </w:p>
    <w:p w14:paraId="56673AF6" w14:textId="77777777" w:rsidR="00095264" w:rsidRDefault="00095264" w:rsidP="00CA4B8F">
      <w:pPr>
        <w:pStyle w:val="Caption"/>
        <w:spacing w:line="480" w:lineRule="auto"/>
        <w:jc w:val="both"/>
        <w:rPr>
          <w:rFonts w:ascii="Times New Roman" w:hAnsi="Times New Roman" w:cs="Times New Roman"/>
          <w:sz w:val="24"/>
          <w:szCs w:val="24"/>
        </w:rPr>
      </w:pPr>
    </w:p>
    <w:p w14:paraId="4C7EF00A" w14:textId="3EBF3A41" w:rsidR="002344CC" w:rsidRPr="00A22E9D" w:rsidRDefault="002344CC"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Figure</w:t>
      </w:r>
      <w:r w:rsidR="007D07E2" w:rsidRPr="00A22E9D">
        <w:rPr>
          <w:rFonts w:ascii="Times New Roman" w:hAnsi="Times New Roman" w:cs="Times New Roman"/>
          <w:sz w:val="24"/>
          <w:szCs w:val="24"/>
        </w:rPr>
        <w:fldChar w:fldCharType="begin"/>
      </w:r>
      <w:r w:rsidR="007D07E2" w:rsidRPr="00A22E9D">
        <w:rPr>
          <w:rFonts w:ascii="Times New Roman" w:hAnsi="Times New Roman" w:cs="Times New Roman"/>
          <w:sz w:val="24"/>
          <w:szCs w:val="24"/>
        </w:rPr>
        <w:instrText xml:space="preserve"> NUMPAGES  \# "3.1" </w:instrText>
      </w:r>
      <w:r w:rsidR="007D07E2"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3</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1</w:t>
      </w:r>
      <w:r w:rsidR="007D07E2" w:rsidRPr="00A22E9D">
        <w:rPr>
          <w:rFonts w:ascii="Times New Roman" w:hAnsi="Times New Roman" w:cs="Times New Roman"/>
          <w:sz w:val="24"/>
          <w:szCs w:val="24"/>
        </w:rPr>
        <w:fldChar w:fldCharType="end"/>
      </w:r>
      <w:r w:rsidRPr="00A22E9D">
        <w:rPr>
          <w:rFonts w:ascii="Times New Roman" w:hAnsi="Times New Roman" w:cs="Times New Roman"/>
          <w:sz w:val="24"/>
          <w:szCs w:val="24"/>
        </w:rPr>
        <w:t>(E)-3a,8a-dihydroxy-3-((3-</w:t>
      </w:r>
      <w:proofErr w:type="gramStart"/>
      <w:r w:rsidRPr="00A22E9D">
        <w:rPr>
          <w:rFonts w:ascii="Times New Roman" w:hAnsi="Times New Roman" w:cs="Times New Roman"/>
          <w:sz w:val="24"/>
          <w:szCs w:val="24"/>
        </w:rPr>
        <w:t>hydroxybenzylidene)amino</w:t>
      </w:r>
      <w:proofErr w:type="gramEnd"/>
      <w:r w:rsidRPr="00A22E9D">
        <w:rPr>
          <w:rFonts w:ascii="Times New Roman" w:hAnsi="Times New Roman" w:cs="Times New Roman"/>
          <w:sz w:val="24"/>
          <w:szCs w:val="24"/>
        </w:rPr>
        <w:t>)-2-thioxo-1,3,3a,8a-tetrahydroindeno[1,2d]imidazol-8(2H)-one</w:t>
      </w:r>
    </w:p>
    <w:p w14:paraId="24E60827" w14:textId="77777777" w:rsidR="00095264" w:rsidRDefault="00095264">
      <w:pPr>
        <w:rPr>
          <w:rStyle w:val="Heading3Char"/>
          <w:rFonts w:cs="Times New Roman"/>
        </w:rPr>
      </w:pPr>
      <w:r>
        <w:rPr>
          <w:rStyle w:val="Heading3Char"/>
          <w:rFonts w:cs="Times New Roman"/>
        </w:rPr>
        <w:br w:type="page"/>
      </w:r>
    </w:p>
    <w:p w14:paraId="46142CDC" w14:textId="1C2725E8" w:rsidR="006272AF" w:rsidRPr="00A22E9D" w:rsidRDefault="00B25401" w:rsidP="00CA4B8F">
      <w:pPr>
        <w:spacing w:line="480" w:lineRule="auto"/>
        <w:jc w:val="both"/>
        <w:rPr>
          <w:rFonts w:ascii="Times New Roman" w:hAnsi="Times New Roman" w:cs="Times New Roman"/>
          <w:sz w:val="24"/>
          <w:szCs w:val="24"/>
        </w:rPr>
      </w:pPr>
      <w:bookmarkStart w:id="26" w:name="_Toc145500385"/>
      <w:r w:rsidRPr="00A22E9D">
        <w:rPr>
          <w:rStyle w:val="Heading3Char"/>
          <w:rFonts w:cs="Times New Roman"/>
        </w:rPr>
        <w:lastRenderedPageBreak/>
        <w:t xml:space="preserve">3.2 </w:t>
      </w:r>
      <w:r w:rsidR="006272AF" w:rsidRPr="00A22E9D">
        <w:rPr>
          <w:rStyle w:val="Heading3Char"/>
          <w:rFonts w:cs="Times New Roman"/>
        </w:rPr>
        <w:t>Pharmacological studies</w:t>
      </w:r>
      <w:bookmarkEnd w:id="26"/>
    </w:p>
    <w:p w14:paraId="0F09DE66" w14:textId="34F0112A" w:rsidR="006272AF" w:rsidRPr="00A22E9D" w:rsidRDefault="006272AF" w:rsidP="00CA4B8F">
      <w:pPr>
        <w:pStyle w:val="Heading4"/>
        <w:spacing w:line="480" w:lineRule="auto"/>
        <w:rPr>
          <w:rFonts w:cs="Times New Roman"/>
        </w:rPr>
      </w:pPr>
      <w:r w:rsidRPr="00A22E9D">
        <w:rPr>
          <w:rFonts w:cs="Times New Roman"/>
          <w:bCs/>
        </w:rPr>
        <w:t>3.2.1</w:t>
      </w:r>
      <w:r w:rsidRPr="00A22E9D">
        <w:rPr>
          <w:rFonts w:cs="Times New Roman"/>
        </w:rPr>
        <w:t xml:space="preserve"> Anti-malarial activity test</w:t>
      </w:r>
    </w:p>
    <w:p w14:paraId="08A5A6CE" w14:textId="5CC5F287" w:rsidR="006272AF" w:rsidRPr="00A22E9D" w:rsidRDefault="006272AF"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Swiss albino mice, were reared and bred in the animal house of the Department of Chemistry, Obafemi Awolowo University, Île-Ife and were used for the experiment. The mice were acclimatized for five days to laboratory conditions prior to the start of the experiment.</w:t>
      </w:r>
    </w:p>
    <w:p w14:paraId="55FCE5B5" w14:textId="1B26D6E6" w:rsidR="006272AF" w:rsidRPr="00A22E9D" w:rsidRDefault="00287676" w:rsidP="00CA4B8F">
      <w:pPr>
        <w:pStyle w:val="Heading4"/>
        <w:spacing w:line="480" w:lineRule="auto"/>
        <w:rPr>
          <w:rFonts w:cs="Times New Roman"/>
        </w:rPr>
      </w:pPr>
      <w:r w:rsidRPr="00A22E9D">
        <w:rPr>
          <w:rFonts w:cs="Times New Roman"/>
          <w:bCs/>
        </w:rPr>
        <w:t>3.2.2</w:t>
      </w:r>
      <w:r w:rsidRPr="00A22E9D">
        <w:rPr>
          <w:rFonts w:cs="Times New Roman"/>
        </w:rPr>
        <w:t xml:space="preserve"> </w:t>
      </w:r>
      <w:r w:rsidR="006272AF" w:rsidRPr="00A22E9D">
        <w:rPr>
          <w:rFonts w:cs="Times New Roman"/>
        </w:rPr>
        <w:t>Malaria Parasite</w:t>
      </w:r>
      <w:r w:rsidR="006272AF" w:rsidRPr="00A22E9D">
        <w:rPr>
          <w:rFonts w:cs="Times New Roman"/>
        </w:rPr>
        <w:tab/>
      </w:r>
    </w:p>
    <w:p w14:paraId="6205256C" w14:textId="0A402646" w:rsidR="006272AF" w:rsidRPr="00A22E9D" w:rsidRDefault="006272AF"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The chloroquine-sensitive strain of </w:t>
      </w:r>
      <w:r w:rsidRPr="00A22E9D">
        <w:rPr>
          <w:rFonts w:ascii="Times New Roman" w:hAnsi="Times New Roman" w:cs="Times New Roman"/>
          <w:i/>
          <w:sz w:val="24"/>
          <w:szCs w:val="24"/>
        </w:rPr>
        <w:t xml:space="preserve">Plasmodium </w:t>
      </w:r>
      <w:proofErr w:type="spellStart"/>
      <w:r w:rsidRPr="00A22E9D">
        <w:rPr>
          <w:rFonts w:ascii="Times New Roman" w:hAnsi="Times New Roman" w:cs="Times New Roman"/>
          <w:i/>
          <w:sz w:val="24"/>
          <w:szCs w:val="24"/>
        </w:rPr>
        <w:t>berghei</w:t>
      </w:r>
      <w:proofErr w:type="spellEnd"/>
      <w:r w:rsidRPr="00A22E9D">
        <w:rPr>
          <w:rFonts w:ascii="Times New Roman" w:hAnsi="Times New Roman" w:cs="Times New Roman"/>
          <w:i/>
          <w:sz w:val="24"/>
          <w:szCs w:val="24"/>
        </w:rPr>
        <w:t>,</w:t>
      </w:r>
      <w:r w:rsidRPr="00A22E9D">
        <w:rPr>
          <w:rFonts w:ascii="Times New Roman" w:hAnsi="Times New Roman" w:cs="Times New Roman"/>
          <w:sz w:val="24"/>
          <w:szCs w:val="24"/>
        </w:rPr>
        <w:t xml:space="preserve"> NK-65, </w:t>
      </w:r>
      <w:r w:rsidR="00287676" w:rsidRPr="00A22E9D">
        <w:rPr>
          <w:rFonts w:ascii="Times New Roman" w:hAnsi="Times New Roman" w:cs="Times New Roman"/>
          <w:sz w:val="24"/>
          <w:szCs w:val="24"/>
        </w:rPr>
        <w:t xml:space="preserve">was </w:t>
      </w:r>
      <w:r w:rsidRPr="00A22E9D">
        <w:rPr>
          <w:rFonts w:ascii="Times New Roman" w:hAnsi="Times New Roman" w:cs="Times New Roman"/>
          <w:sz w:val="24"/>
          <w:szCs w:val="24"/>
        </w:rPr>
        <w:t xml:space="preserve">obtained from the Institute of Advanced Research and Training, University College Hospital, University of Ibadan </w:t>
      </w:r>
      <w:r w:rsidR="00287676" w:rsidRPr="00A22E9D">
        <w:rPr>
          <w:rFonts w:ascii="Times New Roman" w:hAnsi="Times New Roman" w:cs="Times New Roman"/>
          <w:sz w:val="24"/>
          <w:szCs w:val="24"/>
        </w:rPr>
        <w:t xml:space="preserve">and </w:t>
      </w:r>
      <w:r w:rsidRPr="00A22E9D">
        <w:rPr>
          <w:rFonts w:ascii="Times New Roman" w:hAnsi="Times New Roman" w:cs="Times New Roman"/>
          <w:sz w:val="24"/>
          <w:szCs w:val="24"/>
        </w:rPr>
        <w:t>was used for the experiment. The parasite was kept alive by intra-peritoneal passage in mice.</w:t>
      </w:r>
    </w:p>
    <w:p w14:paraId="7A7983D0" w14:textId="2CAE780A" w:rsidR="006272AF" w:rsidRPr="00A22E9D" w:rsidRDefault="00287676" w:rsidP="00CA4B8F">
      <w:pPr>
        <w:pStyle w:val="Heading4"/>
        <w:spacing w:line="480" w:lineRule="auto"/>
        <w:rPr>
          <w:rFonts w:cs="Times New Roman"/>
        </w:rPr>
      </w:pPr>
      <w:r w:rsidRPr="00A22E9D">
        <w:rPr>
          <w:rFonts w:cs="Times New Roman"/>
          <w:bCs/>
        </w:rPr>
        <w:t>3.</w:t>
      </w:r>
      <w:r w:rsidR="002D3B23" w:rsidRPr="00A22E9D">
        <w:rPr>
          <w:rFonts w:cs="Times New Roman"/>
          <w:bCs/>
        </w:rPr>
        <w:t>2</w:t>
      </w:r>
      <w:r w:rsidRPr="00A22E9D">
        <w:rPr>
          <w:rFonts w:cs="Times New Roman"/>
          <w:bCs/>
        </w:rPr>
        <w:t xml:space="preserve">.3 </w:t>
      </w:r>
      <w:r w:rsidR="006272AF" w:rsidRPr="00A22E9D">
        <w:rPr>
          <w:rFonts w:cs="Times New Roman"/>
        </w:rPr>
        <w:t>Determination of Acute Toxicity (LD</w:t>
      </w:r>
      <w:r w:rsidR="006272AF" w:rsidRPr="00A22E9D">
        <w:rPr>
          <w:rFonts w:cs="Times New Roman"/>
          <w:vertAlign w:val="subscript"/>
        </w:rPr>
        <w:t>50</w:t>
      </w:r>
      <w:r w:rsidR="006272AF" w:rsidRPr="00A22E9D">
        <w:rPr>
          <w:rFonts w:cs="Times New Roman"/>
        </w:rPr>
        <w:t>)</w:t>
      </w:r>
    </w:p>
    <w:p w14:paraId="22C2ABC4" w14:textId="6DEE2A23" w:rsidR="006272AF" w:rsidRPr="00A22E9D" w:rsidRDefault="006272AF"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Acute toxicity of the synthesized compound was determined using the </w:t>
      </w:r>
      <w:proofErr w:type="spellStart"/>
      <w:r w:rsidRPr="00A22E9D">
        <w:rPr>
          <w:rFonts w:ascii="Times New Roman" w:hAnsi="Times New Roman" w:cs="Times New Roman"/>
          <w:sz w:val="24"/>
          <w:szCs w:val="24"/>
        </w:rPr>
        <w:t>Lorke’s</w:t>
      </w:r>
      <w:proofErr w:type="spellEnd"/>
      <w:r w:rsidRPr="00A22E9D">
        <w:rPr>
          <w:rFonts w:ascii="Times New Roman" w:hAnsi="Times New Roman" w:cs="Times New Roman"/>
          <w:sz w:val="24"/>
          <w:szCs w:val="24"/>
        </w:rPr>
        <w:t xml:space="preserve"> method</w:t>
      </w:r>
      <w:r w:rsidR="00472303" w:rsidRPr="00A22E9D">
        <w:rPr>
          <w:rFonts w:ascii="Times New Roman" w:hAnsi="Times New Roman" w:cs="Times New Roman"/>
          <w:sz w:val="24"/>
          <w:szCs w:val="24"/>
        </w:rPr>
        <w:t xml:space="preserve"> </w:t>
      </w:r>
      <w:r w:rsidR="00472303" w:rsidRPr="00A22E9D">
        <w:rPr>
          <w:rFonts w:ascii="Times New Roman" w:hAnsi="Times New Roman" w:cs="Times New Roman"/>
          <w:sz w:val="24"/>
          <w:szCs w:val="24"/>
        </w:rPr>
        <w:fldChar w:fldCharType="begin"/>
      </w:r>
      <w:r w:rsidR="00472303" w:rsidRPr="00A22E9D">
        <w:rPr>
          <w:rFonts w:ascii="Times New Roman" w:hAnsi="Times New Roman" w:cs="Times New Roman"/>
          <w:sz w:val="24"/>
          <w:szCs w:val="24"/>
        </w:rPr>
        <w:instrText xml:space="preserve"> ADDIN ZOTERO_ITEM CSL_CITATION {"citationID":"ivX1YzXr","properties":{"formattedCitation":"(Lorke, 1983)","plainCitation":"(Lorke, 1983)","noteIndex":0},"citationItems":[{"id":466,"uris":["http://zotero.org/users/local/BeK2zaGK/items/A9GAFKL3"],"itemData":{"id":466,"type":"article-journal","abstract":"A method for the investigation of the acute toxicity of an unknown chemical substance, with an estimation on the LD50, is described. Using this, it is possible to obtain with 13 experimental animals adequate information on the acute toxicity and on the LD50. This method has no limitations and applies to drugs, agricultural and industrial chemicals. It can be used for every route of administration.","container-title":"Archives of Toxicology","DOI":"10.1007/BF01234480","ISSN":"0340-5761","issue":"4","journalAbbreviation":"Arch Toxicol","language":"eng","note":"PMID: 6667118","page":"275-287","source":"PubMed","title":"A new approach to practical acute toxicity testing","volume":"54","author":[{"family":"Lorke","given":"D."}],"issued":{"date-parts":[["1983",12]]}}}],"schema":"https://github.com/citation-style-language/schema/raw/master/csl-citation.json"} </w:instrText>
      </w:r>
      <w:r w:rsidR="00472303" w:rsidRPr="00A22E9D">
        <w:rPr>
          <w:rFonts w:ascii="Times New Roman" w:hAnsi="Times New Roman" w:cs="Times New Roman"/>
          <w:sz w:val="24"/>
          <w:szCs w:val="24"/>
        </w:rPr>
        <w:fldChar w:fldCharType="separate"/>
      </w:r>
      <w:r w:rsidR="00472303" w:rsidRPr="00A22E9D">
        <w:rPr>
          <w:rFonts w:ascii="Times New Roman" w:hAnsi="Times New Roman" w:cs="Times New Roman"/>
          <w:sz w:val="24"/>
        </w:rPr>
        <w:t>(Lorke, 1983)</w:t>
      </w:r>
      <w:r w:rsidR="00472303" w:rsidRPr="00A22E9D">
        <w:rPr>
          <w:rFonts w:ascii="Times New Roman" w:hAnsi="Times New Roman" w:cs="Times New Roman"/>
          <w:sz w:val="24"/>
          <w:szCs w:val="24"/>
        </w:rPr>
        <w:fldChar w:fldCharType="end"/>
      </w:r>
      <w:r w:rsidRPr="00A22E9D">
        <w:rPr>
          <w:rFonts w:ascii="Times New Roman" w:hAnsi="Times New Roman" w:cs="Times New Roman"/>
          <w:sz w:val="24"/>
          <w:szCs w:val="24"/>
        </w:rPr>
        <w:t>. Nine mice were divided into three groups (A, B, and C). The three groups were administered orally with graded concentrations (10, 100, 1000 mg/kg respectively) of the compound in a single dose. The animals were closely monitored for 24 hours for any manifestation of toxicity.</w:t>
      </w:r>
    </w:p>
    <w:p w14:paraId="21443295" w14:textId="5C9D5AC9" w:rsidR="006272AF" w:rsidRPr="00A22E9D" w:rsidRDefault="00287676" w:rsidP="00CA4B8F">
      <w:pPr>
        <w:pStyle w:val="Heading4"/>
        <w:spacing w:line="480" w:lineRule="auto"/>
        <w:rPr>
          <w:rFonts w:cs="Times New Roman"/>
        </w:rPr>
      </w:pPr>
      <w:r w:rsidRPr="00A22E9D">
        <w:rPr>
          <w:rFonts w:cs="Times New Roman"/>
          <w:bCs/>
        </w:rPr>
        <w:t>3.</w:t>
      </w:r>
      <w:r w:rsidR="002D3B23" w:rsidRPr="00A22E9D">
        <w:rPr>
          <w:rFonts w:cs="Times New Roman"/>
          <w:bCs/>
        </w:rPr>
        <w:t>2</w:t>
      </w:r>
      <w:r w:rsidRPr="00A22E9D">
        <w:rPr>
          <w:rFonts w:cs="Times New Roman"/>
          <w:bCs/>
        </w:rPr>
        <w:t xml:space="preserve">.4 </w:t>
      </w:r>
      <w:r w:rsidR="00177850" w:rsidRPr="00A22E9D">
        <w:rPr>
          <w:rFonts w:cs="Times New Roman"/>
        </w:rPr>
        <w:t>Chemo</w:t>
      </w:r>
      <w:r w:rsidR="006C4965" w:rsidRPr="00A22E9D">
        <w:rPr>
          <w:rFonts w:cs="Times New Roman"/>
        </w:rPr>
        <w:t>-</w:t>
      </w:r>
      <w:r w:rsidR="00177850" w:rsidRPr="00A22E9D">
        <w:rPr>
          <w:rFonts w:cs="Times New Roman"/>
        </w:rPr>
        <w:t>suppressive</w:t>
      </w:r>
      <w:r w:rsidR="006272AF" w:rsidRPr="00A22E9D">
        <w:rPr>
          <w:rFonts w:cs="Times New Roman"/>
        </w:rPr>
        <w:t xml:space="preserve"> Test</w:t>
      </w:r>
    </w:p>
    <w:p w14:paraId="50553055" w14:textId="74086BB5" w:rsidR="006272AF" w:rsidRPr="00A22E9D" w:rsidRDefault="006272AF" w:rsidP="00CA4B8F">
      <w:pPr>
        <w:spacing w:line="480" w:lineRule="auto"/>
        <w:ind w:firstLine="720"/>
        <w:jc w:val="both"/>
        <w:rPr>
          <w:rFonts w:ascii="Times New Roman" w:hAnsi="Times New Roman" w:cs="Times New Roman"/>
          <w:sz w:val="24"/>
          <w:szCs w:val="24"/>
        </w:rPr>
      </w:pPr>
      <w:bookmarkStart w:id="27" w:name="_Hlk138975660"/>
      <w:r w:rsidRPr="00A22E9D">
        <w:rPr>
          <w:rFonts w:ascii="Times New Roman" w:hAnsi="Times New Roman" w:cs="Times New Roman"/>
          <w:sz w:val="24"/>
          <w:szCs w:val="24"/>
        </w:rPr>
        <w:t>This test was used to assess the antimalarial activity of the synthesized compound against the infected mice. The anti-plasmodial activity of the synthesized compoun</w:t>
      </w:r>
      <w:r w:rsidR="00287676" w:rsidRPr="00A22E9D">
        <w:rPr>
          <w:rFonts w:ascii="Times New Roman" w:hAnsi="Times New Roman" w:cs="Times New Roman"/>
          <w:sz w:val="24"/>
          <w:szCs w:val="24"/>
        </w:rPr>
        <w:t>d</w:t>
      </w:r>
      <w:r w:rsidRPr="00A22E9D">
        <w:rPr>
          <w:rFonts w:ascii="Times New Roman" w:hAnsi="Times New Roman" w:cs="Times New Roman"/>
          <w:sz w:val="24"/>
          <w:szCs w:val="24"/>
        </w:rPr>
        <w:t xml:space="preserve"> was performed in four days suppressive standard test.</w:t>
      </w:r>
    </w:p>
    <w:p w14:paraId="0F3C8BD9" w14:textId="3057F8AC" w:rsidR="002D3B23" w:rsidRPr="00A22E9D" w:rsidRDefault="00287676" w:rsidP="00CA4B8F">
      <w:pPr>
        <w:pStyle w:val="Heading3"/>
        <w:spacing w:line="480" w:lineRule="auto"/>
        <w:rPr>
          <w:rFonts w:cs="Times New Roman"/>
        </w:rPr>
      </w:pPr>
      <w:bookmarkStart w:id="28" w:name="_Toc145500386"/>
      <w:bookmarkEnd w:id="27"/>
      <w:r w:rsidRPr="00A22E9D">
        <w:rPr>
          <w:rFonts w:cs="Times New Roman"/>
        </w:rPr>
        <w:t>3.3</w:t>
      </w:r>
      <w:r w:rsidR="002D3B23" w:rsidRPr="00A22E9D">
        <w:rPr>
          <w:rFonts w:cs="Times New Roman"/>
        </w:rPr>
        <w:t xml:space="preserve"> In-vivo Studies</w:t>
      </w:r>
      <w:bookmarkEnd w:id="28"/>
    </w:p>
    <w:p w14:paraId="6F2BFB2D" w14:textId="0C1A9669" w:rsidR="006272AF" w:rsidRPr="00A22E9D" w:rsidRDefault="002D3B23" w:rsidP="00CA4B8F">
      <w:pPr>
        <w:pStyle w:val="Heading4"/>
        <w:spacing w:line="480" w:lineRule="auto"/>
        <w:rPr>
          <w:rFonts w:cs="Times New Roman"/>
        </w:rPr>
      </w:pPr>
      <w:r w:rsidRPr="00A22E9D">
        <w:rPr>
          <w:rFonts w:cs="Times New Roman"/>
          <w:bCs/>
        </w:rPr>
        <w:t>3.3.1</w:t>
      </w:r>
      <w:r w:rsidR="00287676" w:rsidRPr="00A22E9D">
        <w:rPr>
          <w:rFonts w:cs="Times New Roman"/>
          <w:bCs/>
        </w:rPr>
        <w:t xml:space="preserve"> </w:t>
      </w:r>
      <w:r w:rsidRPr="00A22E9D">
        <w:rPr>
          <w:rFonts w:cs="Times New Roman"/>
        </w:rPr>
        <w:t>Inoculation</w:t>
      </w:r>
      <w:r w:rsidR="006272AF" w:rsidRPr="00A22E9D">
        <w:rPr>
          <w:rFonts w:cs="Times New Roman"/>
        </w:rPr>
        <w:t xml:space="preserve"> with Parasite</w:t>
      </w:r>
    </w:p>
    <w:p w14:paraId="054FE670" w14:textId="10732BED" w:rsidR="006272AF" w:rsidRPr="00A22E9D" w:rsidRDefault="006272AF" w:rsidP="00CA4B8F">
      <w:pPr>
        <w:spacing w:line="480" w:lineRule="auto"/>
        <w:ind w:firstLine="720"/>
        <w:jc w:val="both"/>
        <w:rPr>
          <w:rFonts w:ascii="Times New Roman" w:hAnsi="Times New Roman" w:cs="Times New Roman"/>
          <w:sz w:val="24"/>
          <w:szCs w:val="24"/>
        </w:rPr>
      </w:pPr>
      <w:bookmarkStart w:id="29" w:name="_Hlk138975737"/>
      <w:r w:rsidRPr="00A22E9D">
        <w:rPr>
          <w:rFonts w:ascii="Times New Roman" w:hAnsi="Times New Roman" w:cs="Times New Roman"/>
          <w:sz w:val="24"/>
          <w:szCs w:val="24"/>
        </w:rPr>
        <w:t xml:space="preserve"> Swiss albino mouse weighing 18-20g previously infected with </w:t>
      </w:r>
      <w:r w:rsidRPr="00A22E9D">
        <w:rPr>
          <w:rFonts w:ascii="Times New Roman" w:hAnsi="Times New Roman" w:cs="Times New Roman"/>
          <w:i/>
          <w:sz w:val="24"/>
          <w:szCs w:val="24"/>
        </w:rPr>
        <w:t xml:space="preserve">Plasmodium </w:t>
      </w:r>
      <w:r w:rsidRPr="00A22E9D">
        <w:rPr>
          <w:rFonts w:ascii="Times New Roman" w:hAnsi="Times New Roman" w:cs="Times New Roman"/>
          <w:sz w:val="24"/>
          <w:szCs w:val="24"/>
        </w:rPr>
        <w:t>parasite (</w:t>
      </w:r>
      <w:r w:rsidR="002D3B23" w:rsidRPr="00A22E9D">
        <w:rPr>
          <w:rFonts w:ascii="Times New Roman" w:hAnsi="Times New Roman" w:cs="Times New Roman"/>
          <w:sz w:val="24"/>
          <w:szCs w:val="24"/>
        </w:rPr>
        <w:t>parasitaemia</w:t>
      </w:r>
      <w:r w:rsidRPr="00A22E9D">
        <w:rPr>
          <w:rFonts w:ascii="Times New Roman" w:hAnsi="Times New Roman" w:cs="Times New Roman"/>
          <w:sz w:val="24"/>
          <w:szCs w:val="24"/>
        </w:rPr>
        <w:t xml:space="preserve"> level of 40%) was used as donor. The donor mouse was sacrificed with chloroform </w:t>
      </w:r>
      <w:r w:rsidR="002D3B23" w:rsidRPr="00A22E9D">
        <w:rPr>
          <w:rFonts w:ascii="Times New Roman" w:hAnsi="Times New Roman" w:cs="Times New Roman"/>
          <w:sz w:val="24"/>
          <w:szCs w:val="24"/>
        </w:rPr>
        <w:lastRenderedPageBreak/>
        <w:t>anaesthesia</w:t>
      </w:r>
      <w:r w:rsidRPr="00A22E9D">
        <w:rPr>
          <w:rFonts w:ascii="Times New Roman" w:hAnsi="Times New Roman" w:cs="Times New Roman"/>
          <w:sz w:val="24"/>
          <w:szCs w:val="24"/>
        </w:rPr>
        <w:t xml:space="preserve"> and blood was collected into sterile disposable syringe by cardiac puncture method. The desired volume of blood collected from the donor mouse was appropriately diluted with saline based on the calculated percentage parasit</w:t>
      </w:r>
      <w:r w:rsidR="002D3B23" w:rsidRPr="00A22E9D">
        <w:rPr>
          <w:rFonts w:ascii="Times New Roman" w:hAnsi="Times New Roman" w:cs="Times New Roman"/>
          <w:sz w:val="24"/>
          <w:szCs w:val="24"/>
        </w:rPr>
        <w:t>a</w:t>
      </w:r>
      <w:r w:rsidRPr="00A22E9D">
        <w:rPr>
          <w:rFonts w:ascii="Times New Roman" w:hAnsi="Times New Roman" w:cs="Times New Roman"/>
          <w:sz w:val="24"/>
          <w:szCs w:val="24"/>
        </w:rPr>
        <w:t>emia of the donor mouse. Each experimental mouse was inoculated intraperitoneally with 0.2 ml of the infected blood.</w:t>
      </w:r>
    </w:p>
    <w:bookmarkEnd w:id="29"/>
    <w:p w14:paraId="6547F82E" w14:textId="61CBA40B" w:rsidR="006272AF" w:rsidRPr="00A22E9D" w:rsidRDefault="008B54D5" w:rsidP="00CA4B8F">
      <w:pPr>
        <w:pStyle w:val="Heading4"/>
        <w:spacing w:line="480" w:lineRule="auto"/>
        <w:rPr>
          <w:rFonts w:cs="Times New Roman"/>
        </w:rPr>
      </w:pPr>
      <w:r w:rsidRPr="00A22E9D">
        <w:rPr>
          <w:rFonts w:cs="Times New Roman"/>
          <w:bCs/>
        </w:rPr>
        <w:t xml:space="preserve">3.3.2 </w:t>
      </w:r>
      <w:r w:rsidR="006272AF" w:rsidRPr="00A22E9D">
        <w:rPr>
          <w:rFonts w:cs="Times New Roman"/>
        </w:rPr>
        <w:t>Grouping and Dosing of Animals</w:t>
      </w:r>
    </w:p>
    <w:p w14:paraId="59990DC1" w14:textId="37DBBB32" w:rsidR="006272AF" w:rsidRPr="00A22E9D" w:rsidRDefault="008B54D5" w:rsidP="00CA4B8F">
      <w:pPr>
        <w:spacing w:line="480" w:lineRule="auto"/>
        <w:ind w:firstLine="720"/>
        <w:jc w:val="both"/>
        <w:rPr>
          <w:rFonts w:ascii="Times New Roman" w:hAnsi="Times New Roman" w:cs="Times New Roman"/>
          <w:sz w:val="24"/>
          <w:szCs w:val="24"/>
        </w:rPr>
      </w:pPr>
      <w:bookmarkStart w:id="30" w:name="_Hlk138975838"/>
      <w:r w:rsidRPr="00A22E9D">
        <w:rPr>
          <w:rFonts w:ascii="Times New Roman" w:hAnsi="Times New Roman" w:cs="Times New Roman"/>
          <w:sz w:val="24"/>
          <w:szCs w:val="24"/>
        </w:rPr>
        <w:t xml:space="preserve">The </w:t>
      </w:r>
      <w:r w:rsidR="006272AF" w:rsidRPr="00A22E9D">
        <w:rPr>
          <w:rFonts w:ascii="Times New Roman" w:hAnsi="Times New Roman" w:cs="Times New Roman"/>
          <w:sz w:val="24"/>
          <w:szCs w:val="24"/>
        </w:rPr>
        <w:t xml:space="preserve">Swiss albino mice were randomly divided into five groups (with five mice per group). Three groups were assigned as test groups while the other two groups were used as control (positive and negative) groups. Different doses of the synthesized compound </w:t>
      </w:r>
      <w:r w:rsidR="005C0F36" w:rsidRPr="00A22E9D">
        <w:rPr>
          <w:rFonts w:ascii="Times New Roman" w:hAnsi="Times New Roman" w:cs="Times New Roman"/>
          <w:sz w:val="24"/>
          <w:szCs w:val="24"/>
        </w:rPr>
        <w:t>were</w:t>
      </w:r>
      <w:r w:rsidR="006272AF" w:rsidRPr="00A22E9D">
        <w:rPr>
          <w:rFonts w:ascii="Times New Roman" w:hAnsi="Times New Roman" w:cs="Times New Roman"/>
          <w:sz w:val="24"/>
          <w:szCs w:val="24"/>
        </w:rPr>
        <w:t xml:space="preserve"> dissolved in olive oil. The animals in the test groups were administered doses of 5, 10 and 25 mg/kg of the compound respectively while the control groups were administered with 10 mg/kg chloroquine (reference drug, positive control) and 0.2 ml of vehicle (olive oil) for the negative control group. The test (synthesized) compound w</w:t>
      </w:r>
      <w:r w:rsidR="005C0F36" w:rsidRPr="00A22E9D">
        <w:rPr>
          <w:rFonts w:ascii="Times New Roman" w:hAnsi="Times New Roman" w:cs="Times New Roman"/>
          <w:sz w:val="24"/>
          <w:szCs w:val="24"/>
        </w:rPr>
        <w:t>as</w:t>
      </w:r>
      <w:r w:rsidR="006272AF" w:rsidRPr="00A22E9D">
        <w:rPr>
          <w:rFonts w:ascii="Times New Roman" w:hAnsi="Times New Roman" w:cs="Times New Roman"/>
          <w:sz w:val="24"/>
          <w:szCs w:val="24"/>
        </w:rPr>
        <w:t xml:space="preserve"> administered to the animals for four consecutive days along with chloroquine and olive oil for positive control and negative control respectively.</w:t>
      </w:r>
    </w:p>
    <w:bookmarkEnd w:id="30"/>
    <w:p w14:paraId="5FB1986D" w14:textId="7FC669CA" w:rsidR="006272AF" w:rsidRPr="00A22E9D" w:rsidRDefault="006A1B6B" w:rsidP="00CA4B8F">
      <w:pPr>
        <w:pStyle w:val="Heading4"/>
        <w:spacing w:line="480" w:lineRule="auto"/>
        <w:rPr>
          <w:rFonts w:cs="Times New Roman"/>
        </w:rPr>
      </w:pPr>
      <w:r w:rsidRPr="00A22E9D">
        <w:rPr>
          <w:rFonts w:cs="Times New Roman"/>
          <w:bCs/>
        </w:rPr>
        <w:t xml:space="preserve">3.3.3 </w:t>
      </w:r>
      <w:r w:rsidR="006272AF" w:rsidRPr="00A22E9D">
        <w:rPr>
          <w:rFonts w:cs="Times New Roman"/>
        </w:rPr>
        <w:t>Suppressive Test</w:t>
      </w:r>
    </w:p>
    <w:p w14:paraId="3B317C58" w14:textId="608048C8" w:rsidR="006272AF" w:rsidRPr="00A22E9D" w:rsidRDefault="006272AF" w:rsidP="00CA4B8F">
      <w:pPr>
        <w:spacing w:line="480" w:lineRule="auto"/>
        <w:ind w:firstLine="720"/>
        <w:jc w:val="both"/>
        <w:rPr>
          <w:rFonts w:ascii="Times New Roman" w:hAnsi="Times New Roman" w:cs="Times New Roman"/>
          <w:sz w:val="24"/>
          <w:szCs w:val="24"/>
        </w:rPr>
      </w:pPr>
      <w:bookmarkStart w:id="31" w:name="_Hlk138975913"/>
      <w:r w:rsidRPr="00A22E9D">
        <w:rPr>
          <w:rFonts w:ascii="Times New Roman" w:hAnsi="Times New Roman" w:cs="Times New Roman"/>
          <w:sz w:val="24"/>
          <w:szCs w:val="24"/>
        </w:rPr>
        <w:t>The chemo</w:t>
      </w:r>
      <w:r w:rsidR="006C4965" w:rsidRPr="00A22E9D">
        <w:rPr>
          <w:rFonts w:ascii="Times New Roman" w:hAnsi="Times New Roman" w:cs="Times New Roman"/>
          <w:sz w:val="24"/>
          <w:szCs w:val="24"/>
        </w:rPr>
        <w:t>-</w:t>
      </w:r>
      <w:r w:rsidRPr="00A22E9D">
        <w:rPr>
          <w:rFonts w:ascii="Times New Roman" w:hAnsi="Times New Roman" w:cs="Times New Roman"/>
          <w:sz w:val="24"/>
          <w:szCs w:val="24"/>
        </w:rPr>
        <w:t xml:space="preserve">suppressive test was evaluated using Knight and Peters (1980) method against mice infected with chloroquine sensitive </w:t>
      </w:r>
      <w:r w:rsidRPr="00A22E9D">
        <w:rPr>
          <w:rFonts w:ascii="Times New Roman" w:hAnsi="Times New Roman" w:cs="Times New Roman"/>
          <w:i/>
          <w:sz w:val="24"/>
          <w:szCs w:val="24"/>
        </w:rPr>
        <w:t xml:space="preserve">P. </w:t>
      </w:r>
      <w:proofErr w:type="spellStart"/>
      <w:r w:rsidRPr="00A22E9D">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 and was carried out with t</w:t>
      </w:r>
      <w:r w:rsidR="00175861" w:rsidRPr="00A22E9D">
        <w:rPr>
          <w:rFonts w:ascii="Times New Roman" w:hAnsi="Times New Roman" w:cs="Times New Roman"/>
          <w:sz w:val="24"/>
          <w:szCs w:val="24"/>
        </w:rPr>
        <w:t>he selected test</w:t>
      </w:r>
      <w:r w:rsidRPr="00A22E9D">
        <w:rPr>
          <w:rFonts w:ascii="Times New Roman" w:hAnsi="Times New Roman" w:cs="Times New Roman"/>
          <w:sz w:val="24"/>
          <w:szCs w:val="24"/>
        </w:rPr>
        <w:t xml:space="preserve"> compounds (40 animals). The mice were infected on the first day of the experiment and 24 hours post infection, the experimental mice were distributed into groups as described in the grouping and dosing of </w:t>
      </w:r>
      <w:r w:rsidR="00F35FC5" w:rsidRPr="00A22E9D">
        <w:rPr>
          <w:rFonts w:ascii="Times New Roman" w:hAnsi="Times New Roman" w:cs="Times New Roman"/>
          <w:sz w:val="24"/>
          <w:szCs w:val="24"/>
        </w:rPr>
        <w:t>animal’s</w:t>
      </w:r>
      <w:r w:rsidRPr="00A22E9D">
        <w:rPr>
          <w:rFonts w:ascii="Times New Roman" w:hAnsi="Times New Roman" w:cs="Times New Roman"/>
          <w:sz w:val="24"/>
          <w:szCs w:val="24"/>
        </w:rPr>
        <w:t xml:space="preserve"> section above. Drug administration was carried out consecutively for four days and percentage parasit</w:t>
      </w:r>
      <w:r w:rsidR="00175861" w:rsidRPr="00A22E9D">
        <w:rPr>
          <w:rFonts w:ascii="Times New Roman" w:hAnsi="Times New Roman" w:cs="Times New Roman"/>
          <w:sz w:val="24"/>
          <w:szCs w:val="24"/>
        </w:rPr>
        <w:t>a</w:t>
      </w:r>
      <w:r w:rsidRPr="00A22E9D">
        <w:rPr>
          <w:rFonts w:ascii="Times New Roman" w:hAnsi="Times New Roman" w:cs="Times New Roman"/>
          <w:sz w:val="24"/>
          <w:szCs w:val="24"/>
        </w:rPr>
        <w:t>emia was determined.</w:t>
      </w:r>
    </w:p>
    <w:bookmarkEnd w:id="31"/>
    <w:p w14:paraId="747C0146" w14:textId="3CE12C68" w:rsidR="006272AF" w:rsidRPr="00A22E9D" w:rsidRDefault="00175861" w:rsidP="00CA4B8F">
      <w:pPr>
        <w:pStyle w:val="Heading4"/>
        <w:spacing w:line="480" w:lineRule="auto"/>
        <w:rPr>
          <w:rFonts w:cs="Times New Roman"/>
        </w:rPr>
      </w:pPr>
      <w:r w:rsidRPr="00A22E9D">
        <w:rPr>
          <w:rFonts w:cs="Times New Roman"/>
          <w:bCs/>
        </w:rPr>
        <w:t xml:space="preserve">3.3.4 </w:t>
      </w:r>
      <w:r w:rsidR="006272AF" w:rsidRPr="00A22E9D">
        <w:rPr>
          <w:rFonts w:cs="Times New Roman"/>
        </w:rPr>
        <w:t>Determination of Parasit</w:t>
      </w:r>
      <w:r w:rsidRPr="00A22E9D">
        <w:rPr>
          <w:rFonts w:cs="Times New Roman"/>
        </w:rPr>
        <w:t>a</w:t>
      </w:r>
      <w:r w:rsidR="006272AF" w:rsidRPr="00A22E9D">
        <w:rPr>
          <w:rFonts w:cs="Times New Roman"/>
        </w:rPr>
        <w:t xml:space="preserve">emia </w:t>
      </w:r>
    </w:p>
    <w:p w14:paraId="5449DB4E" w14:textId="53AA1C9D" w:rsidR="006272AF" w:rsidRPr="00A22E9D" w:rsidRDefault="006272AF" w:rsidP="00CA4B8F">
      <w:pPr>
        <w:spacing w:line="480" w:lineRule="auto"/>
        <w:ind w:firstLine="720"/>
        <w:jc w:val="both"/>
        <w:rPr>
          <w:rFonts w:ascii="Times New Roman" w:hAnsi="Times New Roman" w:cs="Times New Roman"/>
          <w:sz w:val="24"/>
          <w:szCs w:val="24"/>
        </w:rPr>
      </w:pPr>
      <w:bookmarkStart w:id="32" w:name="_Hlk138975980"/>
      <w:r w:rsidRPr="00A22E9D">
        <w:rPr>
          <w:rFonts w:ascii="Times New Roman" w:hAnsi="Times New Roman" w:cs="Times New Roman"/>
          <w:sz w:val="24"/>
          <w:szCs w:val="24"/>
        </w:rPr>
        <w:t xml:space="preserve">The determination of </w:t>
      </w:r>
      <w:r w:rsidR="009317DD" w:rsidRPr="00A22E9D">
        <w:rPr>
          <w:rFonts w:ascii="Times New Roman" w:hAnsi="Times New Roman" w:cs="Times New Roman"/>
          <w:sz w:val="24"/>
          <w:szCs w:val="24"/>
        </w:rPr>
        <w:t>parasitaemia</w:t>
      </w:r>
      <w:r w:rsidRPr="00A22E9D">
        <w:rPr>
          <w:rFonts w:ascii="Times New Roman" w:hAnsi="Times New Roman" w:cs="Times New Roman"/>
          <w:sz w:val="24"/>
          <w:szCs w:val="24"/>
        </w:rPr>
        <w:t xml:space="preserve"> was carried out on the fifth day (120 hours post infection). Thin blood smear of each of the mouse was done by taking a drop of blood from a tiny cut to the tail of the animal on to a microscope glass slide and spreading it thinly with the aid of </w:t>
      </w:r>
      <w:r w:rsidRPr="00A22E9D">
        <w:rPr>
          <w:rFonts w:ascii="Times New Roman" w:hAnsi="Times New Roman" w:cs="Times New Roman"/>
          <w:sz w:val="24"/>
          <w:szCs w:val="24"/>
        </w:rPr>
        <w:lastRenderedPageBreak/>
        <w:t>another slide. The smear was air-dried and then fixed with methanol. The glass slide was allowed to dry and was then stained with Giemsa solution (diluted 1:10 with phosphate buffered saline). The stain was sufficiently poured on each of the slide and allowed to stand for 1 hour, decanted, slowly rinsed with water and dried. The slides were viewed under the light microscope (with 100-x magnification, oil immersion) individually. The parasit</w:t>
      </w:r>
      <w:r w:rsidR="00175861" w:rsidRPr="00A22E9D">
        <w:rPr>
          <w:rFonts w:ascii="Times New Roman" w:hAnsi="Times New Roman" w:cs="Times New Roman"/>
          <w:sz w:val="24"/>
          <w:szCs w:val="24"/>
        </w:rPr>
        <w:t>a</w:t>
      </w:r>
      <w:r w:rsidRPr="00A22E9D">
        <w:rPr>
          <w:rFonts w:ascii="Times New Roman" w:hAnsi="Times New Roman" w:cs="Times New Roman"/>
          <w:sz w:val="24"/>
          <w:szCs w:val="24"/>
        </w:rPr>
        <w:t>emia level was determined by counting the number of parasitized red blood cells out of the total red blood cell in random fields of microscope. The percentage chemo suppression of parasit</w:t>
      </w:r>
      <w:r w:rsidR="00175861" w:rsidRPr="00A22E9D">
        <w:rPr>
          <w:rFonts w:ascii="Times New Roman" w:hAnsi="Times New Roman" w:cs="Times New Roman"/>
          <w:sz w:val="24"/>
          <w:szCs w:val="24"/>
        </w:rPr>
        <w:t>a</w:t>
      </w:r>
      <w:r w:rsidRPr="00A22E9D">
        <w:rPr>
          <w:rFonts w:ascii="Times New Roman" w:hAnsi="Times New Roman" w:cs="Times New Roman"/>
          <w:sz w:val="24"/>
          <w:szCs w:val="24"/>
        </w:rPr>
        <w:t>emia for each dose level was calculated by comparing the percentage parasit</w:t>
      </w:r>
      <w:r w:rsidR="00175861" w:rsidRPr="00A22E9D">
        <w:rPr>
          <w:rFonts w:ascii="Times New Roman" w:hAnsi="Times New Roman" w:cs="Times New Roman"/>
          <w:sz w:val="24"/>
          <w:szCs w:val="24"/>
        </w:rPr>
        <w:t>a</w:t>
      </w:r>
      <w:r w:rsidRPr="00A22E9D">
        <w:rPr>
          <w:rFonts w:ascii="Times New Roman" w:hAnsi="Times New Roman" w:cs="Times New Roman"/>
          <w:sz w:val="24"/>
          <w:szCs w:val="24"/>
        </w:rPr>
        <w:t>emia of the controls (positive and negative control) with those of treated mice using the modified Peters and Robinson formula.</w:t>
      </w:r>
    </w:p>
    <w:p w14:paraId="306F295C" w14:textId="6FBDFA9D" w:rsidR="006272AF" w:rsidRPr="00A22E9D" w:rsidRDefault="006272AF"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Parasit</w:t>
      </w:r>
      <w:r w:rsidR="00175861" w:rsidRPr="00A22E9D">
        <w:rPr>
          <w:rFonts w:ascii="Times New Roman" w:hAnsi="Times New Roman" w:cs="Times New Roman"/>
          <w:sz w:val="24"/>
          <w:szCs w:val="24"/>
        </w:rPr>
        <w:t>a</w:t>
      </w:r>
      <w:r w:rsidRPr="00A22E9D">
        <w:rPr>
          <w:rFonts w:ascii="Times New Roman" w:hAnsi="Times New Roman" w:cs="Times New Roman"/>
          <w:sz w:val="24"/>
          <w:szCs w:val="24"/>
        </w:rPr>
        <w:t xml:space="preserve">emia = </w:t>
      </w:r>
      <m:oMath>
        <m:f>
          <m:fPr>
            <m:ctrlPr>
              <w:rPr>
                <w:rFonts w:ascii="Cambria Math" w:hAnsi="Cambria Math" w:cs="Times New Roman"/>
                <w:sz w:val="24"/>
                <w:szCs w:val="24"/>
              </w:rPr>
            </m:ctrlPr>
          </m:fPr>
          <m:num>
            <m:r>
              <w:rPr>
                <w:rFonts w:ascii="Cambria Math" w:hAnsi="Cambria Math" w:cs="Times New Roman"/>
                <w:sz w:val="24"/>
                <w:szCs w:val="24"/>
              </w:rPr>
              <m:t>Parasitizedbloodcells</m:t>
            </m:r>
          </m:num>
          <m:den>
            <m:r>
              <w:rPr>
                <w:rFonts w:ascii="Cambria Math" w:hAnsi="Cambria Math" w:cs="Times New Roman"/>
                <w:sz w:val="24"/>
                <w:szCs w:val="24"/>
              </w:rPr>
              <m:t xml:space="preserve">Total red bloodcells </m:t>
            </m:r>
          </m:den>
        </m:f>
        <m:r>
          <w:rPr>
            <w:rFonts w:ascii="Cambria Math" w:hAnsi="Cambria Math" w:cs="Times New Roman"/>
            <w:sz w:val="24"/>
            <w:szCs w:val="24"/>
          </w:rPr>
          <m:t>X100</m:t>
        </m:r>
      </m:oMath>
    </w:p>
    <w:p w14:paraId="33928916" w14:textId="00C6A11F" w:rsidR="006272AF" w:rsidRPr="00A22E9D" w:rsidRDefault="006272AF"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 % Chemo</w:t>
      </w:r>
      <w:r w:rsidR="009317DD"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suppression =  </w:t>
      </w:r>
      <m:oMath>
        <m:f>
          <m:fPr>
            <m:ctrlPr>
              <w:rPr>
                <w:rFonts w:ascii="Cambria Math" w:hAnsi="Cambria Math" w:cs="Times New Roman"/>
                <w:sz w:val="24"/>
                <w:szCs w:val="24"/>
              </w:rPr>
            </m:ctrlPr>
          </m:fPr>
          <m:num>
            <m:d>
              <m:dPr>
                <m:ctrlPr>
                  <w:rPr>
                    <w:rFonts w:ascii="Cambria Math" w:hAnsi="Cambria Math" w:cs="Times New Roman"/>
                    <w:sz w:val="24"/>
                    <w:szCs w:val="24"/>
                  </w:rPr>
                </m:ctrlPr>
              </m:dPr>
              <m:e>
                <m:r>
                  <w:rPr>
                    <w:rFonts w:ascii="Cambria Math" w:hAnsi="Cambria Math" w:cs="Times New Roman"/>
                    <w:sz w:val="24"/>
                    <w:szCs w:val="24"/>
                  </w:rPr>
                  <m:t>A-B</m:t>
                </m:r>
              </m:e>
            </m:d>
          </m:num>
          <m:den>
            <m:r>
              <w:rPr>
                <w:rFonts w:ascii="Cambria Math" w:hAnsi="Cambria Math" w:cs="Times New Roman"/>
                <w:sz w:val="24"/>
                <w:szCs w:val="24"/>
              </w:rPr>
              <m:t>A</m:t>
            </m:r>
          </m:den>
        </m:f>
        <m:r>
          <w:rPr>
            <w:rFonts w:ascii="Cambria Math" w:hAnsi="Cambria Math" w:cs="Times New Roman"/>
            <w:sz w:val="24"/>
            <w:szCs w:val="24"/>
          </w:rPr>
          <m:t>X100</m:t>
        </m:r>
      </m:oMath>
    </w:p>
    <w:p w14:paraId="17A1E298" w14:textId="0BEC3C01" w:rsidR="006272AF" w:rsidRPr="00A22E9D" w:rsidRDefault="006272AF"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Where “A” is the average parasit</w:t>
      </w:r>
      <w:r w:rsidR="009317DD" w:rsidRPr="00A22E9D">
        <w:rPr>
          <w:rFonts w:ascii="Times New Roman" w:hAnsi="Times New Roman" w:cs="Times New Roman"/>
          <w:sz w:val="24"/>
          <w:szCs w:val="24"/>
        </w:rPr>
        <w:t>a</w:t>
      </w:r>
      <w:r w:rsidRPr="00A22E9D">
        <w:rPr>
          <w:rFonts w:ascii="Times New Roman" w:hAnsi="Times New Roman" w:cs="Times New Roman"/>
          <w:sz w:val="24"/>
          <w:szCs w:val="24"/>
        </w:rPr>
        <w:t>emia for the negative control group and “B” is the average parasit</w:t>
      </w:r>
      <w:r w:rsidR="009317DD" w:rsidRPr="00A22E9D">
        <w:rPr>
          <w:rFonts w:ascii="Times New Roman" w:hAnsi="Times New Roman" w:cs="Times New Roman"/>
          <w:sz w:val="24"/>
          <w:szCs w:val="24"/>
        </w:rPr>
        <w:t>a</w:t>
      </w:r>
      <w:r w:rsidRPr="00A22E9D">
        <w:rPr>
          <w:rFonts w:ascii="Times New Roman" w:hAnsi="Times New Roman" w:cs="Times New Roman"/>
          <w:sz w:val="24"/>
          <w:szCs w:val="24"/>
        </w:rPr>
        <w:t>emia for the test compounds.</w:t>
      </w:r>
    </w:p>
    <w:bookmarkEnd w:id="32"/>
    <w:p w14:paraId="387E8D47" w14:textId="30921E68" w:rsidR="006272AF" w:rsidRPr="00A22E9D" w:rsidRDefault="005E116E" w:rsidP="00CA4B8F">
      <w:pPr>
        <w:pStyle w:val="Heading4"/>
        <w:spacing w:line="480" w:lineRule="auto"/>
        <w:rPr>
          <w:rFonts w:cs="Times New Roman"/>
        </w:rPr>
      </w:pPr>
      <w:r w:rsidRPr="00A22E9D">
        <w:rPr>
          <w:rFonts w:cs="Times New Roman"/>
          <w:bCs/>
        </w:rPr>
        <w:t xml:space="preserve">3.3.5 </w:t>
      </w:r>
      <w:r w:rsidR="006272AF" w:rsidRPr="00A22E9D">
        <w:rPr>
          <w:rFonts w:cs="Times New Roman"/>
        </w:rPr>
        <w:t>Determination of Mean Survival Time </w:t>
      </w:r>
    </w:p>
    <w:p w14:paraId="69FEAF23" w14:textId="2B82B5A9" w:rsidR="006272AF" w:rsidRPr="00A22E9D" w:rsidRDefault="006272AF" w:rsidP="00CA4B8F">
      <w:pPr>
        <w:spacing w:line="480" w:lineRule="auto"/>
        <w:ind w:firstLine="720"/>
        <w:jc w:val="both"/>
        <w:rPr>
          <w:rFonts w:ascii="Times New Roman" w:hAnsi="Times New Roman" w:cs="Times New Roman"/>
          <w:sz w:val="24"/>
          <w:szCs w:val="24"/>
        </w:rPr>
      </w:pPr>
      <w:bookmarkStart w:id="33" w:name="_Hlk138976043"/>
      <w:r w:rsidRPr="00A22E9D">
        <w:rPr>
          <w:rFonts w:ascii="Times New Roman" w:hAnsi="Times New Roman" w:cs="Times New Roman"/>
          <w:sz w:val="24"/>
          <w:szCs w:val="24"/>
        </w:rPr>
        <w:t>Mortality was monitored daily and the number of days from the time of inoculation of the parasite up to death was recorded for each mouse in the treatment and control groups throughout the follow-up period. The mean survival time (MST) for each group was calculated using the following formula</w:t>
      </w:r>
      <w:r w:rsidR="00020286" w:rsidRPr="00A22E9D">
        <w:rPr>
          <w:rFonts w:ascii="Times New Roman" w:hAnsi="Times New Roman" w:cs="Times New Roman"/>
          <w:sz w:val="24"/>
          <w:szCs w:val="24"/>
        </w:rPr>
        <w:t xml:space="preserve"> </w:t>
      </w:r>
      <w:r w:rsidR="00020286" w:rsidRPr="00A22E9D">
        <w:rPr>
          <w:rFonts w:ascii="Times New Roman" w:hAnsi="Times New Roman" w:cs="Times New Roman"/>
          <w:sz w:val="24"/>
          <w:szCs w:val="24"/>
        </w:rPr>
        <w:fldChar w:fldCharType="begin"/>
      </w:r>
      <w:r w:rsidR="00020286" w:rsidRPr="00A22E9D">
        <w:rPr>
          <w:rFonts w:ascii="Times New Roman" w:hAnsi="Times New Roman" w:cs="Times New Roman"/>
          <w:sz w:val="24"/>
          <w:szCs w:val="24"/>
        </w:rPr>
        <w:instrText xml:space="preserve"> ADDIN ZOTERO_ITEM CSL_CITATION {"citationID":"xJKzIbWW","properties":{"formattedCitation":"(Mengiste et al., 2012)","plainCitation":"(Mengiste et al., 2012)","noteIndex":0},"citationItems":[{"id":464,"uris":["http://zotero.org/users/local/BeK2zaGK/items/9CQXCSD3"],"itemData":{"id":464,"type":"article-journal","abstract":"Dodonaea angustifolia has a wide range of therapeutic applications against various diseases including malaria. This plant is traditionally used for  treatment of malaria in different countries including Ethiopia. However, the antimalarial effect and safety of D. angustifolia are not studied. The aim of this study was to evaluate antimalarial activity of Dodonaea angustifolia in Plasmodium berghei infected mice. In the present study, aqueous and hydroalcoholic extracts as well as solvent fractions of the aqueous extract of D. angustifolia seeds were investigated for their antimalarial activity using Peters’ 4-day suppressive test method. Different concentrations of the crude extracts and the fractions of the water extract, most active  extract, were orally administered to screen for their antimalarial activities. The extracts significantly inhibited parasitemia and prevented packed cell volume reduction (p &lt;0.05) dose-dependently. Crude extracts and fractions of the aqueous extract of D. angustifolia seeds increased the survival time of infected mice. None of the extracts, however, prevented body weight loss. The aqueous extract of D. angustifolia was found to produce 35.79% parasite suppression. From this extract, three fractions were produced by solvent fractionation technique using butanol, chloroform and water and tested in vivo against P. berghei in mice. The butanol fraction was found to be the most active producing inhibition of 48.6% at 100 mg/kg. The test substance observed to be safe with no toxicity on the mice even at 4500 mg/kg. The results of the present work supported thetraditional use of the plant against malaria and confirmed the antimalarial activity of the plant. Moreover, antimalarial compounds can be isolated from this plant and tested against human malaria parasite in the future.Keywords: Malaria; Dodonaea angustifolia; Extracts; Plasmodium berghei","container-title":"Momona Ethiopian Journal of Science","DOI":"10.4314/mejs.v4i1.74056","ISSN":"2220-184X","issue":"1","language":"en","license":"Copyright (c)","note":"number: 1","page":"47-63","source":"www.ajol.info","title":"Invivo Antimalarial Activity of Dodonaea Angustifolia Seed Extracts Against Plasmodium Berghei in Mice Model","volume":"4","author":[{"family":"Mengiste","given":"B."},{"family":"Makonnen","given":"E."},{"family":"Urga","given":"K."}],"issued":{"date-parts":[["2012"]]}}}],"schema":"https://github.com/citation-style-language/schema/raw/master/csl-citation.json"} </w:instrText>
      </w:r>
      <w:r w:rsidR="00020286" w:rsidRPr="00A22E9D">
        <w:rPr>
          <w:rFonts w:ascii="Times New Roman" w:hAnsi="Times New Roman" w:cs="Times New Roman"/>
          <w:sz w:val="24"/>
          <w:szCs w:val="24"/>
        </w:rPr>
        <w:fldChar w:fldCharType="separate"/>
      </w:r>
      <w:r w:rsidR="00020286" w:rsidRPr="00A22E9D">
        <w:rPr>
          <w:rFonts w:ascii="Times New Roman" w:hAnsi="Times New Roman" w:cs="Times New Roman"/>
          <w:sz w:val="24"/>
        </w:rPr>
        <w:t xml:space="preserve">(Mengiste </w:t>
      </w:r>
      <w:r w:rsidR="00F57D9D" w:rsidRPr="00F57D9D">
        <w:rPr>
          <w:rFonts w:ascii="Times New Roman" w:hAnsi="Times New Roman" w:cs="Times New Roman"/>
          <w:i/>
          <w:sz w:val="24"/>
        </w:rPr>
        <w:t>et al</w:t>
      </w:r>
      <w:r w:rsidR="00020286" w:rsidRPr="00A22E9D">
        <w:rPr>
          <w:rFonts w:ascii="Times New Roman" w:hAnsi="Times New Roman" w:cs="Times New Roman"/>
          <w:sz w:val="24"/>
        </w:rPr>
        <w:t>., 2012)</w:t>
      </w:r>
      <w:r w:rsidR="00020286" w:rsidRPr="00A22E9D">
        <w:rPr>
          <w:rFonts w:ascii="Times New Roman" w:hAnsi="Times New Roman" w:cs="Times New Roman"/>
          <w:sz w:val="24"/>
          <w:szCs w:val="24"/>
        </w:rPr>
        <w:fldChar w:fldCharType="end"/>
      </w:r>
      <w:r w:rsidRPr="00A22E9D">
        <w:rPr>
          <w:rFonts w:ascii="Times New Roman" w:hAnsi="Times New Roman" w:cs="Times New Roman"/>
          <w:sz w:val="24"/>
          <w:szCs w:val="24"/>
        </w:rPr>
        <w:t>.</w:t>
      </w:r>
    </w:p>
    <w:p w14:paraId="6A91C374" w14:textId="1A9B0409" w:rsidR="006272AF" w:rsidRPr="00A22E9D" w:rsidRDefault="006272AF"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MST=Sum of survival time (days) of all mice in a grou</w:t>
      </w:r>
      <w:r w:rsidR="004930E5" w:rsidRPr="00A22E9D">
        <w:rPr>
          <w:rFonts w:ascii="Times New Roman" w:hAnsi="Times New Roman" w:cs="Times New Roman"/>
          <w:sz w:val="24"/>
          <w:szCs w:val="24"/>
        </w:rPr>
        <w:t xml:space="preserve">p ÷ Total number of mice in that group. </w:t>
      </w:r>
    </w:p>
    <w:bookmarkEnd w:id="33"/>
    <w:p w14:paraId="470DF2E9" w14:textId="3E0143C7" w:rsidR="004A646F" w:rsidRPr="00A22E9D" w:rsidRDefault="004A646F" w:rsidP="00CA4B8F">
      <w:pPr>
        <w:spacing w:line="480" w:lineRule="auto"/>
        <w:jc w:val="both"/>
        <w:rPr>
          <w:rFonts w:ascii="Times New Roman" w:hAnsi="Times New Roman" w:cs="Times New Roman"/>
          <w:sz w:val="24"/>
          <w:szCs w:val="24"/>
        </w:rPr>
      </w:pPr>
    </w:p>
    <w:p w14:paraId="34E6EB76" w14:textId="5374E052" w:rsidR="004A646F" w:rsidRPr="00A22E9D" w:rsidRDefault="00B411D5" w:rsidP="00CA4B8F">
      <w:pPr>
        <w:pStyle w:val="Heading3"/>
        <w:spacing w:line="480" w:lineRule="auto"/>
        <w:rPr>
          <w:rFonts w:cs="Times New Roman"/>
        </w:rPr>
      </w:pPr>
      <w:bookmarkStart w:id="34" w:name="_Toc145500387"/>
      <w:r w:rsidRPr="00A22E9D">
        <w:rPr>
          <w:rFonts w:cs="Times New Roman"/>
        </w:rPr>
        <w:lastRenderedPageBreak/>
        <w:t>3.4 In-Silico studies</w:t>
      </w:r>
      <w:bookmarkEnd w:id="34"/>
    </w:p>
    <w:p w14:paraId="45CE995B" w14:textId="0B448382" w:rsidR="00B411D5" w:rsidRPr="00A22E9D" w:rsidRDefault="00B411D5" w:rsidP="00CA4B8F">
      <w:pPr>
        <w:pStyle w:val="Heading4"/>
        <w:spacing w:line="480" w:lineRule="auto"/>
        <w:rPr>
          <w:rFonts w:cs="Times New Roman"/>
        </w:rPr>
      </w:pPr>
      <w:r w:rsidRPr="00A22E9D">
        <w:rPr>
          <w:rFonts w:cs="Times New Roman"/>
        </w:rPr>
        <w:t xml:space="preserve">3.4.1 Extraction of Data set </w:t>
      </w:r>
    </w:p>
    <w:p w14:paraId="5E75C660" w14:textId="0BBF6B14" w:rsidR="00B411D5" w:rsidRPr="00A22E9D" w:rsidRDefault="00B411D5" w:rsidP="00CA4B8F">
      <w:pPr>
        <w:spacing w:line="480" w:lineRule="auto"/>
        <w:ind w:firstLine="720"/>
        <w:jc w:val="both"/>
        <w:rPr>
          <w:rFonts w:ascii="Times New Roman" w:hAnsi="Times New Roman" w:cs="Times New Roman"/>
          <w:sz w:val="24"/>
          <w:szCs w:val="24"/>
        </w:rPr>
      </w:pPr>
      <w:bookmarkStart w:id="35" w:name="_Hlk138976307"/>
      <w:r w:rsidRPr="00A22E9D">
        <w:rPr>
          <w:rFonts w:ascii="Times New Roman" w:hAnsi="Times New Roman" w:cs="Times New Roman"/>
          <w:sz w:val="24"/>
          <w:szCs w:val="24"/>
        </w:rPr>
        <w:t>The RNA</w:t>
      </w:r>
      <w:r w:rsidR="001015A5" w:rsidRPr="00A22E9D">
        <w:rPr>
          <w:rFonts w:ascii="Times New Roman" w:hAnsi="Times New Roman" w:cs="Times New Roman"/>
          <w:sz w:val="24"/>
          <w:szCs w:val="24"/>
        </w:rPr>
        <w:t>-</w:t>
      </w:r>
      <w:proofErr w:type="spellStart"/>
      <w:r w:rsidRPr="00A22E9D">
        <w:rPr>
          <w:rFonts w:ascii="Times New Roman" w:hAnsi="Times New Roman" w:cs="Times New Roman"/>
          <w:sz w:val="24"/>
          <w:szCs w:val="24"/>
        </w:rPr>
        <w:t>seq</w:t>
      </w:r>
      <w:proofErr w:type="spellEnd"/>
      <w:r w:rsidRPr="00A22E9D">
        <w:rPr>
          <w:rFonts w:ascii="Times New Roman" w:hAnsi="Times New Roman" w:cs="Times New Roman"/>
          <w:sz w:val="24"/>
          <w:szCs w:val="24"/>
        </w:rPr>
        <w:t xml:space="preserve"> dataset used in this study was gotten from </w:t>
      </w:r>
      <w:r w:rsidR="001015A5" w:rsidRPr="00A22E9D">
        <w:rPr>
          <w:rFonts w:ascii="Times New Roman" w:hAnsi="Times New Roman" w:cs="Times New Roman"/>
          <w:sz w:val="24"/>
          <w:szCs w:val="24"/>
        </w:rPr>
        <w:t>NCBI-</w:t>
      </w:r>
      <w:r w:rsidR="00936579" w:rsidRPr="00A22E9D">
        <w:rPr>
          <w:rFonts w:ascii="Times New Roman" w:hAnsi="Times New Roman" w:cs="Times New Roman"/>
          <w:sz w:val="24"/>
          <w:szCs w:val="24"/>
        </w:rPr>
        <w:t>Gene Expression Omnibus (</w:t>
      </w:r>
      <w:r w:rsidRPr="00A22E9D">
        <w:rPr>
          <w:rFonts w:ascii="Times New Roman" w:hAnsi="Times New Roman" w:cs="Times New Roman"/>
          <w:sz w:val="24"/>
          <w:szCs w:val="24"/>
        </w:rPr>
        <w:t>GEO</w:t>
      </w:r>
      <w:r w:rsidR="00936579" w:rsidRPr="00A22E9D">
        <w:rPr>
          <w:rFonts w:ascii="Times New Roman" w:hAnsi="Times New Roman" w:cs="Times New Roman"/>
          <w:sz w:val="24"/>
          <w:szCs w:val="24"/>
        </w:rPr>
        <w:t>)</w:t>
      </w:r>
      <w:r w:rsidRPr="00A22E9D">
        <w:rPr>
          <w:rFonts w:ascii="Times New Roman" w:hAnsi="Times New Roman" w:cs="Times New Roman"/>
          <w:sz w:val="24"/>
          <w:szCs w:val="24"/>
        </w:rPr>
        <w:t>. This website contains dataset contai</w:t>
      </w:r>
      <w:r w:rsidR="001015A5" w:rsidRPr="00A22E9D">
        <w:rPr>
          <w:rFonts w:ascii="Times New Roman" w:hAnsi="Times New Roman" w:cs="Times New Roman"/>
          <w:sz w:val="24"/>
          <w:szCs w:val="24"/>
        </w:rPr>
        <w:t>ni</w:t>
      </w:r>
      <w:r w:rsidRPr="00A22E9D">
        <w:rPr>
          <w:rFonts w:ascii="Times New Roman" w:hAnsi="Times New Roman" w:cs="Times New Roman"/>
          <w:sz w:val="24"/>
          <w:szCs w:val="24"/>
        </w:rPr>
        <w:t>ng high</w:t>
      </w:r>
      <w:r w:rsidR="001015A5" w:rsidRPr="00A22E9D">
        <w:rPr>
          <w:rFonts w:ascii="Times New Roman" w:hAnsi="Times New Roman" w:cs="Times New Roman"/>
          <w:sz w:val="24"/>
          <w:szCs w:val="24"/>
        </w:rPr>
        <w:t>-</w:t>
      </w:r>
      <w:r w:rsidRPr="00A22E9D">
        <w:rPr>
          <w:rFonts w:ascii="Times New Roman" w:hAnsi="Times New Roman" w:cs="Times New Roman"/>
          <w:sz w:val="24"/>
          <w:szCs w:val="24"/>
        </w:rPr>
        <w:t xml:space="preserve">throughput, microarray and </w:t>
      </w:r>
      <w:r w:rsidR="001015A5" w:rsidRPr="00A22E9D">
        <w:rPr>
          <w:rFonts w:ascii="Times New Roman" w:hAnsi="Times New Roman" w:cs="Times New Roman"/>
          <w:sz w:val="24"/>
          <w:szCs w:val="24"/>
        </w:rPr>
        <w:t>NGS</w:t>
      </w:r>
      <w:r w:rsidRPr="00A22E9D">
        <w:rPr>
          <w:rFonts w:ascii="Times New Roman" w:hAnsi="Times New Roman" w:cs="Times New Roman"/>
          <w:sz w:val="24"/>
          <w:szCs w:val="24"/>
        </w:rPr>
        <w:t xml:space="preserve"> analysed data. The Data</w:t>
      </w:r>
      <w:r w:rsidR="001015A5" w:rsidRPr="00A22E9D">
        <w:rPr>
          <w:rFonts w:ascii="Times New Roman" w:hAnsi="Times New Roman" w:cs="Times New Roman"/>
          <w:sz w:val="24"/>
          <w:szCs w:val="24"/>
        </w:rPr>
        <w:t>set</w:t>
      </w:r>
      <w:r w:rsidRPr="00A22E9D">
        <w:rPr>
          <w:rFonts w:ascii="Times New Roman" w:hAnsi="Times New Roman" w:cs="Times New Roman"/>
          <w:sz w:val="24"/>
          <w:szCs w:val="24"/>
        </w:rPr>
        <w:t xml:space="preserve"> used in this study was a </w:t>
      </w:r>
      <w:r w:rsidR="001015A5" w:rsidRPr="00A22E9D">
        <w:rPr>
          <w:rFonts w:ascii="Times New Roman" w:hAnsi="Times New Roman" w:cs="Times New Roman"/>
          <w:sz w:val="24"/>
          <w:szCs w:val="24"/>
        </w:rPr>
        <w:t xml:space="preserve">high-throughput data with an </w:t>
      </w:r>
      <w:r w:rsidR="00F27614" w:rsidRPr="00A22E9D">
        <w:rPr>
          <w:rFonts w:ascii="Times New Roman" w:hAnsi="Times New Roman" w:cs="Times New Roman"/>
          <w:sz w:val="24"/>
          <w:szCs w:val="24"/>
        </w:rPr>
        <w:t>ID of GSE198587</w:t>
      </w:r>
      <w:r w:rsidR="003800B2" w:rsidRPr="00A22E9D">
        <w:rPr>
          <w:rFonts w:ascii="Times New Roman" w:hAnsi="Times New Roman" w:cs="Times New Roman"/>
          <w:sz w:val="24"/>
          <w:szCs w:val="24"/>
        </w:rPr>
        <w:t>.</w:t>
      </w:r>
    </w:p>
    <w:bookmarkEnd w:id="35"/>
    <w:p w14:paraId="302311C2" w14:textId="77777777" w:rsidR="001015A5" w:rsidRPr="00A22E9D" w:rsidRDefault="001015A5" w:rsidP="00CA4B8F">
      <w:pPr>
        <w:pStyle w:val="Heading4"/>
        <w:spacing w:line="480" w:lineRule="auto"/>
        <w:rPr>
          <w:rFonts w:cs="Times New Roman"/>
        </w:rPr>
      </w:pPr>
      <w:r w:rsidRPr="00A22E9D">
        <w:rPr>
          <w:rFonts w:cs="Times New Roman"/>
        </w:rPr>
        <w:t>3.4.2 Gene expression Analysis</w:t>
      </w:r>
    </w:p>
    <w:p w14:paraId="5C08CF32" w14:textId="38DE5A5D" w:rsidR="007F259B" w:rsidRDefault="00F27614" w:rsidP="00CA4B8F">
      <w:pPr>
        <w:spacing w:line="480" w:lineRule="auto"/>
        <w:ind w:firstLine="720"/>
        <w:jc w:val="both"/>
        <w:rPr>
          <w:rFonts w:ascii="Times New Roman" w:hAnsi="Times New Roman" w:cs="Times New Roman"/>
          <w:sz w:val="24"/>
          <w:szCs w:val="24"/>
        </w:rPr>
      </w:pPr>
      <w:bookmarkStart w:id="36" w:name="_Hlk138976326"/>
      <w:r w:rsidRPr="00A22E9D">
        <w:rPr>
          <w:rFonts w:ascii="Times New Roman" w:hAnsi="Times New Roman" w:cs="Times New Roman"/>
          <w:sz w:val="24"/>
          <w:szCs w:val="24"/>
        </w:rPr>
        <w:t>The gene expression analysis for the selected dataset was analysed using R-Studio. R-Studio is an integrated development environment (IDE) based on R programming language. It is a user-friendly interface with various tools and features, that makes it easier to write, execute and manage R code</w:t>
      </w:r>
      <w:r w:rsidR="00B7738D" w:rsidRPr="00A22E9D">
        <w:rPr>
          <w:rFonts w:ascii="Times New Roman" w:hAnsi="Times New Roman" w:cs="Times New Roman"/>
          <w:sz w:val="24"/>
          <w:szCs w:val="24"/>
        </w:rPr>
        <w:t>. R-Studio v4.2.2 was used for the analysis of this study.</w:t>
      </w:r>
    </w:p>
    <w:p w14:paraId="453D6AB1" w14:textId="77777777" w:rsidR="008163E6" w:rsidRPr="00A22E9D" w:rsidRDefault="008163E6" w:rsidP="008163E6">
      <w:pPr>
        <w:spacing w:line="480" w:lineRule="auto"/>
        <w:jc w:val="both"/>
        <w:rPr>
          <w:rFonts w:ascii="Times New Roman" w:hAnsi="Times New Roman" w:cs="Times New Roman"/>
          <w:sz w:val="24"/>
          <w:szCs w:val="24"/>
        </w:rPr>
      </w:pPr>
    </w:p>
    <w:bookmarkEnd w:id="36"/>
    <w:p w14:paraId="5A89D746" w14:textId="77777777" w:rsidR="008163E6" w:rsidRDefault="008163E6">
      <w:pPr>
        <w:rPr>
          <w:rFonts w:ascii="Times New Roman" w:hAnsi="Times New Roman" w:cs="Times New Roman"/>
          <w:i/>
          <w:iCs/>
          <w:color w:val="44546A" w:themeColor="text2"/>
          <w:sz w:val="24"/>
          <w:szCs w:val="24"/>
        </w:rPr>
      </w:pPr>
      <w:r>
        <w:rPr>
          <w:rFonts w:ascii="Times New Roman" w:hAnsi="Times New Roman" w:cs="Times New Roman"/>
          <w:sz w:val="24"/>
          <w:szCs w:val="24"/>
        </w:rPr>
        <w:br w:type="page"/>
      </w:r>
    </w:p>
    <w:p w14:paraId="40A8ED38" w14:textId="7CA5CF4D" w:rsidR="00C979C4" w:rsidRPr="00A22E9D" w:rsidRDefault="00C979C4" w:rsidP="00CA4B8F">
      <w:pPr>
        <w:pStyle w:val="Caption"/>
        <w:keepNext/>
        <w:spacing w:line="480" w:lineRule="auto"/>
        <w:rPr>
          <w:rFonts w:ascii="Times New Roman" w:hAnsi="Times New Roman" w:cs="Times New Roman"/>
          <w:sz w:val="24"/>
          <w:szCs w:val="24"/>
        </w:rPr>
      </w:pPr>
      <w:r w:rsidRPr="00A22E9D">
        <w:rPr>
          <w:rFonts w:ascii="Times New Roman" w:hAnsi="Times New Roman" w:cs="Times New Roman"/>
          <w:sz w:val="24"/>
          <w:szCs w:val="24"/>
        </w:rPr>
        <w:lastRenderedPageBreak/>
        <w:t xml:space="preserve">Table </w:t>
      </w:r>
      <w:r w:rsidRPr="00A22E9D">
        <w:rPr>
          <w:rFonts w:ascii="Times New Roman" w:hAnsi="Times New Roman" w:cs="Times New Roman"/>
          <w:sz w:val="24"/>
          <w:szCs w:val="24"/>
        </w:rPr>
        <w:fldChar w:fldCharType="begin"/>
      </w:r>
      <w:r w:rsidRPr="00A22E9D">
        <w:rPr>
          <w:rFonts w:ascii="Times New Roman" w:hAnsi="Times New Roman" w:cs="Times New Roman"/>
          <w:sz w:val="24"/>
          <w:szCs w:val="24"/>
        </w:rPr>
        <w:instrText xml:space="preserve"> NUMPAGES  \# "3.1" </w:instrText>
      </w:r>
      <w:r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3</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1</w:t>
      </w:r>
      <w:r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Packages/Libraries utilized for gene expression analysis</w:t>
      </w:r>
    </w:p>
    <w:tbl>
      <w:tblPr>
        <w:tblStyle w:val="LightList-Accent3"/>
        <w:tblW w:w="3548" w:type="dxa"/>
        <w:tblBorders>
          <w:top w:val="none" w:sz="0" w:space="0" w:color="auto"/>
          <w:left w:val="none" w:sz="0" w:space="0" w:color="auto"/>
          <w:bottom w:val="single" w:sz="4" w:space="0" w:color="auto"/>
          <w:right w:val="none" w:sz="0" w:space="0" w:color="auto"/>
        </w:tblBorders>
        <w:tblLook w:val="0620" w:firstRow="1" w:lastRow="0" w:firstColumn="0" w:lastColumn="0" w:noHBand="1" w:noVBand="1"/>
      </w:tblPr>
      <w:tblGrid>
        <w:gridCol w:w="2004"/>
        <w:gridCol w:w="1544"/>
      </w:tblGrid>
      <w:tr w:rsidR="007F259B" w:rsidRPr="00A22E9D" w14:paraId="2B75F0FD" w14:textId="77777777" w:rsidTr="004C0DEB">
        <w:trPr>
          <w:cnfStyle w:val="100000000000" w:firstRow="1" w:lastRow="0" w:firstColumn="0" w:lastColumn="0" w:oddVBand="0" w:evenVBand="0" w:oddHBand="0" w:evenHBand="0" w:firstRowFirstColumn="0" w:firstRowLastColumn="0" w:lastRowFirstColumn="0" w:lastRowLastColumn="0"/>
          <w:trHeight w:val="307"/>
        </w:trPr>
        <w:tc>
          <w:tcPr>
            <w:tcW w:w="0" w:type="auto"/>
          </w:tcPr>
          <w:p w14:paraId="20BE7BA6" w14:textId="24255616" w:rsidR="007F259B" w:rsidRPr="00A22E9D" w:rsidRDefault="004A111C"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PACKAGES</w:t>
            </w:r>
          </w:p>
        </w:tc>
        <w:tc>
          <w:tcPr>
            <w:tcW w:w="0" w:type="auto"/>
          </w:tcPr>
          <w:p w14:paraId="469A6087" w14:textId="2489F7F7" w:rsidR="007F259B" w:rsidRPr="00A22E9D" w:rsidRDefault="004A111C"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SOURCES</w:t>
            </w:r>
          </w:p>
        </w:tc>
      </w:tr>
      <w:tr w:rsidR="007F259B" w:rsidRPr="00A22E9D" w14:paraId="19914979" w14:textId="77777777" w:rsidTr="004C0DEB">
        <w:trPr>
          <w:trHeight w:val="307"/>
        </w:trPr>
        <w:tc>
          <w:tcPr>
            <w:tcW w:w="0" w:type="auto"/>
          </w:tcPr>
          <w:p w14:paraId="66AADA7F" w14:textId="344CC2EB" w:rsidR="007F259B" w:rsidRPr="00A22E9D" w:rsidRDefault="007C3CCF"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DESeq2</w:t>
            </w:r>
          </w:p>
        </w:tc>
        <w:tc>
          <w:tcPr>
            <w:tcW w:w="0" w:type="auto"/>
          </w:tcPr>
          <w:p w14:paraId="438D2A01" w14:textId="2558A81C" w:rsidR="007F259B" w:rsidRPr="00A22E9D" w:rsidRDefault="007C3CCF"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BiocManager</w:t>
            </w:r>
            <w:proofErr w:type="spellEnd"/>
          </w:p>
        </w:tc>
      </w:tr>
      <w:tr w:rsidR="007F259B" w:rsidRPr="00A22E9D" w14:paraId="12828A70" w14:textId="77777777" w:rsidTr="004C0DEB">
        <w:trPr>
          <w:trHeight w:val="307"/>
        </w:trPr>
        <w:tc>
          <w:tcPr>
            <w:tcW w:w="0" w:type="auto"/>
          </w:tcPr>
          <w:p w14:paraId="75BC6A04" w14:textId="07F3564B" w:rsidR="007F259B" w:rsidRPr="00A22E9D" w:rsidRDefault="007C3CCF"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ggplot2</w:t>
            </w:r>
          </w:p>
        </w:tc>
        <w:tc>
          <w:tcPr>
            <w:tcW w:w="0" w:type="auto"/>
          </w:tcPr>
          <w:p w14:paraId="583C0B18" w14:textId="186B0452" w:rsidR="007F259B" w:rsidRPr="00A22E9D" w:rsidRDefault="007C3CCF"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BiocManager</w:t>
            </w:r>
            <w:proofErr w:type="spellEnd"/>
          </w:p>
        </w:tc>
      </w:tr>
      <w:tr w:rsidR="007F259B" w:rsidRPr="00A22E9D" w14:paraId="2F462EB7" w14:textId="77777777" w:rsidTr="004C0DEB">
        <w:trPr>
          <w:trHeight w:val="307"/>
        </w:trPr>
        <w:tc>
          <w:tcPr>
            <w:tcW w:w="0" w:type="auto"/>
          </w:tcPr>
          <w:p w14:paraId="3505A1B0" w14:textId="309ED8EE" w:rsidR="007F259B" w:rsidRPr="00A22E9D" w:rsidRDefault="00676CEE"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o</w:t>
            </w:r>
            <w:r w:rsidR="007C3CCF" w:rsidRPr="00A22E9D">
              <w:rPr>
                <w:rFonts w:ascii="Times New Roman" w:hAnsi="Times New Roman" w:cs="Times New Roman"/>
                <w:sz w:val="24"/>
                <w:szCs w:val="24"/>
              </w:rPr>
              <w:t>rg.Mm.eg.db</w:t>
            </w:r>
            <w:proofErr w:type="spellEnd"/>
          </w:p>
        </w:tc>
        <w:tc>
          <w:tcPr>
            <w:tcW w:w="0" w:type="auto"/>
          </w:tcPr>
          <w:p w14:paraId="34189CDA" w14:textId="648C44EB" w:rsidR="007F259B" w:rsidRPr="00A22E9D" w:rsidRDefault="007C3CCF"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BiocManager</w:t>
            </w:r>
            <w:proofErr w:type="spellEnd"/>
          </w:p>
        </w:tc>
      </w:tr>
      <w:tr w:rsidR="007F259B" w:rsidRPr="00A22E9D" w14:paraId="0908827E" w14:textId="77777777" w:rsidTr="004C0DEB">
        <w:trPr>
          <w:trHeight w:val="307"/>
        </w:trPr>
        <w:tc>
          <w:tcPr>
            <w:tcW w:w="0" w:type="auto"/>
          </w:tcPr>
          <w:p w14:paraId="327ADBF4" w14:textId="292FF4E8" w:rsidR="007F259B" w:rsidRPr="00A22E9D" w:rsidRDefault="007C3CCF"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AnnotationDbi</w:t>
            </w:r>
            <w:proofErr w:type="spellEnd"/>
          </w:p>
        </w:tc>
        <w:tc>
          <w:tcPr>
            <w:tcW w:w="0" w:type="auto"/>
          </w:tcPr>
          <w:p w14:paraId="2E54DF55" w14:textId="5D54B889" w:rsidR="007F259B" w:rsidRPr="00A22E9D" w:rsidRDefault="007C3CCF"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BiocManager</w:t>
            </w:r>
            <w:proofErr w:type="spellEnd"/>
          </w:p>
        </w:tc>
      </w:tr>
      <w:tr w:rsidR="007F259B" w:rsidRPr="00A22E9D" w14:paraId="0FAEDD57" w14:textId="77777777" w:rsidTr="004C0DEB">
        <w:trPr>
          <w:trHeight w:val="307"/>
        </w:trPr>
        <w:tc>
          <w:tcPr>
            <w:tcW w:w="0" w:type="auto"/>
          </w:tcPr>
          <w:p w14:paraId="2682E19C" w14:textId="5A20EBDB" w:rsidR="007F259B" w:rsidRPr="00A22E9D" w:rsidRDefault="007C3CCF"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ComplexHeatmap</w:t>
            </w:r>
            <w:proofErr w:type="spellEnd"/>
          </w:p>
        </w:tc>
        <w:tc>
          <w:tcPr>
            <w:tcW w:w="0" w:type="auto"/>
          </w:tcPr>
          <w:p w14:paraId="0615DC3E" w14:textId="2963F19B" w:rsidR="007F259B" w:rsidRPr="00A22E9D" w:rsidRDefault="007C3CCF"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BiocManager</w:t>
            </w:r>
            <w:proofErr w:type="spellEnd"/>
          </w:p>
        </w:tc>
      </w:tr>
      <w:tr w:rsidR="007F259B" w:rsidRPr="00A22E9D" w14:paraId="7C06DB54" w14:textId="77777777" w:rsidTr="004C0DEB">
        <w:trPr>
          <w:trHeight w:val="307"/>
        </w:trPr>
        <w:tc>
          <w:tcPr>
            <w:tcW w:w="0" w:type="auto"/>
          </w:tcPr>
          <w:p w14:paraId="426E0987" w14:textId="3D25916C" w:rsidR="007F259B" w:rsidRPr="00A22E9D" w:rsidRDefault="00E35B55"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M</w:t>
            </w:r>
            <w:r w:rsidR="007C3CCF" w:rsidRPr="00A22E9D">
              <w:rPr>
                <w:rFonts w:ascii="Times New Roman" w:hAnsi="Times New Roman" w:cs="Times New Roman"/>
                <w:sz w:val="24"/>
                <w:szCs w:val="24"/>
              </w:rPr>
              <w:t>agick</w:t>
            </w:r>
            <w:proofErr w:type="spellEnd"/>
          </w:p>
        </w:tc>
        <w:tc>
          <w:tcPr>
            <w:tcW w:w="0" w:type="auto"/>
          </w:tcPr>
          <w:p w14:paraId="12705F5B" w14:textId="15068CCF" w:rsidR="007F259B" w:rsidRPr="00A22E9D" w:rsidRDefault="007C3CCF"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CRAN</w:t>
            </w:r>
          </w:p>
        </w:tc>
      </w:tr>
      <w:tr w:rsidR="007F259B" w:rsidRPr="00A22E9D" w14:paraId="235AC7E3" w14:textId="77777777" w:rsidTr="004C0DEB">
        <w:trPr>
          <w:trHeight w:val="307"/>
        </w:trPr>
        <w:tc>
          <w:tcPr>
            <w:tcW w:w="0" w:type="auto"/>
          </w:tcPr>
          <w:p w14:paraId="2E192B57" w14:textId="4D28617D" w:rsidR="007F259B" w:rsidRPr="00A22E9D" w:rsidRDefault="007C3CCF" w:rsidP="00CA4B8F">
            <w:pPr>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EnhancedVolcano</w:t>
            </w:r>
            <w:proofErr w:type="spellEnd"/>
          </w:p>
        </w:tc>
        <w:tc>
          <w:tcPr>
            <w:tcW w:w="0" w:type="auto"/>
          </w:tcPr>
          <w:p w14:paraId="16A06BF8" w14:textId="2D443624" w:rsidR="007F259B" w:rsidRPr="00A22E9D" w:rsidRDefault="007C3CCF" w:rsidP="00CA4B8F">
            <w:pPr>
              <w:keepNext/>
              <w:spacing w:line="480" w:lineRule="auto"/>
              <w:jc w:val="both"/>
              <w:rPr>
                <w:rFonts w:ascii="Times New Roman" w:hAnsi="Times New Roman" w:cs="Times New Roman"/>
                <w:sz w:val="24"/>
                <w:szCs w:val="24"/>
              </w:rPr>
            </w:pPr>
            <w:proofErr w:type="spellStart"/>
            <w:r w:rsidRPr="00A22E9D">
              <w:rPr>
                <w:rFonts w:ascii="Times New Roman" w:hAnsi="Times New Roman" w:cs="Times New Roman"/>
                <w:sz w:val="24"/>
                <w:szCs w:val="24"/>
              </w:rPr>
              <w:t>BiocManager</w:t>
            </w:r>
            <w:proofErr w:type="spellEnd"/>
          </w:p>
        </w:tc>
      </w:tr>
    </w:tbl>
    <w:p w14:paraId="1EE35DCD" w14:textId="77777777" w:rsidR="00C979C4" w:rsidRPr="00A22E9D" w:rsidRDefault="00C979C4" w:rsidP="00CA4B8F">
      <w:pPr>
        <w:spacing w:line="480" w:lineRule="auto"/>
        <w:ind w:firstLine="720"/>
        <w:jc w:val="both"/>
        <w:rPr>
          <w:rFonts w:ascii="Times New Roman" w:hAnsi="Times New Roman" w:cs="Times New Roman"/>
          <w:sz w:val="24"/>
          <w:szCs w:val="24"/>
        </w:rPr>
      </w:pPr>
    </w:p>
    <w:p w14:paraId="2D4B08E9" w14:textId="77777777" w:rsidR="008163E6" w:rsidRDefault="008163E6">
      <w:pPr>
        <w:rPr>
          <w:rFonts w:ascii="Times New Roman" w:hAnsi="Times New Roman" w:cs="Times New Roman"/>
          <w:sz w:val="24"/>
          <w:szCs w:val="24"/>
        </w:rPr>
      </w:pPr>
      <w:bookmarkStart w:id="37" w:name="_Hlk138976354"/>
      <w:r>
        <w:rPr>
          <w:rFonts w:ascii="Times New Roman" w:hAnsi="Times New Roman" w:cs="Times New Roman"/>
          <w:sz w:val="24"/>
          <w:szCs w:val="24"/>
        </w:rPr>
        <w:br w:type="page"/>
      </w:r>
    </w:p>
    <w:p w14:paraId="6D1223FE" w14:textId="751477F6" w:rsidR="00153B3A" w:rsidRPr="00A22E9D" w:rsidRDefault="00220CA9"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The dataset selected was fed into the R-Studio, it was then normalized and filtered on the R-Studio using various R commands and libraries</w:t>
      </w:r>
      <w:r w:rsidR="00D942E9" w:rsidRPr="00A22E9D">
        <w:rPr>
          <w:rFonts w:ascii="Times New Roman" w:hAnsi="Times New Roman" w:cs="Times New Roman"/>
          <w:sz w:val="24"/>
          <w:szCs w:val="24"/>
        </w:rPr>
        <w:t xml:space="preserve">. The data was normalized and filtered for the purpose of removing insignificant and downregulated genes/proteins. The leads to only the processing </w:t>
      </w:r>
      <w:r w:rsidR="00AF7FFA" w:rsidRPr="00A22E9D">
        <w:rPr>
          <w:rFonts w:ascii="Times New Roman" w:hAnsi="Times New Roman" w:cs="Times New Roman"/>
          <w:sz w:val="24"/>
          <w:szCs w:val="24"/>
        </w:rPr>
        <w:t xml:space="preserve">and visualization </w:t>
      </w:r>
      <w:r w:rsidR="00D942E9" w:rsidRPr="00A22E9D">
        <w:rPr>
          <w:rFonts w:ascii="Times New Roman" w:hAnsi="Times New Roman" w:cs="Times New Roman"/>
          <w:sz w:val="24"/>
          <w:szCs w:val="24"/>
        </w:rPr>
        <w:t xml:space="preserve">of the highly significant and upregulated genes/proteins with the use of R commands. </w:t>
      </w:r>
      <w:r w:rsidR="00AF7FFA" w:rsidRPr="00A22E9D">
        <w:rPr>
          <w:rFonts w:ascii="Times New Roman" w:hAnsi="Times New Roman" w:cs="Times New Roman"/>
          <w:sz w:val="24"/>
          <w:szCs w:val="24"/>
        </w:rPr>
        <w:t>This processed data was used to generate PCA plot, dispersion plot, heat map and volcano plo</w:t>
      </w:r>
      <w:r w:rsidR="00246EAC" w:rsidRPr="00A22E9D">
        <w:rPr>
          <w:rFonts w:ascii="Times New Roman" w:hAnsi="Times New Roman" w:cs="Times New Roman"/>
          <w:sz w:val="24"/>
          <w:szCs w:val="24"/>
        </w:rPr>
        <w:t>t. From the volcano plot and heatmap generated, a highly significant/ highly expressed gene was selected as the drug target</w:t>
      </w:r>
      <w:r w:rsidR="00153B3A" w:rsidRPr="00A22E9D">
        <w:rPr>
          <w:rFonts w:ascii="Times New Roman" w:hAnsi="Times New Roman" w:cs="Times New Roman"/>
          <w:sz w:val="24"/>
          <w:szCs w:val="24"/>
        </w:rPr>
        <w:t xml:space="preserve"> of the study.</w:t>
      </w:r>
      <w:r w:rsidR="00727419" w:rsidRPr="00A22E9D">
        <w:rPr>
          <w:rFonts w:ascii="Times New Roman" w:hAnsi="Times New Roman" w:cs="Times New Roman"/>
          <w:sz w:val="24"/>
          <w:szCs w:val="24"/>
        </w:rPr>
        <w:t xml:space="preserve"> </w:t>
      </w:r>
      <w:r w:rsidR="00A46A81" w:rsidRPr="00A22E9D">
        <w:rPr>
          <w:rFonts w:ascii="Times New Roman" w:hAnsi="Times New Roman" w:cs="Times New Roman"/>
          <w:sz w:val="24"/>
          <w:szCs w:val="24"/>
        </w:rPr>
        <w:t>For the purpose of this study the highly expressed protein ‘FANCJ</w:t>
      </w:r>
      <w:r w:rsidR="003E7CC7" w:rsidRPr="00A22E9D">
        <w:rPr>
          <w:rFonts w:ascii="Times New Roman" w:hAnsi="Times New Roman" w:cs="Times New Roman"/>
          <w:sz w:val="24"/>
          <w:szCs w:val="24"/>
        </w:rPr>
        <w:t>-</w:t>
      </w:r>
      <w:r w:rsidR="00A46A81" w:rsidRPr="00A22E9D">
        <w:rPr>
          <w:rFonts w:ascii="Times New Roman" w:hAnsi="Times New Roman" w:cs="Times New Roman"/>
          <w:sz w:val="24"/>
          <w:szCs w:val="24"/>
        </w:rPr>
        <w:t>like Helicase’ was selected</w:t>
      </w:r>
      <w:r w:rsidR="003E7CC7" w:rsidRPr="00A22E9D">
        <w:rPr>
          <w:rFonts w:ascii="Times New Roman" w:hAnsi="Times New Roman" w:cs="Times New Roman"/>
          <w:sz w:val="24"/>
          <w:szCs w:val="24"/>
        </w:rPr>
        <w:t>.</w:t>
      </w:r>
      <w:r w:rsidR="00FA11F3" w:rsidRPr="00A22E9D">
        <w:rPr>
          <w:rFonts w:ascii="Times New Roman" w:hAnsi="Times New Roman" w:cs="Times New Roman"/>
          <w:sz w:val="24"/>
          <w:szCs w:val="24"/>
        </w:rPr>
        <w:t xml:space="preserve"> The precise R codes used during the course of the study upon request can be made publicly available</w:t>
      </w:r>
      <w:r w:rsidR="0035194B" w:rsidRPr="00A22E9D">
        <w:rPr>
          <w:rFonts w:ascii="Times New Roman" w:hAnsi="Times New Roman" w:cs="Times New Roman"/>
          <w:sz w:val="24"/>
          <w:szCs w:val="24"/>
        </w:rPr>
        <w:t>.</w:t>
      </w:r>
    </w:p>
    <w:bookmarkEnd w:id="37"/>
    <w:p w14:paraId="0629EB5C" w14:textId="77777777" w:rsidR="00153B3A" w:rsidRPr="00A22E9D" w:rsidRDefault="00153B3A" w:rsidP="00CA4B8F">
      <w:pPr>
        <w:pStyle w:val="Heading4"/>
        <w:spacing w:line="480" w:lineRule="auto"/>
        <w:rPr>
          <w:rFonts w:cs="Times New Roman"/>
        </w:rPr>
      </w:pPr>
      <w:r w:rsidRPr="00A22E9D">
        <w:rPr>
          <w:rFonts w:cs="Times New Roman"/>
        </w:rPr>
        <w:t>3.4.3 Molecular Docking</w:t>
      </w:r>
    </w:p>
    <w:p w14:paraId="69894148" w14:textId="74175C41" w:rsidR="00B411D5" w:rsidRPr="00A22E9D" w:rsidRDefault="00727419" w:rsidP="00CA4B8F">
      <w:pPr>
        <w:spacing w:line="480" w:lineRule="auto"/>
        <w:ind w:firstLine="720"/>
        <w:jc w:val="both"/>
        <w:rPr>
          <w:rFonts w:ascii="Times New Roman" w:hAnsi="Times New Roman" w:cs="Times New Roman"/>
          <w:sz w:val="24"/>
          <w:szCs w:val="24"/>
        </w:rPr>
      </w:pPr>
      <w:bookmarkStart w:id="38" w:name="_Hlk138976383"/>
      <w:r w:rsidRPr="00A22E9D">
        <w:rPr>
          <w:rFonts w:ascii="Times New Roman" w:hAnsi="Times New Roman" w:cs="Times New Roman"/>
          <w:sz w:val="24"/>
          <w:szCs w:val="24"/>
        </w:rPr>
        <w:t xml:space="preserve">The molecular docking for this study was done using </w:t>
      </w:r>
      <w:proofErr w:type="spellStart"/>
      <w:r w:rsidRPr="00A22E9D">
        <w:rPr>
          <w:rFonts w:ascii="Times New Roman" w:hAnsi="Times New Roman" w:cs="Times New Roman"/>
          <w:sz w:val="24"/>
          <w:szCs w:val="24"/>
        </w:rPr>
        <w:t>iGEMDOCK</w:t>
      </w:r>
      <w:proofErr w:type="spellEnd"/>
      <w:r w:rsidRPr="00A22E9D">
        <w:rPr>
          <w:rFonts w:ascii="Times New Roman" w:hAnsi="Times New Roman" w:cs="Times New Roman"/>
          <w:sz w:val="24"/>
          <w:szCs w:val="24"/>
        </w:rPr>
        <w:t xml:space="preserve"> v2.1. </w:t>
      </w:r>
      <w:proofErr w:type="spellStart"/>
      <w:r w:rsidRPr="00A22E9D">
        <w:rPr>
          <w:rFonts w:ascii="Times New Roman" w:hAnsi="Times New Roman" w:cs="Times New Roman"/>
          <w:sz w:val="24"/>
          <w:szCs w:val="24"/>
        </w:rPr>
        <w:t>iGEMDOCK</w:t>
      </w:r>
      <w:proofErr w:type="spellEnd"/>
      <w:r w:rsidRPr="00A22E9D">
        <w:rPr>
          <w:rFonts w:ascii="Times New Roman" w:hAnsi="Times New Roman" w:cs="Times New Roman"/>
          <w:sz w:val="24"/>
          <w:szCs w:val="24"/>
        </w:rPr>
        <w:t xml:space="preserve"> is a computational tool specifically developed for protein-ligand docking in the context of International Genetically Engineered Machine (</w:t>
      </w:r>
      <w:proofErr w:type="spellStart"/>
      <w:r w:rsidRPr="00A22E9D">
        <w:rPr>
          <w:rFonts w:ascii="Times New Roman" w:hAnsi="Times New Roman" w:cs="Times New Roman"/>
          <w:sz w:val="24"/>
          <w:szCs w:val="24"/>
        </w:rPr>
        <w:t>iGEM</w:t>
      </w:r>
      <w:proofErr w:type="spellEnd"/>
      <w:r w:rsidRPr="00A22E9D">
        <w:rPr>
          <w:rFonts w:ascii="Times New Roman" w:hAnsi="Times New Roman" w:cs="Times New Roman"/>
          <w:sz w:val="24"/>
          <w:szCs w:val="24"/>
        </w:rPr>
        <w:t>) competition. It is designed to predict the binding nodes and affinities between ligands and target proteins</w:t>
      </w:r>
      <w:r w:rsidR="005E2E8C" w:rsidRPr="00A22E9D">
        <w:rPr>
          <w:rFonts w:ascii="Times New Roman" w:hAnsi="Times New Roman" w:cs="Times New Roman"/>
          <w:sz w:val="24"/>
          <w:szCs w:val="24"/>
        </w:rPr>
        <w:t xml:space="preserve">. </w:t>
      </w:r>
      <w:r w:rsidR="009C56E7" w:rsidRPr="00A22E9D">
        <w:rPr>
          <w:rFonts w:ascii="Times New Roman" w:hAnsi="Times New Roman" w:cs="Times New Roman"/>
          <w:sz w:val="24"/>
          <w:szCs w:val="24"/>
        </w:rPr>
        <w:t>The selected protein ‘FACNJ-like Helicase’ was downloaded from an online protein database ‘</w:t>
      </w:r>
      <w:proofErr w:type="spellStart"/>
      <w:r w:rsidR="009C56E7" w:rsidRPr="00A22E9D">
        <w:rPr>
          <w:rFonts w:ascii="Times New Roman" w:hAnsi="Times New Roman" w:cs="Times New Roman"/>
          <w:sz w:val="24"/>
          <w:szCs w:val="24"/>
        </w:rPr>
        <w:t>UniProt</w:t>
      </w:r>
      <w:proofErr w:type="spellEnd"/>
      <w:r w:rsidR="009C56E7" w:rsidRPr="00A22E9D">
        <w:rPr>
          <w:rFonts w:ascii="Times New Roman" w:hAnsi="Times New Roman" w:cs="Times New Roman"/>
          <w:sz w:val="24"/>
          <w:szCs w:val="24"/>
        </w:rPr>
        <w:t xml:space="preserve">’ in </w:t>
      </w:r>
      <w:r w:rsidR="001553A8" w:rsidRPr="00A22E9D">
        <w:rPr>
          <w:rFonts w:ascii="Times New Roman" w:hAnsi="Times New Roman" w:cs="Times New Roman"/>
          <w:sz w:val="24"/>
          <w:szCs w:val="24"/>
        </w:rPr>
        <w:t>PDB</w:t>
      </w:r>
      <w:r w:rsidR="009C56E7" w:rsidRPr="00A22E9D">
        <w:rPr>
          <w:rFonts w:ascii="Times New Roman" w:hAnsi="Times New Roman" w:cs="Times New Roman"/>
          <w:sz w:val="24"/>
          <w:szCs w:val="24"/>
        </w:rPr>
        <w:t xml:space="preserve"> format and the test ligand (compound) was also available in </w:t>
      </w:r>
      <w:proofErr w:type="spellStart"/>
      <w:r w:rsidR="009C56E7" w:rsidRPr="00A22E9D">
        <w:rPr>
          <w:rFonts w:ascii="Times New Roman" w:hAnsi="Times New Roman" w:cs="Times New Roman"/>
          <w:sz w:val="24"/>
          <w:szCs w:val="24"/>
        </w:rPr>
        <w:t>pdb</w:t>
      </w:r>
      <w:proofErr w:type="spellEnd"/>
      <w:r w:rsidR="009C56E7" w:rsidRPr="00A22E9D">
        <w:rPr>
          <w:rFonts w:ascii="Times New Roman" w:hAnsi="Times New Roman" w:cs="Times New Roman"/>
          <w:sz w:val="24"/>
          <w:szCs w:val="24"/>
        </w:rPr>
        <w:t xml:space="preserve"> format. </w:t>
      </w:r>
      <w:r w:rsidR="003E7CC7" w:rsidRPr="00A22E9D">
        <w:rPr>
          <w:rFonts w:ascii="Times New Roman" w:hAnsi="Times New Roman" w:cs="Times New Roman"/>
          <w:sz w:val="24"/>
          <w:szCs w:val="24"/>
        </w:rPr>
        <w:t xml:space="preserve">The selected protein (FANCJ-like Helicase) and the test ligand </w:t>
      </w:r>
      <w:r w:rsidR="001B754D" w:rsidRPr="00A22E9D">
        <w:rPr>
          <w:rFonts w:ascii="Times New Roman" w:hAnsi="Times New Roman" w:cs="Times New Roman"/>
          <w:sz w:val="24"/>
          <w:szCs w:val="24"/>
        </w:rPr>
        <w:t>((E)-3-((2,4-</w:t>
      </w:r>
      <w:proofErr w:type="gramStart"/>
      <w:r w:rsidR="001B754D" w:rsidRPr="00A22E9D">
        <w:rPr>
          <w:rFonts w:ascii="Times New Roman" w:hAnsi="Times New Roman" w:cs="Times New Roman"/>
          <w:sz w:val="24"/>
          <w:szCs w:val="24"/>
        </w:rPr>
        <w:t>dihydroxybenzylidene)amino</w:t>
      </w:r>
      <w:proofErr w:type="gramEnd"/>
      <w:r w:rsidR="001B754D" w:rsidRPr="00A22E9D">
        <w:rPr>
          <w:rFonts w:ascii="Times New Roman" w:hAnsi="Times New Roman" w:cs="Times New Roman"/>
          <w:sz w:val="24"/>
          <w:szCs w:val="24"/>
        </w:rPr>
        <w:t xml:space="preserve">)-3a,8a-dihydroxyl-2-thioxo-1,3,3a,8a-tetrahydroindeno[1,2-d]imidazol-8(2H)-one) were both uploaded on the </w:t>
      </w:r>
      <w:proofErr w:type="spellStart"/>
      <w:r w:rsidR="001B754D" w:rsidRPr="00A22E9D">
        <w:rPr>
          <w:rFonts w:ascii="Times New Roman" w:hAnsi="Times New Roman" w:cs="Times New Roman"/>
          <w:sz w:val="24"/>
          <w:szCs w:val="24"/>
        </w:rPr>
        <w:t>iGEMDOCK</w:t>
      </w:r>
      <w:proofErr w:type="spellEnd"/>
      <w:r w:rsidR="001B754D" w:rsidRPr="00A22E9D">
        <w:rPr>
          <w:rFonts w:ascii="Times New Roman" w:hAnsi="Times New Roman" w:cs="Times New Roman"/>
          <w:sz w:val="24"/>
          <w:szCs w:val="24"/>
        </w:rPr>
        <w:t xml:space="preserve"> environment. </w:t>
      </w:r>
      <w:r w:rsidR="000F61E2" w:rsidRPr="00A22E9D">
        <w:rPr>
          <w:rFonts w:ascii="Times New Roman" w:hAnsi="Times New Roman" w:cs="Times New Roman"/>
          <w:sz w:val="24"/>
          <w:szCs w:val="24"/>
        </w:rPr>
        <w:t xml:space="preserve">The docking parameters were adjusted prior to starting the process of docking so as to suit this study with the population size parameter set to ‘200’, generations set to ‘70’ and number of solutions set to ‘5’. </w:t>
      </w:r>
      <w:r w:rsidR="00421FEE" w:rsidRPr="00A22E9D">
        <w:rPr>
          <w:rFonts w:ascii="Times New Roman" w:hAnsi="Times New Roman" w:cs="Times New Roman"/>
          <w:sz w:val="24"/>
          <w:szCs w:val="24"/>
        </w:rPr>
        <w:t xml:space="preserve">5 different poses were generated after docking, and a best pose was indicated by the </w:t>
      </w:r>
      <w:proofErr w:type="spellStart"/>
      <w:r w:rsidR="00421FEE" w:rsidRPr="00A22E9D">
        <w:rPr>
          <w:rFonts w:ascii="Times New Roman" w:hAnsi="Times New Roman" w:cs="Times New Roman"/>
          <w:sz w:val="24"/>
          <w:szCs w:val="24"/>
        </w:rPr>
        <w:t>iGEMDOCK</w:t>
      </w:r>
      <w:proofErr w:type="spellEnd"/>
      <w:r w:rsidR="00421FEE" w:rsidRPr="00A22E9D">
        <w:rPr>
          <w:rFonts w:ascii="Times New Roman" w:hAnsi="Times New Roman" w:cs="Times New Roman"/>
          <w:sz w:val="24"/>
          <w:szCs w:val="24"/>
        </w:rPr>
        <w:t>. Binding energies/affinities of the docked protein and ligand were also generated.</w:t>
      </w:r>
    </w:p>
    <w:bookmarkEnd w:id="38"/>
    <w:p w14:paraId="50EA72C9" w14:textId="48DD1217" w:rsidR="00E81967" w:rsidRPr="00A22E9D" w:rsidRDefault="00E81967" w:rsidP="00CA4B8F">
      <w:pPr>
        <w:pStyle w:val="Heading4"/>
        <w:spacing w:line="480" w:lineRule="auto"/>
        <w:rPr>
          <w:rFonts w:cs="Times New Roman"/>
        </w:rPr>
      </w:pPr>
      <w:r w:rsidRPr="00A22E9D">
        <w:rPr>
          <w:rFonts w:cs="Times New Roman"/>
        </w:rPr>
        <w:lastRenderedPageBreak/>
        <w:t>3.4.4 ADMET Studies</w:t>
      </w:r>
    </w:p>
    <w:p w14:paraId="11861715" w14:textId="5D1A3337" w:rsidR="00727419" w:rsidRPr="00A22E9D" w:rsidRDefault="00E81967" w:rsidP="00CA4B8F">
      <w:pPr>
        <w:spacing w:line="480" w:lineRule="auto"/>
        <w:ind w:firstLine="720"/>
        <w:jc w:val="both"/>
        <w:rPr>
          <w:rFonts w:ascii="Times New Roman" w:hAnsi="Times New Roman" w:cs="Times New Roman"/>
          <w:sz w:val="24"/>
          <w:szCs w:val="24"/>
        </w:rPr>
      </w:pPr>
      <w:bookmarkStart w:id="39" w:name="_Hlk138976422"/>
      <w:r w:rsidRPr="00A22E9D">
        <w:rPr>
          <w:rFonts w:ascii="Times New Roman" w:hAnsi="Times New Roman" w:cs="Times New Roman"/>
          <w:sz w:val="24"/>
          <w:szCs w:val="24"/>
        </w:rPr>
        <w:t xml:space="preserve">ADMET (Absorption, Distribution, Metabolism, Excretion and Toxicity) are an essential component of drug discovery and development. These studies assess the pharmacokinetic and toxicological properties of potential drug candidates, providing crucial information </w:t>
      </w:r>
      <w:r w:rsidR="00F40EE3" w:rsidRPr="00A22E9D">
        <w:rPr>
          <w:rFonts w:ascii="Times New Roman" w:hAnsi="Times New Roman" w:cs="Times New Roman"/>
          <w:sz w:val="24"/>
          <w:szCs w:val="24"/>
        </w:rPr>
        <w:t>for optimizing drug efficacy and safety. ADMET studies was done on the selected synthesized ligand using ‘</w:t>
      </w:r>
      <w:proofErr w:type="spellStart"/>
      <w:r w:rsidR="00F40EE3" w:rsidRPr="00A22E9D">
        <w:rPr>
          <w:rFonts w:ascii="Times New Roman" w:hAnsi="Times New Roman" w:cs="Times New Roman"/>
          <w:sz w:val="24"/>
          <w:szCs w:val="24"/>
        </w:rPr>
        <w:t>Admetmesh</w:t>
      </w:r>
      <w:proofErr w:type="spellEnd"/>
      <w:r w:rsidR="00F40EE3" w:rsidRPr="00A22E9D">
        <w:rPr>
          <w:rFonts w:ascii="Times New Roman" w:hAnsi="Times New Roman" w:cs="Times New Roman"/>
          <w:sz w:val="24"/>
          <w:szCs w:val="24"/>
        </w:rPr>
        <w:t>’ and ‘</w:t>
      </w:r>
      <w:proofErr w:type="spellStart"/>
      <w:r w:rsidR="00F40EE3" w:rsidRPr="00A22E9D">
        <w:rPr>
          <w:rFonts w:ascii="Times New Roman" w:hAnsi="Times New Roman" w:cs="Times New Roman"/>
          <w:sz w:val="24"/>
          <w:szCs w:val="24"/>
        </w:rPr>
        <w:t>swissADME</w:t>
      </w:r>
      <w:proofErr w:type="spellEnd"/>
      <w:r w:rsidR="00F40EE3" w:rsidRPr="00A22E9D">
        <w:rPr>
          <w:rFonts w:ascii="Times New Roman" w:hAnsi="Times New Roman" w:cs="Times New Roman"/>
          <w:sz w:val="24"/>
          <w:szCs w:val="24"/>
        </w:rPr>
        <w:t xml:space="preserve">’ </w:t>
      </w:r>
      <w:proofErr w:type="spellStart"/>
      <w:r w:rsidR="00F40EE3" w:rsidRPr="00A22E9D">
        <w:rPr>
          <w:rFonts w:ascii="Times New Roman" w:hAnsi="Times New Roman" w:cs="Times New Roman"/>
          <w:sz w:val="24"/>
          <w:szCs w:val="24"/>
        </w:rPr>
        <w:t>softwares</w:t>
      </w:r>
      <w:proofErr w:type="spellEnd"/>
      <w:r w:rsidR="00F40EE3" w:rsidRPr="00A22E9D">
        <w:rPr>
          <w:rFonts w:ascii="Times New Roman" w:hAnsi="Times New Roman" w:cs="Times New Roman"/>
          <w:sz w:val="24"/>
          <w:szCs w:val="24"/>
        </w:rPr>
        <w:t>. The test ligand was uploaded and the results were generated. The generated results included the physiochemical properties, medicinal chemistry and toxicity</w:t>
      </w:r>
      <w:r w:rsidR="009317DD" w:rsidRPr="00A22E9D">
        <w:rPr>
          <w:rFonts w:ascii="Times New Roman" w:hAnsi="Times New Roman" w:cs="Times New Roman"/>
          <w:sz w:val="24"/>
          <w:szCs w:val="24"/>
        </w:rPr>
        <w:t>.</w:t>
      </w:r>
    </w:p>
    <w:bookmarkEnd w:id="39"/>
    <w:p w14:paraId="767784E8" w14:textId="77777777" w:rsidR="00FA11F3" w:rsidRPr="00A22E9D" w:rsidRDefault="00FA11F3"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br w:type="page"/>
      </w:r>
    </w:p>
    <w:p w14:paraId="70B9A1A5" w14:textId="77777777" w:rsidR="00132AB9" w:rsidRPr="00A22E9D" w:rsidRDefault="00132AB9" w:rsidP="00CA4B8F">
      <w:pPr>
        <w:pStyle w:val="Heading1"/>
        <w:spacing w:line="480" w:lineRule="auto"/>
        <w:rPr>
          <w:rFonts w:cs="Times New Roman"/>
        </w:rPr>
      </w:pPr>
      <w:bookmarkStart w:id="40" w:name="_Toc145500388"/>
      <w:r w:rsidRPr="00A22E9D">
        <w:rPr>
          <w:rFonts w:cs="Times New Roman"/>
        </w:rPr>
        <w:lastRenderedPageBreak/>
        <w:t>CHAPTER FOUR</w:t>
      </w:r>
      <w:bookmarkEnd w:id="40"/>
    </w:p>
    <w:p w14:paraId="090A8AB0" w14:textId="1BE664E7" w:rsidR="00902B3F" w:rsidRPr="00A22E9D" w:rsidRDefault="00902B3F" w:rsidP="00CA4B8F">
      <w:pPr>
        <w:pStyle w:val="Heading2"/>
        <w:spacing w:line="480" w:lineRule="auto"/>
        <w:rPr>
          <w:rFonts w:cs="Times New Roman"/>
        </w:rPr>
      </w:pPr>
      <w:bookmarkStart w:id="41" w:name="_Toc145500389"/>
      <w:r w:rsidRPr="00A22E9D">
        <w:rPr>
          <w:rFonts w:cs="Times New Roman"/>
        </w:rPr>
        <w:t>RESULT</w:t>
      </w:r>
      <w:bookmarkEnd w:id="41"/>
    </w:p>
    <w:p w14:paraId="3D278625" w14:textId="576401A9" w:rsidR="00BF7A53" w:rsidRPr="00A22E9D" w:rsidRDefault="008C1BB8" w:rsidP="00CA4B8F">
      <w:pPr>
        <w:pStyle w:val="Heading3"/>
        <w:spacing w:line="480" w:lineRule="auto"/>
        <w:rPr>
          <w:rFonts w:cs="Times New Roman"/>
        </w:rPr>
      </w:pPr>
      <w:bookmarkStart w:id="42" w:name="_Toc145500390"/>
      <w:r w:rsidRPr="00A22E9D">
        <w:rPr>
          <w:rFonts w:cs="Times New Roman"/>
        </w:rPr>
        <w:t xml:space="preserve">4.1 </w:t>
      </w:r>
      <w:r w:rsidR="00BF7A53" w:rsidRPr="00A22E9D">
        <w:rPr>
          <w:rFonts w:cs="Times New Roman"/>
        </w:rPr>
        <w:t>In-vivo Studies</w:t>
      </w:r>
      <w:bookmarkEnd w:id="42"/>
    </w:p>
    <w:p w14:paraId="5813B330" w14:textId="76D448EE" w:rsidR="00A80525" w:rsidRPr="00A22E9D" w:rsidRDefault="00BA3FC1"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T</w:t>
      </w:r>
      <w:r w:rsidR="00A80525" w:rsidRPr="00A22E9D">
        <w:rPr>
          <w:rFonts w:ascii="Times New Roman" w:hAnsi="Times New Roman" w:cs="Times New Roman"/>
          <w:sz w:val="24"/>
          <w:szCs w:val="24"/>
        </w:rPr>
        <w:t>he Swiss albino mice were randomly divided into five groups (with five mice per group)</w:t>
      </w:r>
      <w:r w:rsidRPr="00A22E9D">
        <w:rPr>
          <w:rFonts w:ascii="Times New Roman" w:hAnsi="Times New Roman" w:cs="Times New Roman"/>
          <w:sz w:val="24"/>
          <w:szCs w:val="24"/>
        </w:rPr>
        <w:t xml:space="preserve"> as stated in section 3.3.2</w:t>
      </w:r>
      <w:r w:rsidR="00A80525" w:rsidRPr="00A22E9D">
        <w:rPr>
          <w:rFonts w:ascii="Times New Roman" w:hAnsi="Times New Roman" w:cs="Times New Roman"/>
          <w:sz w:val="24"/>
          <w:szCs w:val="24"/>
        </w:rPr>
        <w:t>. Three groups were assigned as test groups while the other two groups were used as control (positive and negative) groups. The animals in the test groups were administered doses of 5, 10 and 25 mg/kg of the compound respectively while the control groups were administered with 10 mg/kg chloroquine (reference drug, positive control) and 0.2 ml of vehicle (olive oil) for the negative control group. The test (synthesized) compound was administered to the animals for four consecutive days along with chloroquine and olive oil for positive control and negative control respectively. The determination of parasitaemia was carried out on the fifth day (120 hours post infection). Thin blood smear of each of the mouse was done by taking a drop of blood from a tiny cut to the tail of the animal on to a microscope glass slide and spreading it thinly with the aid of another slide. The smear was air-dried and then fixed with methanol. The glass slide was allowed to dry and was then stained with Giemsa solution (diluted 1:10 with phosphate buffered saline). The stain was sufficiently poured on each of the slide and allowed to stand for 1 hour, decanted, slowly rinsed with water and dried. The slides were viewed under the light microscope (with 100-x magnification, oil immersion)</w:t>
      </w:r>
      <w:r w:rsidR="00621345" w:rsidRPr="00A22E9D">
        <w:rPr>
          <w:rFonts w:ascii="Times New Roman" w:hAnsi="Times New Roman" w:cs="Times New Roman"/>
          <w:sz w:val="24"/>
          <w:szCs w:val="24"/>
        </w:rPr>
        <w:t xml:space="preserve"> </w:t>
      </w:r>
      <w:r w:rsidR="00A80525" w:rsidRPr="00A22E9D">
        <w:rPr>
          <w:rFonts w:ascii="Times New Roman" w:hAnsi="Times New Roman" w:cs="Times New Roman"/>
          <w:sz w:val="24"/>
          <w:szCs w:val="24"/>
        </w:rPr>
        <w:t xml:space="preserve">individually as seen in the figure below. </w:t>
      </w:r>
    </w:p>
    <w:p w14:paraId="64E86E89" w14:textId="77777777" w:rsidR="00621345" w:rsidRPr="00A22E9D" w:rsidRDefault="00621345" w:rsidP="00CA4B8F">
      <w:pPr>
        <w:keepNext/>
        <w:spacing w:line="480" w:lineRule="auto"/>
        <w:jc w:val="both"/>
        <w:rPr>
          <w:rFonts w:ascii="Times New Roman" w:hAnsi="Times New Roman" w:cs="Times New Roman"/>
          <w:sz w:val="24"/>
          <w:szCs w:val="24"/>
        </w:rPr>
      </w:pPr>
      <w:r w:rsidRPr="00A22E9D">
        <w:rPr>
          <w:rFonts w:ascii="Times New Roman" w:hAnsi="Times New Roman" w:cs="Times New Roman"/>
          <w:noProof/>
          <w:sz w:val="24"/>
          <w:szCs w:val="24"/>
        </w:rPr>
        <w:lastRenderedPageBreak/>
        <w:drawing>
          <wp:inline distT="0" distB="0" distL="0" distR="0" wp14:anchorId="3282BD87" wp14:editId="5ABBE243">
            <wp:extent cx="2914650" cy="1713400"/>
            <wp:effectExtent l="0" t="0" r="0" b="1270"/>
            <wp:docPr id="173600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07464" name="Picture 17360074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0749" cy="1728743"/>
                    </a:xfrm>
                    <a:prstGeom prst="rect">
                      <a:avLst/>
                    </a:prstGeom>
                  </pic:spPr>
                </pic:pic>
              </a:graphicData>
            </a:graphic>
          </wp:inline>
        </w:drawing>
      </w:r>
    </w:p>
    <w:p w14:paraId="7356B038" w14:textId="0B8A37B3" w:rsidR="00A80525" w:rsidRPr="00A22E9D" w:rsidRDefault="00621345"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Figure</w:t>
      </w:r>
      <w:r w:rsidR="00D54420" w:rsidRPr="00A22E9D">
        <w:rPr>
          <w:rFonts w:ascii="Times New Roman" w:hAnsi="Times New Roman" w:cs="Times New Roman"/>
          <w:sz w:val="24"/>
          <w:szCs w:val="24"/>
        </w:rPr>
        <w:fldChar w:fldCharType="begin"/>
      </w:r>
      <w:r w:rsidR="00D54420" w:rsidRPr="00A22E9D">
        <w:rPr>
          <w:rFonts w:ascii="Times New Roman" w:hAnsi="Times New Roman" w:cs="Times New Roman"/>
          <w:sz w:val="24"/>
          <w:szCs w:val="24"/>
        </w:rPr>
        <w:instrText xml:space="preserve"> NUMPAGES  \# "4.1" </w:instrText>
      </w:r>
      <w:r w:rsidR="00D54420"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1</w:t>
      </w:r>
      <w:r w:rsidR="00D54420" w:rsidRPr="00A22E9D">
        <w:rPr>
          <w:rFonts w:ascii="Times New Roman" w:hAnsi="Times New Roman" w:cs="Times New Roman"/>
          <w:sz w:val="24"/>
          <w:szCs w:val="24"/>
        </w:rPr>
        <w:fldChar w:fldCharType="end"/>
      </w:r>
      <w:r w:rsidR="000275F2"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Blood smear of Plasmodium </w:t>
      </w:r>
      <w:proofErr w:type="spellStart"/>
      <w:r w:rsidRPr="00A22E9D">
        <w:rPr>
          <w:rFonts w:ascii="Times New Roman" w:hAnsi="Times New Roman" w:cs="Times New Roman"/>
          <w:sz w:val="24"/>
          <w:szCs w:val="24"/>
        </w:rPr>
        <w:t>Bergehi</w:t>
      </w:r>
      <w:proofErr w:type="spellEnd"/>
      <w:r w:rsidRPr="00A22E9D">
        <w:rPr>
          <w:rFonts w:ascii="Times New Roman" w:hAnsi="Times New Roman" w:cs="Times New Roman"/>
          <w:sz w:val="24"/>
          <w:szCs w:val="24"/>
        </w:rPr>
        <w:t xml:space="preserve"> infected cells of mice after </w:t>
      </w:r>
      <w:r w:rsidR="00D54420" w:rsidRPr="00A22E9D">
        <w:rPr>
          <w:rFonts w:ascii="Times New Roman" w:hAnsi="Times New Roman" w:cs="Times New Roman"/>
          <w:sz w:val="24"/>
          <w:szCs w:val="24"/>
        </w:rPr>
        <w:t>first</w:t>
      </w:r>
      <w:r w:rsidRPr="00A22E9D">
        <w:rPr>
          <w:rFonts w:ascii="Times New Roman" w:hAnsi="Times New Roman" w:cs="Times New Roman"/>
          <w:sz w:val="24"/>
          <w:szCs w:val="24"/>
        </w:rPr>
        <w:t xml:space="preserve"> day of infection.</w:t>
      </w:r>
    </w:p>
    <w:p w14:paraId="19FEA253" w14:textId="0AA1F5F8" w:rsidR="00AA5B53" w:rsidRPr="00A22E9D" w:rsidRDefault="008C355F" w:rsidP="00CA4B8F">
      <w:pPr>
        <w:keepNext/>
        <w:spacing w:line="480" w:lineRule="auto"/>
        <w:jc w:val="both"/>
        <w:rPr>
          <w:rFonts w:ascii="Times New Roman" w:hAnsi="Times New Roman" w:cs="Times New Roman"/>
        </w:rPr>
      </w:pPr>
      <w:r w:rsidRPr="00A22E9D">
        <w:rPr>
          <w:rFonts w:ascii="Times New Roman" w:hAnsi="Times New Roman" w:cs="Times New Roman"/>
          <w:noProof/>
        </w:rPr>
        <w:drawing>
          <wp:inline distT="0" distB="0" distL="0" distR="0" wp14:anchorId="0265DCA1" wp14:editId="18CDB312">
            <wp:extent cx="3028950" cy="2047875"/>
            <wp:effectExtent l="0" t="0" r="0" b="9525"/>
            <wp:docPr id="2" name="Picture 1">
              <a:extLst xmlns:a="http://schemas.openxmlformats.org/drawingml/2006/main">
                <a:ext uri="{FF2B5EF4-FFF2-40B4-BE49-F238E27FC236}">
                  <a16:creationId xmlns:a16="http://schemas.microsoft.com/office/drawing/2014/main" id="{31C8A7F6-3EED-ADBE-A408-DDCA5E7FDA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1C8A7F6-3EED-ADBE-A408-DDCA5E7FDA11}"/>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r="416" b="10417"/>
                    <a:stretch/>
                  </pic:blipFill>
                  <pic:spPr>
                    <a:xfrm>
                      <a:off x="0" y="0"/>
                      <a:ext cx="3028950" cy="2047875"/>
                    </a:xfrm>
                    <a:prstGeom prst="rect">
                      <a:avLst/>
                    </a:prstGeom>
                  </pic:spPr>
                </pic:pic>
              </a:graphicData>
            </a:graphic>
          </wp:inline>
        </w:drawing>
      </w:r>
    </w:p>
    <w:p w14:paraId="58A60F3C" w14:textId="7FF073CC" w:rsidR="00AA5B53" w:rsidRPr="00A22E9D" w:rsidRDefault="00AA5B53"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766B4C" w:rsidRPr="00A22E9D">
        <w:rPr>
          <w:rFonts w:ascii="Times New Roman" w:hAnsi="Times New Roman" w:cs="Times New Roman"/>
          <w:sz w:val="24"/>
          <w:szCs w:val="24"/>
        </w:rPr>
        <w:fldChar w:fldCharType="begin"/>
      </w:r>
      <w:r w:rsidR="00766B4C" w:rsidRPr="00A22E9D">
        <w:rPr>
          <w:rFonts w:ascii="Times New Roman" w:hAnsi="Times New Roman" w:cs="Times New Roman"/>
          <w:sz w:val="24"/>
          <w:szCs w:val="24"/>
        </w:rPr>
        <w:instrText xml:space="preserve"> NUMPAGES  \# "4.2a" </w:instrText>
      </w:r>
      <w:r w:rsidR="00766B4C"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2a</w:t>
      </w:r>
      <w:r w:rsidR="00766B4C" w:rsidRPr="00A22E9D">
        <w:rPr>
          <w:rFonts w:ascii="Times New Roman" w:hAnsi="Times New Roman" w:cs="Times New Roman"/>
          <w:sz w:val="24"/>
          <w:szCs w:val="24"/>
        </w:rPr>
        <w:fldChar w:fldCharType="end"/>
      </w:r>
    </w:p>
    <w:p w14:paraId="07D713EB" w14:textId="0CEDCDD8" w:rsidR="00C53359" w:rsidRPr="00A22E9D" w:rsidRDefault="00AA5B53" w:rsidP="00CA4B8F">
      <w:pPr>
        <w:keepNext/>
        <w:spacing w:line="480" w:lineRule="auto"/>
        <w:jc w:val="both"/>
        <w:rPr>
          <w:rFonts w:ascii="Times New Roman" w:hAnsi="Times New Roman" w:cs="Times New Roman"/>
        </w:rPr>
      </w:pPr>
      <w:r w:rsidRPr="00A22E9D">
        <w:rPr>
          <w:rFonts w:ascii="Times New Roman" w:hAnsi="Times New Roman" w:cs="Times New Roman"/>
        </w:rPr>
        <w:t xml:space="preserve">    </w:t>
      </w:r>
      <w:r w:rsidRPr="00A22E9D">
        <w:rPr>
          <w:rFonts w:ascii="Times New Roman" w:hAnsi="Times New Roman" w:cs="Times New Roman"/>
          <w:noProof/>
          <w:sz w:val="24"/>
          <w:szCs w:val="24"/>
        </w:rPr>
        <w:drawing>
          <wp:inline distT="0" distB="0" distL="0" distR="0" wp14:anchorId="408A1A1A" wp14:editId="4DF79E62">
            <wp:extent cx="2943225" cy="2425033"/>
            <wp:effectExtent l="0" t="0" r="0" b="0"/>
            <wp:docPr id="866419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19487" name="Picture 8664194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4361" cy="2458926"/>
                    </a:xfrm>
                    <a:prstGeom prst="rect">
                      <a:avLst/>
                    </a:prstGeom>
                  </pic:spPr>
                </pic:pic>
              </a:graphicData>
            </a:graphic>
          </wp:inline>
        </w:drawing>
      </w:r>
    </w:p>
    <w:p w14:paraId="01123265" w14:textId="3B7C8EFE" w:rsidR="00BB5D02" w:rsidRPr="00A22E9D" w:rsidRDefault="00C53359"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766B4C" w:rsidRPr="00A22E9D">
        <w:rPr>
          <w:rFonts w:ascii="Times New Roman" w:hAnsi="Times New Roman" w:cs="Times New Roman"/>
          <w:sz w:val="24"/>
          <w:szCs w:val="24"/>
        </w:rPr>
        <w:fldChar w:fldCharType="begin"/>
      </w:r>
      <w:r w:rsidR="00766B4C" w:rsidRPr="00A22E9D">
        <w:rPr>
          <w:rFonts w:ascii="Times New Roman" w:hAnsi="Times New Roman" w:cs="Times New Roman"/>
          <w:sz w:val="24"/>
          <w:szCs w:val="24"/>
        </w:rPr>
        <w:instrText xml:space="preserve"> NUMPAGES  \# "4.2b" </w:instrText>
      </w:r>
      <w:r w:rsidR="00766B4C"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2b</w:t>
      </w:r>
      <w:r w:rsidR="00766B4C"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w:t>
      </w:r>
    </w:p>
    <w:p w14:paraId="33FEE01E" w14:textId="6FD2B261" w:rsidR="00D03911" w:rsidRPr="00A22E9D" w:rsidRDefault="00C53359"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Representative photomicrograph of blood smear of infected mice stained with Giemsa stain.</w:t>
      </w:r>
    </w:p>
    <w:p w14:paraId="0C6319F2" w14:textId="1AC149E9" w:rsidR="009C52E5" w:rsidRPr="00A22E9D" w:rsidRDefault="00A80525"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The parasitaemia level was determined by counting the number of parasitized red blood cells out of the total red blood cell in random fields of microscope</w:t>
      </w:r>
      <w:r w:rsidR="00E31FCF" w:rsidRPr="00A22E9D">
        <w:rPr>
          <w:rFonts w:ascii="Times New Roman" w:hAnsi="Times New Roman" w:cs="Times New Roman"/>
          <w:sz w:val="24"/>
          <w:szCs w:val="24"/>
        </w:rPr>
        <w:t>.</w:t>
      </w:r>
      <w:r w:rsidR="00302065"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The percentage chemo suppression </w:t>
      </w:r>
      <w:r w:rsidR="00302065" w:rsidRPr="00A22E9D">
        <w:rPr>
          <w:rFonts w:ascii="Times New Roman" w:hAnsi="Times New Roman" w:cs="Times New Roman"/>
          <w:sz w:val="24"/>
          <w:szCs w:val="24"/>
        </w:rPr>
        <w:t xml:space="preserve">of </w:t>
      </w:r>
      <w:r w:rsidRPr="00A22E9D">
        <w:rPr>
          <w:rFonts w:ascii="Times New Roman" w:hAnsi="Times New Roman" w:cs="Times New Roman"/>
          <w:sz w:val="24"/>
          <w:szCs w:val="24"/>
        </w:rPr>
        <w:t>parasitaemia for each dose level was calculated by comparing the percentage parasitaemia of the controls (positive and negative control) with those of treated mice using the modified Peters and Robinson formula.</w:t>
      </w:r>
    </w:p>
    <w:p w14:paraId="7FECAD0F" w14:textId="66CAC7E2" w:rsidR="00A80525" w:rsidRPr="00A22E9D" w:rsidRDefault="00A80525"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 Parasitaemia = </w:t>
      </w:r>
      <m:oMath>
        <m:f>
          <m:fPr>
            <m:ctrlPr>
              <w:rPr>
                <w:rFonts w:ascii="Cambria Math" w:hAnsi="Cambria Math" w:cs="Times New Roman"/>
                <w:sz w:val="24"/>
                <w:szCs w:val="24"/>
              </w:rPr>
            </m:ctrlPr>
          </m:fPr>
          <m:num>
            <m:r>
              <w:rPr>
                <w:rFonts w:ascii="Cambria Math" w:hAnsi="Cambria Math" w:cs="Times New Roman"/>
                <w:sz w:val="24"/>
                <w:szCs w:val="24"/>
              </w:rPr>
              <m:t>Parasitizedbloodcells</m:t>
            </m:r>
          </m:num>
          <m:den>
            <m:r>
              <w:rPr>
                <w:rFonts w:ascii="Cambria Math" w:hAnsi="Cambria Math" w:cs="Times New Roman"/>
                <w:sz w:val="24"/>
                <w:szCs w:val="24"/>
              </w:rPr>
              <m:t xml:space="preserve">Total red bloodcells </m:t>
            </m:r>
          </m:den>
        </m:f>
        <m:r>
          <w:rPr>
            <w:rFonts w:ascii="Cambria Math" w:hAnsi="Cambria Math" w:cs="Times New Roman"/>
            <w:sz w:val="24"/>
            <w:szCs w:val="24"/>
          </w:rPr>
          <m:t>X100</m:t>
        </m:r>
      </m:oMath>
    </w:p>
    <w:p w14:paraId="35B80505" w14:textId="77777777" w:rsidR="00A80525" w:rsidRPr="00A22E9D" w:rsidRDefault="00A80525"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 % Chemo suppression =  </w:t>
      </w:r>
      <m:oMath>
        <m:f>
          <m:fPr>
            <m:ctrlPr>
              <w:rPr>
                <w:rFonts w:ascii="Cambria Math" w:hAnsi="Cambria Math" w:cs="Times New Roman"/>
                <w:sz w:val="24"/>
                <w:szCs w:val="24"/>
              </w:rPr>
            </m:ctrlPr>
          </m:fPr>
          <m:num>
            <m:d>
              <m:dPr>
                <m:ctrlPr>
                  <w:rPr>
                    <w:rFonts w:ascii="Cambria Math" w:hAnsi="Cambria Math" w:cs="Times New Roman"/>
                    <w:sz w:val="24"/>
                    <w:szCs w:val="24"/>
                  </w:rPr>
                </m:ctrlPr>
              </m:dPr>
              <m:e>
                <m:r>
                  <w:rPr>
                    <w:rFonts w:ascii="Cambria Math" w:hAnsi="Cambria Math" w:cs="Times New Roman"/>
                    <w:sz w:val="24"/>
                    <w:szCs w:val="24"/>
                  </w:rPr>
                  <m:t>A-B</m:t>
                </m:r>
              </m:e>
            </m:d>
          </m:num>
          <m:den>
            <m:r>
              <w:rPr>
                <w:rFonts w:ascii="Cambria Math" w:hAnsi="Cambria Math" w:cs="Times New Roman"/>
                <w:sz w:val="24"/>
                <w:szCs w:val="24"/>
              </w:rPr>
              <m:t>A</m:t>
            </m:r>
          </m:den>
        </m:f>
        <m:r>
          <w:rPr>
            <w:rFonts w:ascii="Cambria Math" w:hAnsi="Cambria Math" w:cs="Times New Roman"/>
            <w:sz w:val="24"/>
            <w:szCs w:val="24"/>
          </w:rPr>
          <m:t>X100</m:t>
        </m:r>
      </m:oMath>
    </w:p>
    <w:p w14:paraId="2C6B679E" w14:textId="6518F4D7" w:rsidR="006F3671" w:rsidRPr="00A22E9D" w:rsidRDefault="00A80525"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Where “A” is the average parasitaemia for the negative control group and “B” is the average parasitaemia for the test compounds.</w:t>
      </w:r>
    </w:p>
    <w:p w14:paraId="36E1B075" w14:textId="77777777" w:rsidR="004504DD" w:rsidRDefault="004504DD">
      <w:pPr>
        <w:rPr>
          <w:rFonts w:ascii="Times New Roman" w:hAnsi="Times New Roman" w:cs="Times New Roman"/>
          <w:sz w:val="24"/>
          <w:szCs w:val="24"/>
        </w:rPr>
      </w:pPr>
      <w:r>
        <w:rPr>
          <w:rFonts w:ascii="Times New Roman" w:hAnsi="Times New Roman" w:cs="Times New Roman"/>
          <w:sz w:val="24"/>
          <w:szCs w:val="24"/>
        </w:rPr>
        <w:br w:type="page"/>
      </w:r>
    </w:p>
    <w:p w14:paraId="74EB2184" w14:textId="0975D1D2" w:rsidR="008B40B9" w:rsidRPr="00A22E9D" w:rsidRDefault="004504DD" w:rsidP="00CA4B8F">
      <w:pPr>
        <w:spacing w:line="480" w:lineRule="auto"/>
        <w:jc w:val="both"/>
        <w:rPr>
          <w:rFonts w:ascii="Times New Roman" w:hAnsi="Times New Roman" w:cs="Times New Roman"/>
          <w:sz w:val="24"/>
          <w:szCs w:val="24"/>
        </w:rPr>
      </w:pPr>
      <w:r w:rsidRPr="00A22E9D">
        <w:rPr>
          <w:rFonts w:ascii="Times New Roman" w:hAnsi="Times New Roman" w:cs="Times New Roman"/>
          <w:noProof/>
          <w:sz w:val="24"/>
          <w:szCs w:val="24"/>
        </w:rPr>
        <w:lastRenderedPageBreak/>
        <mc:AlternateContent>
          <mc:Choice Requires="wps">
            <w:drawing>
              <wp:anchor distT="0" distB="0" distL="114300" distR="114300" simplePos="0" relativeHeight="251666432" behindDoc="0" locked="0" layoutInCell="1" allowOverlap="1" wp14:anchorId="07FF267B" wp14:editId="420E04D4">
                <wp:simplePos x="0" y="0"/>
                <wp:positionH relativeFrom="margin">
                  <wp:align>left</wp:align>
                </wp:positionH>
                <wp:positionV relativeFrom="paragraph">
                  <wp:posOffset>0</wp:posOffset>
                </wp:positionV>
                <wp:extent cx="6162675" cy="5248275"/>
                <wp:effectExtent l="0" t="0" r="28575" b="28575"/>
                <wp:wrapNone/>
                <wp:docPr id="1301599496" name="Rectangle 1"/>
                <wp:cNvGraphicFramePr/>
                <a:graphic xmlns:a="http://schemas.openxmlformats.org/drawingml/2006/main">
                  <a:graphicData uri="http://schemas.microsoft.com/office/word/2010/wordprocessingShape">
                    <wps:wsp>
                      <wps:cNvSpPr/>
                      <wps:spPr>
                        <a:xfrm>
                          <a:off x="0" y="0"/>
                          <a:ext cx="6162675" cy="52482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C871B" id="Rectangle 1" o:spid="_x0000_s1026" style="position:absolute;margin-left:0;margin-top:0;width:485.25pt;height:413.2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" filled="f" strokecolor="#1f3763 [1604]" strokeweight="1pt">
                <w10:wrap anchorx="margin"/>
              </v:rect>
            </w:pict>
          </mc:Fallback>
        </mc:AlternateContent>
      </w:r>
      <w:r w:rsidR="003B157E" w:rsidRPr="00A22E9D">
        <w:rPr>
          <w:rFonts w:ascii="Times New Roman" w:hAnsi="Times New Roman" w:cs="Times New Roman"/>
          <w:noProof/>
        </w:rPr>
        <w:drawing>
          <wp:inline distT="0" distB="0" distL="0" distR="0" wp14:anchorId="1F6C6D41" wp14:editId="3A44F0C7">
            <wp:extent cx="6153150" cy="5248275"/>
            <wp:effectExtent l="0" t="0" r="0" b="9525"/>
            <wp:docPr id="739838232" name="Chart 1">
              <a:extLst xmlns:a="http://schemas.openxmlformats.org/drawingml/2006/main">
                <a:ext uri="{FF2B5EF4-FFF2-40B4-BE49-F238E27FC236}">
                  <a16:creationId xmlns:a16="http://schemas.microsoft.com/office/drawing/2014/main" id="{8C92B68C-CDD0-89A9-C6A1-066C13D305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7E945CF" w14:textId="7EA65122" w:rsidR="008B40B9" w:rsidRPr="00A22E9D" w:rsidRDefault="008B40B9"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766B4C" w:rsidRPr="00A22E9D">
        <w:rPr>
          <w:rFonts w:ascii="Times New Roman" w:hAnsi="Times New Roman" w:cs="Times New Roman"/>
          <w:sz w:val="24"/>
          <w:szCs w:val="24"/>
        </w:rPr>
        <w:fldChar w:fldCharType="begin"/>
      </w:r>
      <w:r w:rsidR="00766B4C" w:rsidRPr="00A22E9D">
        <w:rPr>
          <w:rFonts w:ascii="Times New Roman" w:hAnsi="Times New Roman" w:cs="Times New Roman"/>
          <w:sz w:val="24"/>
          <w:szCs w:val="24"/>
        </w:rPr>
        <w:instrText xml:space="preserve"> NUMPAGES  \# "4.3" </w:instrText>
      </w:r>
      <w:r w:rsidR="00766B4C"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3</w:t>
      </w:r>
      <w:r w:rsidR="00766B4C"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Percentage parasitaemia level in mice infected Plasmodium </w:t>
      </w:r>
      <w:proofErr w:type="spellStart"/>
      <w:r w:rsidRPr="00A22E9D">
        <w:rPr>
          <w:rFonts w:ascii="Times New Roman" w:hAnsi="Times New Roman" w:cs="Times New Roman"/>
          <w:sz w:val="24"/>
          <w:szCs w:val="24"/>
        </w:rPr>
        <w:t>Bergehi</w:t>
      </w:r>
      <w:proofErr w:type="spellEnd"/>
    </w:p>
    <w:p w14:paraId="5D61139C" w14:textId="77777777" w:rsidR="004504DD" w:rsidRDefault="004504DD">
      <w:pPr>
        <w:rPr>
          <w:rFonts w:ascii="Times New Roman" w:hAnsi="Times New Roman" w:cs="Times New Roman"/>
          <w:sz w:val="24"/>
          <w:szCs w:val="24"/>
        </w:rPr>
      </w:pPr>
      <w:r>
        <w:rPr>
          <w:rFonts w:ascii="Times New Roman" w:hAnsi="Times New Roman" w:cs="Times New Roman"/>
          <w:sz w:val="24"/>
          <w:szCs w:val="24"/>
        </w:rPr>
        <w:br w:type="page"/>
      </w:r>
    </w:p>
    <w:p w14:paraId="4FF2341F" w14:textId="41A47674" w:rsidR="00CF2504" w:rsidRPr="00A22E9D" w:rsidRDefault="00CF2504"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lastRenderedPageBreak/>
        <w:t>The results indicate that both Chloroquine and</w:t>
      </w:r>
      <w:r w:rsidR="007C5C1B" w:rsidRPr="00A22E9D">
        <w:rPr>
          <w:rFonts w:ascii="Times New Roman" w:hAnsi="Times New Roman" w:cs="Times New Roman"/>
          <w:sz w:val="24"/>
          <w:szCs w:val="24"/>
        </w:rPr>
        <w:t xml:space="preserve"> the test compound </w:t>
      </w:r>
      <w:r w:rsidRPr="00A22E9D">
        <w:rPr>
          <w:rFonts w:ascii="Times New Roman" w:hAnsi="Times New Roman" w:cs="Times New Roman"/>
          <w:sz w:val="24"/>
          <w:szCs w:val="24"/>
        </w:rPr>
        <w:t>(</w:t>
      </w:r>
      <w:r w:rsidR="007C5C1B" w:rsidRPr="00A22E9D">
        <w:rPr>
          <w:rFonts w:ascii="Times New Roman" w:hAnsi="Times New Roman" w:cs="Times New Roman"/>
          <w:sz w:val="24"/>
          <w:szCs w:val="24"/>
        </w:rPr>
        <w:t>A</w:t>
      </w:r>
      <w:r w:rsidRPr="00A22E9D">
        <w:rPr>
          <w:rFonts w:ascii="Times New Roman" w:hAnsi="Times New Roman" w:cs="Times New Roman"/>
          <w:sz w:val="24"/>
          <w:szCs w:val="24"/>
        </w:rPr>
        <w:t xml:space="preserve">HI) are effective at reducing parasitaemia levels in mice infected with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 The highest dose of </w:t>
      </w:r>
      <w:r w:rsidR="007C5C1B" w:rsidRPr="00A22E9D">
        <w:rPr>
          <w:rFonts w:ascii="Times New Roman" w:hAnsi="Times New Roman" w:cs="Times New Roman"/>
          <w:sz w:val="24"/>
          <w:szCs w:val="24"/>
        </w:rPr>
        <w:t>A</w:t>
      </w:r>
      <w:r w:rsidRPr="00A22E9D">
        <w:rPr>
          <w:rFonts w:ascii="Times New Roman" w:hAnsi="Times New Roman" w:cs="Times New Roman"/>
          <w:sz w:val="24"/>
          <w:szCs w:val="24"/>
        </w:rPr>
        <w:t xml:space="preserve">HI (25 mg/kg) was found to be the most effective at reducing parasitaemia levels, as it showed a significant reduction compared to both the negative control and the positive control (Chloroquine) groups. These findings suggest that </w:t>
      </w:r>
      <w:r w:rsidR="007C5C1B" w:rsidRPr="00A22E9D">
        <w:rPr>
          <w:rFonts w:ascii="Times New Roman" w:hAnsi="Times New Roman" w:cs="Times New Roman"/>
          <w:sz w:val="24"/>
          <w:szCs w:val="24"/>
        </w:rPr>
        <w:t>A</w:t>
      </w:r>
      <w:r w:rsidRPr="00A22E9D">
        <w:rPr>
          <w:rFonts w:ascii="Times New Roman" w:hAnsi="Times New Roman" w:cs="Times New Roman"/>
          <w:sz w:val="24"/>
          <w:szCs w:val="24"/>
        </w:rPr>
        <w:t xml:space="preserve">HI has potential as an alternative or complementary treatment for malaria. However, further studies are needed to determine the safety and efficacy of </w:t>
      </w:r>
      <w:r w:rsidR="007C5C1B" w:rsidRPr="00A22E9D">
        <w:rPr>
          <w:rFonts w:ascii="Times New Roman" w:hAnsi="Times New Roman" w:cs="Times New Roman"/>
          <w:sz w:val="24"/>
          <w:szCs w:val="24"/>
        </w:rPr>
        <w:t>A</w:t>
      </w:r>
      <w:r w:rsidRPr="00A22E9D">
        <w:rPr>
          <w:rFonts w:ascii="Times New Roman" w:hAnsi="Times New Roman" w:cs="Times New Roman"/>
          <w:sz w:val="24"/>
          <w:szCs w:val="24"/>
        </w:rPr>
        <w:t>HI in humans.</w:t>
      </w:r>
    </w:p>
    <w:p w14:paraId="005EE83B" w14:textId="77777777" w:rsidR="00CF2504" w:rsidRPr="00A22E9D" w:rsidRDefault="00CF2504" w:rsidP="00CA4B8F">
      <w:pPr>
        <w:spacing w:line="480" w:lineRule="auto"/>
        <w:rPr>
          <w:rFonts w:ascii="Times New Roman" w:hAnsi="Times New Roman" w:cs="Times New Roman"/>
        </w:rPr>
      </w:pPr>
    </w:p>
    <w:p w14:paraId="3EA6C6BD" w14:textId="77777777" w:rsidR="004504DD" w:rsidRDefault="004504DD">
      <w:pPr>
        <w:rPr>
          <w:rFonts w:ascii="Times New Roman" w:hAnsi="Times New Roman" w:cs="Times New Roman"/>
        </w:rPr>
      </w:pPr>
      <w:r>
        <w:rPr>
          <w:rFonts w:ascii="Times New Roman" w:hAnsi="Times New Roman" w:cs="Times New Roman"/>
        </w:rPr>
        <w:br w:type="page"/>
      </w:r>
    </w:p>
    <w:p w14:paraId="11C34A74" w14:textId="7305C014" w:rsidR="00B05E4C" w:rsidRPr="00A22E9D" w:rsidRDefault="00AF4B04" w:rsidP="00CA4B8F">
      <w:pPr>
        <w:keepNext/>
        <w:spacing w:line="480" w:lineRule="auto"/>
        <w:rPr>
          <w:rFonts w:ascii="Times New Roman" w:hAnsi="Times New Roman" w:cs="Times New Roman"/>
        </w:rPr>
      </w:pPr>
      <w:r w:rsidRPr="00A22E9D">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430FDD99" wp14:editId="7FD2D835">
                <wp:simplePos x="0" y="0"/>
                <wp:positionH relativeFrom="column">
                  <wp:posOffset>-9525</wp:posOffset>
                </wp:positionH>
                <wp:positionV relativeFrom="paragraph">
                  <wp:posOffset>-19050</wp:posOffset>
                </wp:positionV>
                <wp:extent cx="6057900" cy="5057775"/>
                <wp:effectExtent l="0" t="0" r="19050" b="28575"/>
                <wp:wrapNone/>
                <wp:docPr id="628772682" name="Rectangle 2"/>
                <wp:cNvGraphicFramePr/>
                <a:graphic xmlns:a="http://schemas.openxmlformats.org/drawingml/2006/main">
                  <a:graphicData uri="http://schemas.microsoft.com/office/word/2010/wordprocessingShape">
                    <wps:wsp>
                      <wps:cNvSpPr/>
                      <wps:spPr>
                        <a:xfrm>
                          <a:off x="0" y="0"/>
                          <a:ext cx="6057900" cy="50577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A50F6" id="Rectangle 2" o:spid="_x0000_s1026" style="position:absolute;margin-left:-.75pt;margin-top:-1.5pt;width:477pt;height:39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" filled="f" strokecolor="#1f3763 [1604]" strokeweight="1pt"/>
            </w:pict>
          </mc:Fallback>
        </mc:AlternateContent>
      </w:r>
      <w:r w:rsidR="00197E64" w:rsidRPr="00A22E9D">
        <w:rPr>
          <w:rFonts w:ascii="Times New Roman" w:hAnsi="Times New Roman" w:cs="Times New Roman"/>
          <w:noProof/>
        </w:rPr>
        <w:drawing>
          <wp:inline distT="0" distB="0" distL="0" distR="0" wp14:anchorId="4FB6EB5F" wp14:editId="2C81ADF7">
            <wp:extent cx="6019800" cy="5019675"/>
            <wp:effectExtent l="0" t="0" r="0" b="9525"/>
            <wp:docPr id="1678498650" name="Chart 1">
              <a:extLst xmlns:a="http://schemas.openxmlformats.org/drawingml/2006/main">
                <a:ext uri="{FF2B5EF4-FFF2-40B4-BE49-F238E27FC236}">
                  <a16:creationId xmlns:a16="http://schemas.microsoft.com/office/drawing/2014/main" id="{C9AD4E56-E4FA-E8D7-867E-EF451D2C04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E836AFA" w14:textId="35FAECD2" w:rsidR="008B40B9" w:rsidRPr="00A22E9D" w:rsidRDefault="00B05E4C" w:rsidP="00CA4B8F">
      <w:pPr>
        <w:pStyle w:val="Caption"/>
        <w:spacing w:line="480" w:lineRule="auto"/>
        <w:rPr>
          <w:rFonts w:ascii="Times New Roman" w:hAnsi="Times New Roman" w:cs="Times New Roman"/>
          <w:sz w:val="24"/>
          <w:szCs w:val="24"/>
        </w:rPr>
      </w:pPr>
      <w:r w:rsidRPr="00A22E9D">
        <w:rPr>
          <w:rFonts w:ascii="Times New Roman" w:hAnsi="Times New Roman" w:cs="Times New Roman"/>
          <w:sz w:val="24"/>
          <w:szCs w:val="24"/>
        </w:rPr>
        <w:t xml:space="preserve">Figure </w:t>
      </w:r>
      <w:r w:rsidR="00766B4C" w:rsidRPr="00A22E9D">
        <w:rPr>
          <w:rFonts w:ascii="Times New Roman" w:hAnsi="Times New Roman" w:cs="Times New Roman"/>
          <w:sz w:val="24"/>
          <w:szCs w:val="24"/>
        </w:rPr>
        <w:fldChar w:fldCharType="begin"/>
      </w:r>
      <w:r w:rsidR="00766B4C" w:rsidRPr="00A22E9D">
        <w:rPr>
          <w:rFonts w:ascii="Times New Roman" w:hAnsi="Times New Roman" w:cs="Times New Roman"/>
          <w:sz w:val="24"/>
          <w:szCs w:val="24"/>
        </w:rPr>
        <w:instrText xml:space="preserve"> NUMPAGES  \# "4.4" </w:instrText>
      </w:r>
      <w:r w:rsidR="00766B4C"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4</w:t>
      </w:r>
      <w:r w:rsidR="00766B4C"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Percentage chemo suppression of Plasmodium </w:t>
      </w:r>
      <w:proofErr w:type="spellStart"/>
      <w:r w:rsidRPr="00A22E9D">
        <w:rPr>
          <w:rFonts w:ascii="Times New Roman" w:hAnsi="Times New Roman" w:cs="Times New Roman"/>
          <w:sz w:val="24"/>
          <w:szCs w:val="24"/>
        </w:rPr>
        <w:t>berghei</w:t>
      </w:r>
      <w:proofErr w:type="spellEnd"/>
      <w:r w:rsidRPr="00A22E9D">
        <w:rPr>
          <w:rFonts w:ascii="Times New Roman" w:hAnsi="Times New Roman" w:cs="Times New Roman"/>
          <w:sz w:val="24"/>
          <w:szCs w:val="24"/>
        </w:rPr>
        <w:t xml:space="preserve"> in mice treated with test compound at different doses</w:t>
      </w:r>
    </w:p>
    <w:p w14:paraId="1D52997D" w14:textId="77777777" w:rsidR="004504DD" w:rsidRDefault="004504DD">
      <w:pPr>
        <w:rPr>
          <w:rFonts w:ascii="Times New Roman" w:hAnsi="Times New Roman" w:cs="Times New Roman"/>
          <w:sz w:val="24"/>
          <w:szCs w:val="24"/>
        </w:rPr>
      </w:pPr>
      <w:r>
        <w:rPr>
          <w:rFonts w:ascii="Times New Roman" w:hAnsi="Times New Roman" w:cs="Times New Roman"/>
          <w:sz w:val="24"/>
          <w:szCs w:val="24"/>
        </w:rPr>
        <w:br w:type="page"/>
      </w:r>
    </w:p>
    <w:p w14:paraId="6194907E" w14:textId="1F2303B9" w:rsidR="008F005B" w:rsidRPr="00A22E9D" w:rsidRDefault="008F005B"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The graph shows the percent chemo</w:t>
      </w:r>
      <w:r w:rsidR="00903CC2" w:rsidRPr="00A22E9D">
        <w:rPr>
          <w:rFonts w:ascii="Times New Roman" w:hAnsi="Times New Roman" w:cs="Times New Roman"/>
          <w:sz w:val="24"/>
          <w:szCs w:val="24"/>
        </w:rPr>
        <w:t>-</w:t>
      </w:r>
      <w:r w:rsidRPr="00A22E9D">
        <w:rPr>
          <w:rFonts w:ascii="Times New Roman" w:hAnsi="Times New Roman" w:cs="Times New Roman"/>
          <w:sz w:val="24"/>
          <w:szCs w:val="24"/>
        </w:rPr>
        <w:t xml:space="preserve">suppression of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 in mice treated with the test compound at different doses. Data were mean value of chemo</w:t>
      </w:r>
      <w:r w:rsidR="00903CC2" w:rsidRPr="00A22E9D">
        <w:rPr>
          <w:rFonts w:ascii="Times New Roman" w:hAnsi="Times New Roman" w:cs="Times New Roman"/>
          <w:sz w:val="24"/>
          <w:szCs w:val="24"/>
        </w:rPr>
        <w:t>-</w:t>
      </w:r>
      <w:r w:rsidRPr="00A22E9D">
        <w:rPr>
          <w:rFonts w:ascii="Times New Roman" w:hAnsi="Times New Roman" w:cs="Times New Roman"/>
          <w:sz w:val="24"/>
          <w:szCs w:val="24"/>
        </w:rPr>
        <w:t>suppression calculated as stated in the method section</w:t>
      </w:r>
      <w:r w:rsidR="00903CC2" w:rsidRPr="00A22E9D">
        <w:rPr>
          <w:rFonts w:ascii="Times New Roman" w:hAnsi="Times New Roman" w:cs="Times New Roman"/>
          <w:sz w:val="24"/>
          <w:szCs w:val="24"/>
        </w:rPr>
        <w:t>.</w:t>
      </w:r>
    </w:p>
    <w:p w14:paraId="67EC517F" w14:textId="658F1289" w:rsidR="008F005B" w:rsidRPr="00A22E9D" w:rsidRDefault="008F005B"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Treatment with the test compound at all doses tested resulted in reduction in parasit</w:t>
      </w:r>
      <w:r w:rsidR="00341138" w:rsidRPr="00A22E9D">
        <w:rPr>
          <w:rFonts w:ascii="Times New Roman" w:hAnsi="Times New Roman" w:cs="Times New Roman"/>
          <w:sz w:val="24"/>
          <w:szCs w:val="24"/>
        </w:rPr>
        <w:t>a</w:t>
      </w:r>
      <w:r w:rsidRPr="00A22E9D">
        <w:rPr>
          <w:rFonts w:ascii="Times New Roman" w:hAnsi="Times New Roman" w:cs="Times New Roman"/>
          <w:sz w:val="24"/>
          <w:szCs w:val="24"/>
        </w:rPr>
        <w:t>emia levels. The highest dose of the test compound (25 mg/kg) showed the highest level of chemo suppression (82.35%). The present study demonstrates that the test compound has significant chemo</w:t>
      </w:r>
      <w:r w:rsidR="00903CC2" w:rsidRPr="00A22E9D">
        <w:rPr>
          <w:rFonts w:ascii="Times New Roman" w:hAnsi="Times New Roman" w:cs="Times New Roman"/>
          <w:sz w:val="24"/>
          <w:szCs w:val="24"/>
        </w:rPr>
        <w:t>-</w:t>
      </w:r>
      <w:r w:rsidRPr="00A22E9D">
        <w:rPr>
          <w:rFonts w:ascii="Times New Roman" w:hAnsi="Times New Roman" w:cs="Times New Roman"/>
          <w:sz w:val="24"/>
          <w:szCs w:val="24"/>
        </w:rPr>
        <w:t xml:space="preserve">suppressive activity against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 in mice. The highest dose of DHI tested (25 mg/kg) showed great efficacy. These findings suggest that the compound has potential as an alternative or complementary treatment for malaria. However, further studies are needed to determine the safety and efficacy of the compound in humans, and to explore its mechanism of action.</w:t>
      </w:r>
    </w:p>
    <w:p w14:paraId="7FB5A900" w14:textId="1FDC3F75" w:rsidR="008B40B9" w:rsidRPr="00A22E9D" w:rsidRDefault="008B40B9" w:rsidP="00CA4B8F">
      <w:pPr>
        <w:spacing w:line="480" w:lineRule="auto"/>
        <w:rPr>
          <w:rFonts w:ascii="Times New Roman" w:hAnsi="Times New Roman" w:cs="Times New Roman"/>
        </w:rPr>
      </w:pPr>
    </w:p>
    <w:p w14:paraId="0E2B05FD" w14:textId="77777777" w:rsidR="00F85422" w:rsidRDefault="00F85422">
      <w:pPr>
        <w:rPr>
          <w:rFonts w:ascii="Times New Roman" w:hAnsi="Times New Roman" w:cs="Times New Roman"/>
        </w:rPr>
      </w:pPr>
      <w:r>
        <w:rPr>
          <w:rFonts w:ascii="Times New Roman" w:hAnsi="Times New Roman" w:cs="Times New Roman"/>
        </w:rPr>
        <w:br w:type="page"/>
      </w:r>
    </w:p>
    <w:p w14:paraId="37275A8A" w14:textId="5D2C7901" w:rsidR="00100CBD" w:rsidRPr="00A22E9D" w:rsidRDefault="00AF4B04" w:rsidP="00CA4B8F">
      <w:pPr>
        <w:keepNext/>
        <w:spacing w:line="480" w:lineRule="auto"/>
        <w:rPr>
          <w:rFonts w:ascii="Times New Roman" w:hAnsi="Times New Roman" w:cs="Times New Roman"/>
        </w:rPr>
      </w:pPr>
      <w:r w:rsidRPr="00A22E9D">
        <w:rPr>
          <w:rFonts w:ascii="Times New Roman" w:hAnsi="Times New Roman" w:cs="Times New Roman"/>
          <w:noProof/>
        </w:rPr>
        <w:lastRenderedPageBreak/>
        <mc:AlternateContent>
          <mc:Choice Requires="wps">
            <w:drawing>
              <wp:anchor distT="0" distB="0" distL="114300" distR="114300" simplePos="0" relativeHeight="251664384" behindDoc="0" locked="0" layoutInCell="1" allowOverlap="1" wp14:anchorId="0FEB75D7" wp14:editId="2C99138F">
                <wp:simplePos x="0" y="0"/>
                <wp:positionH relativeFrom="margin">
                  <wp:align>left</wp:align>
                </wp:positionH>
                <wp:positionV relativeFrom="paragraph">
                  <wp:posOffset>0</wp:posOffset>
                </wp:positionV>
                <wp:extent cx="6305550" cy="4962525"/>
                <wp:effectExtent l="0" t="0" r="19050" b="28575"/>
                <wp:wrapNone/>
                <wp:docPr id="98457917" name="Rectangle 3"/>
                <wp:cNvGraphicFramePr/>
                <a:graphic xmlns:a="http://schemas.openxmlformats.org/drawingml/2006/main">
                  <a:graphicData uri="http://schemas.microsoft.com/office/word/2010/wordprocessingShape">
                    <wps:wsp>
                      <wps:cNvSpPr/>
                      <wps:spPr>
                        <a:xfrm>
                          <a:off x="0" y="0"/>
                          <a:ext cx="6305550" cy="49625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05DBE" id="Rectangle 3" o:spid="_x0000_s1026" style="position:absolute;margin-left:0;margin-top:0;width:496.5pt;height:390.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" filled="f" strokecolor="#1f3763 [1604]" strokeweight="1pt">
                <w10:wrap anchorx="margin"/>
              </v:rect>
            </w:pict>
          </mc:Fallback>
        </mc:AlternateContent>
      </w:r>
      <w:r w:rsidR="00E12A91" w:rsidRPr="00A22E9D">
        <w:rPr>
          <w:rFonts w:ascii="Times New Roman" w:hAnsi="Times New Roman" w:cs="Times New Roman"/>
          <w:noProof/>
        </w:rPr>
        <w:drawing>
          <wp:inline distT="0" distB="0" distL="0" distR="0" wp14:anchorId="6F28E124" wp14:editId="0C05F15C">
            <wp:extent cx="6267450" cy="4962525"/>
            <wp:effectExtent l="0" t="0" r="0" b="9525"/>
            <wp:docPr id="40235675" name="Chart 1">
              <a:extLst xmlns:a="http://schemas.openxmlformats.org/drawingml/2006/main">
                <a:ext uri="{FF2B5EF4-FFF2-40B4-BE49-F238E27FC236}">
                  <a16:creationId xmlns:a16="http://schemas.microsoft.com/office/drawing/2014/main" id="{FAFF7D5C-CC52-C9F2-D4B6-958368F546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F7B2A5E" w14:textId="4866D28E" w:rsidR="00AE34F4" w:rsidRPr="00A22E9D" w:rsidRDefault="00100CBD" w:rsidP="00CA4B8F">
      <w:pPr>
        <w:pStyle w:val="Caption"/>
        <w:spacing w:line="480" w:lineRule="auto"/>
        <w:rPr>
          <w:rFonts w:ascii="Times New Roman" w:hAnsi="Times New Roman" w:cs="Times New Roman"/>
          <w:sz w:val="24"/>
          <w:szCs w:val="24"/>
        </w:rPr>
      </w:pPr>
      <w:r w:rsidRPr="00A22E9D">
        <w:rPr>
          <w:rFonts w:ascii="Times New Roman" w:hAnsi="Times New Roman" w:cs="Times New Roman"/>
          <w:sz w:val="24"/>
          <w:szCs w:val="24"/>
        </w:rPr>
        <w:t xml:space="preserve">Figure </w:t>
      </w:r>
      <w:r w:rsidR="00766B4C" w:rsidRPr="00A22E9D">
        <w:rPr>
          <w:rFonts w:ascii="Times New Roman" w:hAnsi="Times New Roman" w:cs="Times New Roman"/>
          <w:sz w:val="24"/>
          <w:szCs w:val="24"/>
        </w:rPr>
        <w:fldChar w:fldCharType="begin"/>
      </w:r>
      <w:r w:rsidR="00766B4C" w:rsidRPr="00A22E9D">
        <w:rPr>
          <w:rFonts w:ascii="Times New Roman" w:hAnsi="Times New Roman" w:cs="Times New Roman"/>
          <w:sz w:val="24"/>
          <w:szCs w:val="24"/>
        </w:rPr>
        <w:instrText xml:space="preserve"> NUMPAGES  \# "4.5" </w:instrText>
      </w:r>
      <w:r w:rsidR="00766B4C"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5</w:t>
      </w:r>
      <w:r w:rsidR="00766B4C"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The graph represents the percent parasit</w:t>
      </w:r>
      <w:r w:rsidR="00766B4C" w:rsidRPr="00A22E9D">
        <w:rPr>
          <w:rFonts w:ascii="Times New Roman" w:hAnsi="Times New Roman" w:cs="Times New Roman"/>
          <w:sz w:val="24"/>
          <w:szCs w:val="24"/>
        </w:rPr>
        <w:t>a</w:t>
      </w:r>
      <w:r w:rsidRPr="00A22E9D">
        <w:rPr>
          <w:rFonts w:ascii="Times New Roman" w:hAnsi="Times New Roman" w:cs="Times New Roman"/>
          <w:sz w:val="24"/>
          <w:szCs w:val="24"/>
        </w:rPr>
        <w:t>emia and percent chemo</w:t>
      </w:r>
      <w:r w:rsidR="00766B4C" w:rsidRPr="00A22E9D">
        <w:rPr>
          <w:rFonts w:ascii="Times New Roman" w:hAnsi="Times New Roman" w:cs="Times New Roman"/>
          <w:sz w:val="24"/>
          <w:szCs w:val="24"/>
        </w:rPr>
        <w:t>-</w:t>
      </w:r>
      <w:r w:rsidRPr="00A22E9D">
        <w:rPr>
          <w:rFonts w:ascii="Times New Roman" w:hAnsi="Times New Roman" w:cs="Times New Roman"/>
          <w:sz w:val="24"/>
          <w:szCs w:val="24"/>
        </w:rPr>
        <w:t>suppression in mice infected with malaria parasites and treated with different drugs</w:t>
      </w:r>
    </w:p>
    <w:p w14:paraId="1FFF1E36" w14:textId="77777777" w:rsidR="00F85422" w:rsidRDefault="00F85422">
      <w:pPr>
        <w:rPr>
          <w:rFonts w:ascii="Times New Roman" w:hAnsi="Times New Roman" w:cs="Times New Roman"/>
          <w:bCs/>
          <w:sz w:val="24"/>
          <w:szCs w:val="24"/>
        </w:rPr>
      </w:pPr>
      <w:r>
        <w:rPr>
          <w:rFonts w:ascii="Times New Roman" w:hAnsi="Times New Roman" w:cs="Times New Roman"/>
          <w:bCs/>
          <w:sz w:val="24"/>
          <w:szCs w:val="24"/>
        </w:rPr>
        <w:br w:type="page"/>
      </w:r>
    </w:p>
    <w:p w14:paraId="533CC73D" w14:textId="23918098" w:rsidR="00100CBD" w:rsidRPr="00A22E9D" w:rsidRDefault="00B81AD8" w:rsidP="00CA4B8F">
      <w:pPr>
        <w:spacing w:line="480" w:lineRule="auto"/>
        <w:ind w:firstLine="720"/>
        <w:rPr>
          <w:rFonts w:ascii="Times New Roman" w:hAnsi="Times New Roman" w:cs="Times New Roman"/>
        </w:rPr>
      </w:pPr>
      <w:r w:rsidRPr="00A22E9D">
        <w:rPr>
          <w:rFonts w:ascii="Times New Roman" w:hAnsi="Times New Roman" w:cs="Times New Roman"/>
          <w:bCs/>
          <w:sz w:val="24"/>
          <w:szCs w:val="24"/>
        </w:rPr>
        <w:lastRenderedPageBreak/>
        <w:t>Treatment with the test compound at 5 mg/kg, 10 mg/kg, and 25 mg/kg led to 59.02%, 56.27%, and 82.35% chemo</w:t>
      </w:r>
      <w:r w:rsidR="00903CC2" w:rsidRPr="00A22E9D">
        <w:rPr>
          <w:rFonts w:ascii="Times New Roman" w:hAnsi="Times New Roman" w:cs="Times New Roman"/>
          <w:bCs/>
          <w:sz w:val="24"/>
          <w:szCs w:val="24"/>
        </w:rPr>
        <w:t>-</w:t>
      </w:r>
      <w:r w:rsidRPr="00A22E9D">
        <w:rPr>
          <w:rFonts w:ascii="Times New Roman" w:hAnsi="Times New Roman" w:cs="Times New Roman"/>
          <w:bCs/>
          <w:sz w:val="24"/>
          <w:szCs w:val="24"/>
        </w:rPr>
        <w:t>suppression, respectively. The corresponding percent parasit</w:t>
      </w:r>
      <w:r w:rsidR="00341138" w:rsidRPr="00A22E9D">
        <w:rPr>
          <w:rFonts w:ascii="Times New Roman" w:hAnsi="Times New Roman" w:cs="Times New Roman"/>
          <w:bCs/>
          <w:sz w:val="24"/>
          <w:szCs w:val="24"/>
        </w:rPr>
        <w:t>a</w:t>
      </w:r>
      <w:r w:rsidRPr="00A22E9D">
        <w:rPr>
          <w:rFonts w:ascii="Times New Roman" w:hAnsi="Times New Roman" w:cs="Times New Roman"/>
          <w:bCs/>
          <w:sz w:val="24"/>
          <w:szCs w:val="24"/>
        </w:rPr>
        <w:t>emia for each treatment was 0.7%, 0.74%, and 0.29%, respectively</w:t>
      </w:r>
      <w:r w:rsidR="00E12A91" w:rsidRPr="00A22E9D">
        <w:rPr>
          <w:rFonts w:ascii="Times New Roman" w:hAnsi="Times New Roman" w:cs="Times New Roman"/>
          <w:bCs/>
          <w:sz w:val="24"/>
          <w:szCs w:val="24"/>
        </w:rPr>
        <w:t xml:space="preserve"> (with a scale of times 10 in the graph)</w:t>
      </w:r>
      <w:r w:rsidRPr="00A22E9D">
        <w:rPr>
          <w:rFonts w:ascii="Times New Roman" w:hAnsi="Times New Roman" w:cs="Times New Roman"/>
          <w:bCs/>
          <w:sz w:val="24"/>
          <w:szCs w:val="24"/>
        </w:rPr>
        <w:t>. These results demonstrate a dose-dependent relationship between the drugs and both parasit</w:t>
      </w:r>
      <w:r w:rsidR="00766B4C" w:rsidRPr="00A22E9D">
        <w:rPr>
          <w:rFonts w:ascii="Times New Roman" w:hAnsi="Times New Roman" w:cs="Times New Roman"/>
          <w:bCs/>
          <w:sz w:val="24"/>
          <w:szCs w:val="24"/>
        </w:rPr>
        <w:t>a</w:t>
      </w:r>
      <w:r w:rsidRPr="00A22E9D">
        <w:rPr>
          <w:rFonts w:ascii="Times New Roman" w:hAnsi="Times New Roman" w:cs="Times New Roman"/>
          <w:bCs/>
          <w:sz w:val="24"/>
          <w:szCs w:val="24"/>
        </w:rPr>
        <w:t>emia and chemo</w:t>
      </w:r>
      <w:r w:rsidR="00766B4C" w:rsidRPr="00A22E9D">
        <w:rPr>
          <w:rFonts w:ascii="Times New Roman" w:hAnsi="Times New Roman" w:cs="Times New Roman"/>
          <w:bCs/>
          <w:sz w:val="24"/>
          <w:szCs w:val="24"/>
        </w:rPr>
        <w:t>-</w:t>
      </w:r>
      <w:r w:rsidRPr="00A22E9D">
        <w:rPr>
          <w:rFonts w:ascii="Times New Roman" w:hAnsi="Times New Roman" w:cs="Times New Roman"/>
          <w:bCs/>
          <w:sz w:val="24"/>
          <w:szCs w:val="24"/>
        </w:rPr>
        <w:t>suppression in mice infected with malaria parasites.</w:t>
      </w:r>
    </w:p>
    <w:p w14:paraId="599ABB3C" w14:textId="77777777" w:rsidR="00100CBD" w:rsidRPr="00A22E9D" w:rsidRDefault="00100CBD" w:rsidP="00CA4B8F">
      <w:pPr>
        <w:spacing w:line="480" w:lineRule="auto"/>
        <w:rPr>
          <w:rFonts w:ascii="Times New Roman" w:hAnsi="Times New Roman" w:cs="Times New Roman"/>
        </w:rPr>
      </w:pPr>
    </w:p>
    <w:p w14:paraId="69A3BACC" w14:textId="77777777" w:rsidR="00FD67C8" w:rsidRDefault="00FD67C8">
      <w:pPr>
        <w:rPr>
          <w:rFonts w:ascii="Times New Roman" w:hAnsi="Times New Roman" w:cs="Times New Roman"/>
          <w:i/>
          <w:iCs/>
          <w:color w:val="44546A" w:themeColor="text2"/>
          <w:sz w:val="24"/>
          <w:szCs w:val="24"/>
        </w:rPr>
      </w:pPr>
      <w:r>
        <w:rPr>
          <w:rFonts w:ascii="Times New Roman" w:hAnsi="Times New Roman" w:cs="Times New Roman"/>
          <w:sz w:val="24"/>
          <w:szCs w:val="24"/>
        </w:rPr>
        <w:br w:type="page"/>
      </w:r>
    </w:p>
    <w:p w14:paraId="209A9D55" w14:textId="693231AC" w:rsidR="006F3671" w:rsidRPr="00A22E9D" w:rsidRDefault="006F3671" w:rsidP="00CA4B8F">
      <w:pPr>
        <w:pStyle w:val="Caption"/>
        <w:keepNext/>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lastRenderedPageBreak/>
        <w:t xml:space="preserve">Table </w:t>
      </w:r>
      <w:r w:rsidR="00766B4C" w:rsidRPr="00A22E9D">
        <w:rPr>
          <w:rFonts w:ascii="Times New Roman" w:hAnsi="Times New Roman" w:cs="Times New Roman"/>
          <w:sz w:val="24"/>
          <w:szCs w:val="24"/>
        </w:rPr>
        <w:fldChar w:fldCharType="begin"/>
      </w:r>
      <w:r w:rsidR="00766B4C" w:rsidRPr="00A22E9D">
        <w:rPr>
          <w:rFonts w:ascii="Times New Roman" w:hAnsi="Times New Roman" w:cs="Times New Roman"/>
          <w:sz w:val="24"/>
          <w:szCs w:val="24"/>
        </w:rPr>
        <w:instrText xml:space="preserve"> NUMPAGES  \# "4.1" </w:instrText>
      </w:r>
      <w:r w:rsidR="00766B4C"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1</w:t>
      </w:r>
      <w:r w:rsidR="00766B4C" w:rsidRPr="00A22E9D">
        <w:rPr>
          <w:rFonts w:ascii="Times New Roman" w:hAnsi="Times New Roman" w:cs="Times New Roman"/>
          <w:sz w:val="24"/>
          <w:szCs w:val="24"/>
        </w:rPr>
        <w:fldChar w:fldCharType="end"/>
      </w:r>
      <w:r w:rsidR="000275F2" w:rsidRPr="00A22E9D">
        <w:rPr>
          <w:rFonts w:ascii="Times New Roman" w:hAnsi="Times New Roman" w:cs="Times New Roman"/>
          <w:sz w:val="24"/>
          <w:szCs w:val="24"/>
        </w:rPr>
        <w:t xml:space="preserve"> </w:t>
      </w:r>
      <w:r w:rsidRPr="00A22E9D">
        <w:rPr>
          <w:rFonts w:ascii="Times New Roman" w:hAnsi="Times New Roman" w:cs="Times New Roman"/>
          <w:sz w:val="24"/>
          <w:szCs w:val="24"/>
        </w:rPr>
        <w:t>Chemo suppression Data</w:t>
      </w:r>
    </w:p>
    <w:tbl>
      <w:tblPr>
        <w:tblStyle w:val="TableGrid"/>
        <w:tblpPr w:leftFromText="180" w:rightFromText="180" w:vertAnchor="text" w:horzAnchor="margin" w:tblpY="-74"/>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165"/>
        <w:gridCol w:w="2165"/>
        <w:gridCol w:w="2753"/>
      </w:tblGrid>
      <w:tr w:rsidR="006F3671" w:rsidRPr="00A22E9D" w14:paraId="4D469856" w14:textId="77777777" w:rsidTr="00F01840">
        <w:trPr>
          <w:trHeight w:val="255"/>
        </w:trPr>
        <w:tc>
          <w:tcPr>
            <w:tcW w:w="2165" w:type="dxa"/>
          </w:tcPr>
          <w:p w14:paraId="1A37ADB6"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b/>
                <w:bCs/>
                <w:sz w:val="24"/>
                <w:szCs w:val="24"/>
                <w:lang w:val="en-US"/>
              </w:rPr>
              <w:t>Dose</w:t>
            </w:r>
          </w:p>
        </w:tc>
        <w:tc>
          <w:tcPr>
            <w:tcW w:w="2165" w:type="dxa"/>
          </w:tcPr>
          <w:p w14:paraId="650FE5B3"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b/>
                <w:bCs/>
                <w:sz w:val="24"/>
                <w:szCs w:val="24"/>
                <w:lang w:val="en-US"/>
              </w:rPr>
              <w:t>% Parasitemia</w:t>
            </w:r>
          </w:p>
        </w:tc>
        <w:tc>
          <w:tcPr>
            <w:tcW w:w="2753" w:type="dxa"/>
          </w:tcPr>
          <w:p w14:paraId="2DEBE1EA" w14:textId="4B62675C"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b/>
                <w:bCs/>
                <w:sz w:val="24"/>
                <w:szCs w:val="24"/>
                <w:lang w:val="en-US"/>
              </w:rPr>
              <w:t>Chemo</w:t>
            </w:r>
            <w:r w:rsidR="00903CC2" w:rsidRPr="00A22E9D">
              <w:rPr>
                <w:rFonts w:ascii="Times New Roman" w:hAnsi="Times New Roman" w:cs="Times New Roman"/>
                <w:b/>
                <w:bCs/>
                <w:sz w:val="24"/>
                <w:szCs w:val="24"/>
                <w:lang w:val="en-US"/>
              </w:rPr>
              <w:t>-</w:t>
            </w:r>
            <w:r w:rsidRPr="00A22E9D">
              <w:rPr>
                <w:rFonts w:ascii="Times New Roman" w:hAnsi="Times New Roman" w:cs="Times New Roman"/>
                <w:b/>
                <w:bCs/>
                <w:sz w:val="24"/>
                <w:szCs w:val="24"/>
                <w:lang w:val="en-US"/>
              </w:rPr>
              <w:t xml:space="preserve">suppression (%) </w:t>
            </w:r>
          </w:p>
        </w:tc>
      </w:tr>
      <w:tr w:rsidR="006F3671" w:rsidRPr="00A22E9D" w14:paraId="081D808E" w14:textId="77777777" w:rsidTr="00F01840">
        <w:trPr>
          <w:trHeight w:val="255"/>
        </w:trPr>
        <w:tc>
          <w:tcPr>
            <w:tcW w:w="2165" w:type="dxa"/>
          </w:tcPr>
          <w:p w14:paraId="284EFC47"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Negative Control</w:t>
            </w:r>
          </w:p>
        </w:tc>
        <w:tc>
          <w:tcPr>
            <w:tcW w:w="2165" w:type="dxa"/>
          </w:tcPr>
          <w:p w14:paraId="7930EBE2" w14:textId="2A86FD00"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1.70</w:t>
            </w:r>
          </w:p>
        </w:tc>
        <w:tc>
          <w:tcPr>
            <w:tcW w:w="2753" w:type="dxa"/>
          </w:tcPr>
          <w:p w14:paraId="64D630DD" w14:textId="6BD96A37" w:rsidR="006F3671" w:rsidRPr="00A22E9D" w:rsidRDefault="007C5C1B"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0.00</w:t>
            </w:r>
          </w:p>
        </w:tc>
      </w:tr>
      <w:tr w:rsidR="006F3671" w:rsidRPr="00A22E9D" w14:paraId="1A1052FD" w14:textId="77777777" w:rsidTr="00F01840">
        <w:trPr>
          <w:trHeight w:val="255"/>
        </w:trPr>
        <w:tc>
          <w:tcPr>
            <w:tcW w:w="2165" w:type="dxa"/>
          </w:tcPr>
          <w:p w14:paraId="6ED97B22"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Chloroquine</w:t>
            </w:r>
          </w:p>
        </w:tc>
        <w:tc>
          <w:tcPr>
            <w:tcW w:w="2165" w:type="dxa"/>
          </w:tcPr>
          <w:p w14:paraId="2855C65B" w14:textId="6146A93D" w:rsidR="006F3671" w:rsidRPr="00A22E9D" w:rsidRDefault="007C5C1B"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1.4</w:t>
            </w:r>
          </w:p>
        </w:tc>
        <w:tc>
          <w:tcPr>
            <w:tcW w:w="2753" w:type="dxa"/>
          </w:tcPr>
          <w:p w14:paraId="7DA76666" w14:textId="3D68973F" w:rsidR="006F3671" w:rsidRPr="00A22E9D" w:rsidRDefault="007C5C1B"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19.3</w:t>
            </w:r>
          </w:p>
        </w:tc>
      </w:tr>
      <w:tr w:rsidR="006F3671" w:rsidRPr="00A22E9D" w14:paraId="40D585B2" w14:textId="77777777" w:rsidTr="00F01840">
        <w:trPr>
          <w:trHeight w:val="255"/>
        </w:trPr>
        <w:tc>
          <w:tcPr>
            <w:tcW w:w="2165" w:type="dxa"/>
          </w:tcPr>
          <w:p w14:paraId="7F4C782B"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5 mg/kg</w:t>
            </w:r>
          </w:p>
        </w:tc>
        <w:tc>
          <w:tcPr>
            <w:tcW w:w="2165" w:type="dxa"/>
          </w:tcPr>
          <w:p w14:paraId="33AAF5AB" w14:textId="27381F41"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0.70</w:t>
            </w:r>
          </w:p>
        </w:tc>
        <w:tc>
          <w:tcPr>
            <w:tcW w:w="2753" w:type="dxa"/>
          </w:tcPr>
          <w:p w14:paraId="409F7843"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59.02</w:t>
            </w:r>
          </w:p>
        </w:tc>
      </w:tr>
      <w:tr w:rsidR="006F3671" w:rsidRPr="00A22E9D" w14:paraId="2A200A1E" w14:textId="77777777" w:rsidTr="00F01840">
        <w:trPr>
          <w:trHeight w:val="255"/>
        </w:trPr>
        <w:tc>
          <w:tcPr>
            <w:tcW w:w="2165" w:type="dxa"/>
          </w:tcPr>
          <w:p w14:paraId="5A76D1F5"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10 mg/kg</w:t>
            </w:r>
          </w:p>
        </w:tc>
        <w:tc>
          <w:tcPr>
            <w:tcW w:w="2165" w:type="dxa"/>
          </w:tcPr>
          <w:p w14:paraId="1B618B1C" w14:textId="2340F8E6"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0.74</w:t>
            </w:r>
          </w:p>
        </w:tc>
        <w:tc>
          <w:tcPr>
            <w:tcW w:w="2753" w:type="dxa"/>
          </w:tcPr>
          <w:p w14:paraId="08226241"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56.27</w:t>
            </w:r>
          </w:p>
        </w:tc>
      </w:tr>
      <w:tr w:rsidR="006F3671" w:rsidRPr="00A22E9D" w14:paraId="2928ADAE" w14:textId="77777777" w:rsidTr="00F01840">
        <w:trPr>
          <w:trHeight w:val="255"/>
        </w:trPr>
        <w:tc>
          <w:tcPr>
            <w:tcW w:w="2165" w:type="dxa"/>
          </w:tcPr>
          <w:p w14:paraId="2A30E4B6"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25 mg/kg</w:t>
            </w:r>
          </w:p>
        </w:tc>
        <w:tc>
          <w:tcPr>
            <w:tcW w:w="2165" w:type="dxa"/>
          </w:tcPr>
          <w:p w14:paraId="30C2DC5B" w14:textId="2B175FC6"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0.29</w:t>
            </w:r>
          </w:p>
        </w:tc>
        <w:tc>
          <w:tcPr>
            <w:tcW w:w="2753" w:type="dxa"/>
          </w:tcPr>
          <w:p w14:paraId="3E8C586A" w14:textId="77777777" w:rsidR="006F3671" w:rsidRPr="00A22E9D" w:rsidRDefault="006F3671"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lang w:val="en-US"/>
              </w:rPr>
              <w:t>82.35</w:t>
            </w:r>
          </w:p>
        </w:tc>
      </w:tr>
    </w:tbl>
    <w:p w14:paraId="69C98A08" w14:textId="3A56BAA7" w:rsidR="006F3671" w:rsidRPr="00A22E9D" w:rsidRDefault="006F3671" w:rsidP="00CA4B8F">
      <w:pPr>
        <w:spacing w:line="480" w:lineRule="auto"/>
        <w:jc w:val="both"/>
        <w:rPr>
          <w:rFonts w:ascii="Times New Roman" w:hAnsi="Times New Roman" w:cs="Times New Roman"/>
          <w:sz w:val="24"/>
          <w:szCs w:val="24"/>
        </w:rPr>
      </w:pPr>
    </w:p>
    <w:p w14:paraId="2C4373A2" w14:textId="32B7D4F6" w:rsidR="006F3671" w:rsidRPr="00A22E9D" w:rsidRDefault="006F3671" w:rsidP="00CA4B8F">
      <w:pPr>
        <w:spacing w:line="480" w:lineRule="auto"/>
        <w:jc w:val="both"/>
        <w:rPr>
          <w:rFonts w:ascii="Times New Roman" w:hAnsi="Times New Roman" w:cs="Times New Roman"/>
          <w:sz w:val="24"/>
          <w:szCs w:val="24"/>
        </w:rPr>
      </w:pPr>
    </w:p>
    <w:p w14:paraId="5171A34E" w14:textId="0F92BB2F" w:rsidR="006F3671" w:rsidRPr="00A22E9D" w:rsidRDefault="006F3671" w:rsidP="00CA4B8F">
      <w:pPr>
        <w:spacing w:line="480" w:lineRule="auto"/>
        <w:jc w:val="both"/>
        <w:rPr>
          <w:rFonts w:ascii="Times New Roman" w:hAnsi="Times New Roman" w:cs="Times New Roman"/>
          <w:sz w:val="24"/>
          <w:szCs w:val="24"/>
        </w:rPr>
      </w:pPr>
    </w:p>
    <w:p w14:paraId="0B23B75E" w14:textId="77777777" w:rsidR="006F3671" w:rsidRPr="00A22E9D" w:rsidRDefault="006F3671" w:rsidP="00CA4B8F">
      <w:pPr>
        <w:spacing w:line="480" w:lineRule="auto"/>
        <w:jc w:val="both"/>
        <w:rPr>
          <w:rFonts w:ascii="Times New Roman" w:hAnsi="Times New Roman" w:cs="Times New Roman"/>
          <w:sz w:val="24"/>
          <w:szCs w:val="24"/>
        </w:rPr>
      </w:pPr>
    </w:p>
    <w:p w14:paraId="3FD4EC75" w14:textId="77777777" w:rsidR="000F4DE0" w:rsidRPr="00A22E9D" w:rsidRDefault="000F4DE0" w:rsidP="00CA4B8F">
      <w:pPr>
        <w:spacing w:line="480" w:lineRule="auto"/>
        <w:jc w:val="both"/>
        <w:rPr>
          <w:rFonts w:ascii="Times New Roman" w:hAnsi="Times New Roman" w:cs="Times New Roman"/>
          <w:sz w:val="24"/>
          <w:szCs w:val="24"/>
        </w:rPr>
      </w:pPr>
    </w:p>
    <w:p w14:paraId="5A9A98D7" w14:textId="77777777" w:rsidR="000F4DE0" w:rsidRPr="00A22E9D" w:rsidRDefault="000F4DE0" w:rsidP="00CA4B8F">
      <w:pPr>
        <w:spacing w:line="480" w:lineRule="auto"/>
        <w:jc w:val="both"/>
        <w:rPr>
          <w:rFonts w:ascii="Times New Roman" w:hAnsi="Times New Roman" w:cs="Times New Roman"/>
          <w:sz w:val="24"/>
          <w:szCs w:val="24"/>
        </w:rPr>
      </w:pPr>
    </w:p>
    <w:p w14:paraId="0C3A9BE2" w14:textId="77777777" w:rsidR="007848FF" w:rsidRDefault="007848FF">
      <w:pPr>
        <w:rPr>
          <w:rFonts w:ascii="Times New Roman" w:hAnsi="Times New Roman" w:cs="Times New Roman"/>
          <w:sz w:val="24"/>
          <w:szCs w:val="24"/>
        </w:rPr>
      </w:pPr>
      <w:r>
        <w:rPr>
          <w:rFonts w:ascii="Times New Roman" w:hAnsi="Times New Roman" w:cs="Times New Roman"/>
          <w:sz w:val="24"/>
          <w:szCs w:val="24"/>
        </w:rPr>
        <w:br w:type="page"/>
      </w:r>
    </w:p>
    <w:p w14:paraId="0FD0E30D" w14:textId="2C7128E5" w:rsidR="00B56FA8" w:rsidRPr="00A22E9D" w:rsidRDefault="00B56FA8"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Mortality was monitored daily and the number of days from the time of inoculation of the parasite up to death was recorded for each mouse in the treatment and control groups throughout the follow-up period. The mean survival time (MST) for each group was calculated using the following formula.</w:t>
      </w:r>
    </w:p>
    <w:p w14:paraId="3A15AFB9" w14:textId="77777777" w:rsidR="0072662B" w:rsidRPr="00A22E9D" w:rsidRDefault="00B56FA8"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MST=</w:t>
      </w:r>
      <w:r w:rsidR="002065A0" w:rsidRPr="00A22E9D">
        <w:rPr>
          <w:rFonts w:ascii="Times New Roman" w:eastAsiaTheme="minorEastAsia" w:hAnsi="Times New Roman" w:cs="Times New Roman"/>
          <w:sz w:val="24"/>
          <w:szCs w:val="24"/>
        </w:rPr>
        <w:t xml:space="preserve"> </w:t>
      </w:r>
      <m:oMath>
        <m:f>
          <m:fPr>
            <m:ctrlPr>
              <w:rPr>
                <w:rFonts w:ascii="Cambria Math" w:hAnsi="Cambria Math" w:cs="Times New Roman"/>
                <w:i/>
                <w:sz w:val="24"/>
                <w:szCs w:val="24"/>
              </w:rPr>
            </m:ctrlPr>
          </m:fPr>
          <m:num>
            <m:r>
              <m:rPr>
                <m:sty m:val="p"/>
              </m:rPr>
              <w:rPr>
                <w:rFonts w:ascii="Cambria Math" w:hAnsi="Cambria Math" w:cs="Times New Roman"/>
                <w:sz w:val="24"/>
                <w:szCs w:val="24"/>
              </w:rPr>
              <m:t>Sum of survival time (days) of all mice in a group</m:t>
            </m:r>
          </m:num>
          <m:den>
            <m:r>
              <m:rPr>
                <m:sty m:val="p"/>
              </m:rPr>
              <w:rPr>
                <w:rFonts w:ascii="Cambria Math" w:hAnsi="Cambria Math" w:cs="Times New Roman"/>
                <w:sz w:val="24"/>
                <w:szCs w:val="24"/>
              </w:rPr>
              <m:t xml:space="preserve">Total number of mice in that group </m:t>
            </m:r>
          </m:den>
        </m:f>
      </m:oMath>
      <w:r w:rsidR="002065A0" w:rsidRPr="00A22E9D">
        <w:rPr>
          <w:rFonts w:ascii="Times New Roman" w:hAnsi="Times New Roman" w:cs="Times New Roman"/>
          <w:sz w:val="24"/>
          <w:szCs w:val="24"/>
        </w:rPr>
        <w:t xml:space="preserve"> </w:t>
      </w:r>
    </w:p>
    <w:p w14:paraId="7E65EE19" w14:textId="77777777" w:rsidR="008163E6" w:rsidRDefault="008163E6">
      <w:pPr>
        <w:rPr>
          <w:rFonts w:ascii="Times New Roman" w:hAnsi="Times New Roman" w:cs="Times New Roman"/>
          <w:i/>
          <w:iCs/>
          <w:color w:val="44546A" w:themeColor="text2"/>
          <w:sz w:val="24"/>
          <w:szCs w:val="24"/>
        </w:rPr>
      </w:pPr>
      <w:r>
        <w:rPr>
          <w:rFonts w:ascii="Times New Roman" w:hAnsi="Times New Roman" w:cs="Times New Roman"/>
          <w:sz w:val="24"/>
          <w:szCs w:val="24"/>
        </w:rPr>
        <w:br w:type="page"/>
      </w:r>
    </w:p>
    <w:p w14:paraId="7C929DFD" w14:textId="5DDE4998" w:rsidR="00766B4C" w:rsidRPr="00A22E9D" w:rsidRDefault="00766B4C" w:rsidP="00CA4B8F">
      <w:pPr>
        <w:pStyle w:val="Caption"/>
        <w:keepNext/>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lastRenderedPageBreak/>
        <w:t xml:space="preserve">Table </w:t>
      </w:r>
      <w:r w:rsidRPr="00A22E9D">
        <w:rPr>
          <w:rFonts w:ascii="Times New Roman" w:hAnsi="Times New Roman" w:cs="Times New Roman"/>
          <w:sz w:val="24"/>
          <w:szCs w:val="24"/>
        </w:rPr>
        <w:fldChar w:fldCharType="begin"/>
      </w:r>
      <w:r w:rsidRPr="00A22E9D">
        <w:rPr>
          <w:rFonts w:ascii="Times New Roman" w:hAnsi="Times New Roman" w:cs="Times New Roman"/>
          <w:sz w:val="24"/>
          <w:szCs w:val="24"/>
        </w:rPr>
        <w:instrText xml:space="preserve"> NUMPAGES  \# "4.2" </w:instrText>
      </w:r>
      <w:r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2</w:t>
      </w:r>
      <w:r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Animal Survival Rate</w:t>
      </w:r>
    </w:p>
    <w:tbl>
      <w:tblPr>
        <w:tblStyle w:val="TableGrid"/>
        <w:tblW w:w="8642" w:type="dxa"/>
        <w:tblBorders>
          <w:left w:val="none" w:sz="0" w:space="0" w:color="auto"/>
          <w:right w:val="none" w:sz="0" w:space="0" w:color="auto"/>
          <w:insideV w:val="none" w:sz="0" w:space="0" w:color="auto"/>
        </w:tblBorders>
        <w:tblLook w:val="04A0" w:firstRow="1" w:lastRow="0" w:firstColumn="1" w:lastColumn="0" w:noHBand="0" w:noVBand="1"/>
      </w:tblPr>
      <w:tblGrid>
        <w:gridCol w:w="1277"/>
        <w:gridCol w:w="1296"/>
        <w:gridCol w:w="1296"/>
        <w:gridCol w:w="1296"/>
        <w:gridCol w:w="1296"/>
        <w:gridCol w:w="2181"/>
      </w:tblGrid>
      <w:tr w:rsidR="006D1DAE" w:rsidRPr="00A22E9D" w14:paraId="18929BCC" w14:textId="77777777" w:rsidTr="00F01840">
        <w:tc>
          <w:tcPr>
            <w:tcW w:w="1277" w:type="dxa"/>
            <w:vAlign w:val="bottom"/>
          </w:tcPr>
          <w:p w14:paraId="735F43B9" w14:textId="4A3A72A9" w:rsidR="006D1DAE" w:rsidRPr="00A22E9D" w:rsidRDefault="006D1DAE" w:rsidP="00CA4B8F">
            <w:pPr>
              <w:spacing w:line="480" w:lineRule="auto"/>
              <w:jc w:val="both"/>
              <w:rPr>
                <w:rFonts w:ascii="Times New Roman" w:hAnsi="Times New Roman" w:cs="Times New Roman"/>
                <w:sz w:val="24"/>
                <w:szCs w:val="24"/>
              </w:rPr>
            </w:pPr>
          </w:p>
        </w:tc>
        <w:tc>
          <w:tcPr>
            <w:tcW w:w="1296" w:type="dxa"/>
            <w:vAlign w:val="bottom"/>
          </w:tcPr>
          <w:p w14:paraId="28B60566" w14:textId="2FAFFF77"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ANIMAL1</w:t>
            </w:r>
          </w:p>
        </w:tc>
        <w:tc>
          <w:tcPr>
            <w:tcW w:w="1296" w:type="dxa"/>
            <w:vAlign w:val="bottom"/>
          </w:tcPr>
          <w:p w14:paraId="69F9D0D3" w14:textId="36177C4E"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ANIMAL2</w:t>
            </w:r>
          </w:p>
        </w:tc>
        <w:tc>
          <w:tcPr>
            <w:tcW w:w="1296" w:type="dxa"/>
            <w:vAlign w:val="bottom"/>
          </w:tcPr>
          <w:p w14:paraId="2FCD2664" w14:textId="6C763FD9"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ANIMAL3</w:t>
            </w:r>
          </w:p>
        </w:tc>
        <w:tc>
          <w:tcPr>
            <w:tcW w:w="1296" w:type="dxa"/>
            <w:vAlign w:val="bottom"/>
          </w:tcPr>
          <w:p w14:paraId="6C4687D8" w14:textId="561F743B"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ANIMAL4</w:t>
            </w:r>
          </w:p>
        </w:tc>
        <w:tc>
          <w:tcPr>
            <w:tcW w:w="2181" w:type="dxa"/>
            <w:vAlign w:val="bottom"/>
          </w:tcPr>
          <w:p w14:paraId="68D6482D" w14:textId="2E1A0B7B"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Mean Survival Time</w:t>
            </w:r>
          </w:p>
        </w:tc>
      </w:tr>
      <w:tr w:rsidR="006D1DAE" w:rsidRPr="00A22E9D" w14:paraId="387F963A" w14:textId="77777777" w:rsidTr="00F01840">
        <w:tc>
          <w:tcPr>
            <w:tcW w:w="1277" w:type="dxa"/>
            <w:vAlign w:val="bottom"/>
          </w:tcPr>
          <w:p w14:paraId="4B6FA179" w14:textId="22976D8B"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5mg/Kg</w:t>
            </w:r>
          </w:p>
        </w:tc>
        <w:tc>
          <w:tcPr>
            <w:tcW w:w="1296" w:type="dxa"/>
            <w:vAlign w:val="bottom"/>
          </w:tcPr>
          <w:p w14:paraId="149279EC" w14:textId="0DE84748"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15</w:t>
            </w:r>
          </w:p>
        </w:tc>
        <w:tc>
          <w:tcPr>
            <w:tcW w:w="1296" w:type="dxa"/>
            <w:vAlign w:val="bottom"/>
          </w:tcPr>
          <w:p w14:paraId="525C19D7" w14:textId="3E089593"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22</w:t>
            </w:r>
          </w:p>
        </w:tc>
        <w:tc>
          <w:tcPr>
            <w:tcW w:w="1296" w:type="dxa"/>
            <w:vAlign w:val="bottom"/>
          </w:tcPr>
          <w:p w14:paraId="32583568" w14:textId="0F7C6172"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19</w:t>
            </w:r>
          </w:p>
        </w:tc>
        <w:tc>
          <w:tcPr>
            <w:tcW w:w="1296" w:type="dxa"/>
            <w:vAlign w:val="bottom"/>
          </w:tcPr>
          <w:p w14:paraId="7D05AA9F" w14:textId="0FBAD859"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21</w:t>
            </w:r>
          </w:p>
        </w:tc>
        <w:tc>
          <w:tcPr>
            <w:tcW w:w="2181" w:type="dxa"/>
            <w:vAlign w:val="bottom"/>
          </w:tcPr>
          <w:p w14:paraId="5D6F9FC7" w14:textId="10978997"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19</w:t>
            </w:r>
          </w:p>
        </w:tc>
      </w:tr>
      <w:tr w:rsidR="006D1DAE" w:rsidRPr="00A22E9D" w14:paraId="0D6766FB" w14:textId="77777777" w:rsidTr="00F01840">
        <w:tc>
          <w:tcPr>
            <w:tcW w:w="1277" w:type="dxa"/>
            <w:vAlign w:val="bottom"/>
          </w:tcPr>
          <w:p w14:paraId="11B2FFC5" w14:textId="17E43DEE"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10mg/Kg</w:t>
            </w:r>
          </w:p>
        </w:tc>
        <w:tc>
          <w:tcPr>
            <w:tcW w:w="1296" w:type="dxa"/>
            <w:vAlign w:val="bottom"/>
          </w:tcPr>
          <w:p w14:paraId="1B0AF419" w14:textId="230360D6"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21</w:t>
            </w:r>
          </w:p>
        </w:tc>
        <w:tc>
          <w:tcPr>
            <w:tcW w:w="1296" w:type="dxa"/>
            <w:vAlign w:val="bottom"/>
          </w:tcPr>
          <w:p w14:paraId="0E431A28" w14:textId="6A5F0F0D"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24</w:t>
            </w:r>
          </w:p>
        </w:tc>
        <w:tc>
          <w:tcPr>
            <w:tcW w:w="1296" w:type="dxa"/>
            <w:vAlign w:val="bottom"/>
          </w:tcPr>
          <w:p w14:paraId="3F4F376A" w14:textId="31B2FE66"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21</w:t>
            </w:r>
          </w:p>
        </w:tc>
        <w:tc>
          <w:tcPr>
            <w:tcW w:w="1296" w:type="dxa"/>
            <w:vAlign w:val="bottom"/>
          </w:tcPr>
          <w:p w14:paraId="5D0DB0E7" w14:textId="0E0A8ACD"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1</w:t>
            </w:r>
          </w:p>
        </w:tc>
        <w:tc>
          <w:tcPr>
            <w:tcW w:w="2181" w:type="dxa"/>
            <w:vAlign w:val="bottom"/>
          </w:tcPr>
          <w:p w14:paraId="71486E20" w14:textId="20860FAB"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17</w:t>
            </w:r>
          </w:p>
        </w:tc>
      </w:tr>
      <w:tr w:rsidR="006D1DAE" w:rsidRPr="00A22E9D" w14:paraId="0D4EE226" w14:textId="77777777" w:rsidTr="00F01840">
        <w:tc>
          <w:tcPr>
            <w:tcW w:w="1277" w:type="dxa"/>
            <w:vAlign w:val="bottom"/>
          </w:tcPr>
          <w:p w14:paraId="52E6537F" w14:textId="40D8CC62"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25mg/Kg</w:t>
            </w:r>
          </w:p>
        </w:tc>
        <w:tc>
          <w:tcPr>
            <w:tcW w:w="1296" w:type="dxa"/>
            <w:vAlign w:val="bottom"/>
          </w:tcPr>
          <w:p w14:paraId="691E1556" w14:textId="53A6B6C0"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0</w:t>
            </w:r>
          </w:p>
        </w:tc>
        <w:tc>
          <w:tcPr>
            <w:tcW w:w="1296" w:type="dxa"/>
            <w:vAlign w:val="bottom"/>
          </w:tcPr>
          <w:p w14:paraId="42257B27" w14:textId="5BD16014"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30</w:t>
            </w:r>
          </w:p>
        </w:tc>
        <w:tc>
          <w:tcPr>
            <w:tcW w:w="1296" w:type="dxa"/>
            <w:vAlign w:val="bottom"/>
          </w:tcPr>
          <w:p w14:paraId="32F26B20" w14:textId="3AD65A6F"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30</w:t>
            </w:r>
          </w:p>
        </w:tc>
        <w:tc>
          <w:tcPr>
            <w:tcW w:w="1296" w:type="dxa"/>
            <w:vAlign w:val="bottom"/>
          </w:tcPr>
          <w:p w14:paraId="190469F1" w14:textId="457BA45A"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30</w:t>
            </w:r>
          </w:p>
        </w:tc>
        <w:tc>
          <w:tcPr>
            <w:tcW w:w="2181" w:type="dxa"/>
            <w:vAlign w:val="bottom"/>
          </w:tcPr>
          <w:p w14:paraId="596108AF" w14:textId="5213D43C"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23</w:t>
            </w:r>
          </w:p>
        </w:tc>
      </w:tr>
      <w:tr w:rsidR="006D1DAE" w:rsidRPr="00A22E9D" w14:paraId="61CA9C73" w14:textId="77777777" w:rsidTr="00F01840">
        <w:tc>
          <w:tcPr>
            <w:tcW w:w="1277" w:type="dxa"/>
            <w:vAlign w:val="bottom"/>
          </w:tcPr>
          <w:p w14:paraId="26468461" w14:textId="090DB547"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NC</w:t>
            </w:r>
          </w:p>
        </w:tc>
        <w:tc>
          <w:tcPr>
            <w:tcW w:w="1296" w:type="dxa"/>
            <w:vAlign w:val="bottom"/>
          </w:tcPr>
          <w:p w14:paraId="7A513608" w14:textId="7A6B8523"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16</w:t>
            </w:r>
          </w:p>
        </w:tc>
        <w:tc>
          <w:tcPr>
            <w:tcW w:w="1296" w:type="dxa"/>
            <w:vAlign w:val="bottom"/>
          </w:tcPr>
          <w:p w14:paraId="1892C4F9" w14:textId="55FBF16A"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23</w:t>
            </w:r>
          </w:p>
        </w:tc>
        <w:tc>
          <w:tcPr>
            <w:tcW w:w="1296" w:type="dxa"/>
            <w:vAlign w:val="bottom"/>
          </w:tcPr>
          <w:p w14:paraId="519B45DE" w14:textId="6737E441"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23</w:t>
            </w:r>
          </w:p>
        </w:tc>
        <w:tc>
          <w:tcPr>
            <w:tcW w:w="1296" w:type="dxa"/>
            <w:vAlign w:val="bottom"/>
          </w:tcPr>
          <w:p w14:paraId="4CD44571" w14:textId="11684D16" w:rsidR="006D1DAE" w:rsidRPr="00A22E9D" w:rsidRDefault="006D1DAE" w:rsidP="00CA4B8F">
            <w:pPr>
              <w:spacing w:line="480" w:lineRule="auto"/>
              <w:jc w:val="both"/>
              <w:rPr>
                <w:rFonts w:ascii="Times New Roman" w:hAnsi="Times New Roman" w:cs="Times New Roman"/>
                <w:sz w:val="24"/>
                <w:szCs w:val="24"/>
              </w:rPr>
            </w:pPr>
          </w:p>
        </w:tc>
        <w:tc>
          <w:tcPr>
            <w:tcW w:w="2181" w:type="dxa"/>
            <w:vAlign w:val="bottom"/>
          </w:tcPr>
          <w:p w14:paraId="0678DA31" w14:textId="1813A97F"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21</w:t>
            </w:r>
          </w:p>
        </w:tc>
      </w:tr>
      <w:tr w:rsidR="006D1DAE" w:rsidRPr="00A22E9D" w14:paraId="33357961" w14:textId="77777777" w:rsidTr="00F01840">
        <w:tc>
          <w:tcPr>
            <w:tcW w:w="1277" w:type="dxa"/>
            <w:vAlign w:val="bottom"/>
          </w:tcPr>
          <w:p w14:paraId="34E0DDDE" w14:textId="42EF82FA"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PC</w:t>
            </w:r>
          </w:p>
        </w:tc>
        <w:tc>
          <w:tcPr>
            <w:tcW w:w="1296" w:type="dxa"/>
            <w:vAlign w:val="bottom"/>
          </w:tcPr>
          <w:p w14:paraId="31AC4B51" w14:textId="42327CE6"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13</w:t>
            </w:r>
          </w:p>
        </w:tc>
        <w:tc>
          <w:tcPr>
            <w:tcW w:w="1296" w:type="dxa"/>
            <w:vAlign w:val="bottom"/>
          </w:tcPr>
          <w:p w14:paraId="39D228B6" w14:textId="0D4AFCD9"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30</w:t>
            </w:r>
          </w:p>
        </w:tc>
        <w:tc>
          <w:tcPr>
            <w:tcW w:w="1296" w:type="dxa"/>
            <w:vAlign w:val="bottom"/>
          </w:tcPr>
          <w:p w14:paraId="4E709021" w14:textId="38DBBCD4"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30</w:t>
            </w:r>
          </w:p>
        </w:tc>
        <w:tc>
          <w:tcPr>
            <w:tcW w:w="1296" w:type="dxa"/>
            <w:vAlign w:val="bottom"/>
          </w:tcPr>
          <w:p w14:paraId="4F561CCD" w14:textId="7234BAD8" w:rsidR="006D1DAE" w:rsidRPr="00A22E9D" w:rsidRDefault="006D1DAE" w:rsidP="00CA4B8F">
            <w:pPr>
              <w:spacing w:line="480" w:lineRule="auto"/>
              <w:jc w:val="both"/>
              <w:rPr>
                <w:rFonts w:ascii="Times New Roman" w:hAnsi="Times New Roman" w:cs="Times New Roman"/>
                <w:sz w:val="24"/>
                <w:szCs w:val="24"/>
              </w:rPr>
            </w:pPr>
          </w:p>
        </w:tc>
        <w:tc>
          <w:tcPr>
            <w:tcW w:w="2181" w:type="dxa"/>
            <w:vAlign w:val="bottom"/>
          </w:tcPr>
          <w:p w14:paraId="359BC402" w14:textId="2D3A7D5D" w:rsidR="006D1DAE" w:rsidRPr="00A22E9D" w:rsidRDefault="006D1DAE" w:rsidP="00CA4B8F">
            <w:pPr>
              <w:spacing w:line="480" w:lineRule="auto"/>
              <w:jc w:val="both"/>
              <w:rPr>
                <w:rFonts w:ascii="Times New Roman" w:hAnsi="Times New Roman" w:cs="Times New Roman"/>
                <w:sz w:val="24"/>
                <w:szCs w:val="24"/>
              </w:rPr>
            </w:pPr>
            <w:r w:rsidRPr="00A22E9D">
              <w:rPr>
                <w:rFonts w:ascii="Times New Roman" w:hAnsi="Times New Roman" w:cs="Times New Roman"/>
                <w:color w:val="000000"/>
                <w:sz w:val="24"/>
                <w:szCs w:val="24"/>
              </w:rPr>
              <w:t>24</w:t>
            </w:r>
          </w:p>
        </w:tc>
      </w:tr>
    </w:tbl>
    <w:p w14:paraId="729D4ED6" w14:textId="77777777" w:rsidR="00EB609E" w:rsidRPr="00A22E9D" w:rsidRDefault="00EB609E" w:rsidP="00CA4B8F">
      <w:pPr>
        <w:spacing w:line="480" w:lineRule="auto"/>
        <w:jc w:val="both"/>
        <w:rPr>
          <w:rFonts w:ascii="Times New Roman" w:hAnsi="Times New Roman" w:cs="Times New Roman"/>
          <w:bCs/>
          <w:sz w:val="24"/>
          <w:szCs w:val="24"/>
        </w:rPr>
      </w:pPr>
    </w:p>
    <w:p w14:paraId="0125311F" w14:textId="280ED18F" w:rsidR="000F0CE1" w:rsidRPr="00A22E9D" w:rsidRDefault="000F0CE1" w:rsidP="00CA4B8F">
      <w:pPr>
        <w:spacing w:line="480" w:lineRule="auto"/>
        <w:jc w:val="both"/>
        <w:rPr>
          <w:rFonts w:ascii="Times New Roman" w:hAnsi="Times New Roman" w:cs="Times New Roman"/>
          <w:bCs/>
          <w:sz w:val="24"/>
          <w:szCs w:val="24"/>
        </w:rPr>
      </w:pPr>
      <w:r w:rsidRPr="00A22E9D">
        <w:rPr>
          <w:rFonts w:ascii="Times New Roman" w:hAnsi="Times New Roman" w:cs="Times New Roman"/>
          <w:bCs/>
          <w:sz w:val="24"/>
          <w:szCs w:val="24"/>
        </w:rPr>
        <w:t>Table</w:t>
      </w:r>
      <w:r w:rsidR="00D54742" w:rsidRPr="00A22E9D">
        <w:rPr>
          <w:rFonts w:ascii="Times New Roman" w:hAnsi="Times New Roman" w:cs="Times New Roman"/>
          <w:bCs/>
          <w:sz w:val="24"/>
          <w:szCs w:val="24"/>
        </w:rPr>
        <w:t xml:space="preserve"> 4.3</w:t>
      </w:r>
      <w:r w:rsidRPr="00A22E9D">
        <w:rPr>
          <w:rFonts w:ascii="Times New Roman" w:hAnsi="Times New Roman" w:cs="Times New Roman"/>
          <w:bCs/>
          <w:sz w:val="24"/>
          <w:szCs w:val="24"/>
        </w:rPr>
        <w:t xml:space="preserve"> Suppressive Activity of AHI and survival time of </w:t>
      </w:r>
      <w:r w:rsidRPr="00A22E9D">
        <w:rPr>
          <w:rFonts w:ascii="Times New Roman" w:hAnsi="Times New Roman" w:cs="Times New Roman"/>
          <w:bCs/>
          <w:i/>
          <w:iCs/>
          <w:sz w:val="24"/>
          <w:szCs w:val="24"/>
        </w:rPr>
        <w:t xml:space="preserve">P. </w:t>
      </w:r>
      <w:proofErr w:type="spellStart"/>
      <w:r w:rsidRPr="00A22E9D">
        <w:rPr>
          <w:rFonts w:ascii="Times New Roman" w:hAnsi="Times New Roman" w:cs="Times New Roman"/>
          <w:bCs/>
          <w:i/>
          <w:iCs/>
          <w:sz w:val="24"/>
          <w:szCs w:val="24"/>
        </w:rPr>
        <w:t>berghei</w:t>
      </w:r>
      <w:proofErr w:type="spellEnd"/>
      <w:r w:rsidRPr="00A22E9D">
        <w:rPr>
          <w:rFonts w:ascii="Times New Roman" w:hAnsi="Times New Roman" w:cs="Times New Roman"/>
          <w:bCs/>
          <w:sz w:val="24"/>
          <w:szCs w:val="24"/>
        </w:rPr>
        <w:t xml:space="preserve"> infected mice in the 4-day suppressive test. </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77"/>
        <w:gridCol w:w="2509"/>
        <w:gridCol w:w="1429"/>
        <w:gridCol w:w="1963"/>
        <w:gridCol w:w="1892"/>
      </w:tblGrid>
      <w:tr w:rsidR="000F0CE1" w:rsidRPr="00A22E9D" w14:paraId="5EC9292C" w14:textId="77777777" w:rsidTr="00F01840">
        <w:trPr>
          <w:trHeight w:val="720"/>
          <w:jc w:val="center"/>
        </w:trPr>
        <w:tc>
          <w:tcPr>
            <w:tcW w:w="1501" w:type="dxa"/>
          </w:tcPr>
          <w:p w14:paraId="32C087D4" w14:textId="5F600354" w:rsidR="000F0CE1" w:rsidRPr="00A22E9D" w:rsidRDefault="00D54742" w:rsidP="00F01840">
            <w:pPr>
              <w:jc w:val="both"/>
              <w:rPr>
                <w:rFonts w:ascii="Times New Roman" w:hAnsi="Times New Roman" w:cs="Times New Roman"/>
                <w:sz w:val="24"/>
                <w:szCs w:val="24"/>
              </w:rPr>
            </w:pPr>
            <w:r w:rsidRPr="00A22E9D">
              <w:rPr>
                <w:rFonts w:ascii="Times New Roman" w:hAnsi="Times New Roman" w:cs="Times New Roman"/>
                <w:sz w:val="24"/>
                <w:szCs w:val="24"/>
              </w:rPr>
              <w:t>G</w:t>
            </w:r>
            <w:r w:rsidR="000F0CE1" w:rsidRPr="00A22E9D">
              <w:rPr>
                <w:rFonts w:ascii="Times New Roman" w:hAnsi="Times New Roman" w:cs="Times New Roman"/>
                <w:sz w:val="24"/>
                <w:szCs w:val="24"/>
              </w:rPr>
              <w:t>roups</w:t>
            </w:r>
          </w:p>
        </w:tc>
        <w:tc>
          <w:tcPr>
            <w:tcW w:w="2560" w:type="dxa"/>
          </w:tcPr>
          <w:p w14:paraId="1F2797A6" w14:textId="77777777" w:rsidR="000F0CE1" w:rsidRPr="00A22E9D" w:rsidRDefault="000F0CE1" w:rsidP="00F01840">
            <w:pPr>
              <w:jc w:val="both"/>
              <w:rPr>
                <w:rFonts w:ascii="Times New Roman" w:hAnsi="Times New Roman" w:cs="Times New Roman"/>
                <w:sz w:val="24"/>
                <w:szCs w:val="24"/>
              </w:rPr>
            </w:pPr>
            <w:r w:rsidRPr="00A22E9D">
              <w:rPr>
                <w:rFonts w:ascii="Times New Roman" w:hAnsi="Times New Roman" w:cs="Times New Roman"/>
                <w:sz w:val="24"/>
                <w:szCs w:val="24"/>
              </w:rPr>
              <w:t>dose (D0−D3) (0.2 mL</w:t>
            </w:r>
            <w:proofErr w:type="gramStart"/>
            <w:r w:rsidRPr="00A22E9D">
              <w:rPr>
                <w:rFonts w:ascii="Times New Roman" w:hAnsi="Times New Roman" w:cs="Times New Roman"/>
                <w:sz w:val="24"/>
                <w:szCs w:val="24"/>
              </w:rPr>
              <w:t>/(</w:t>
            </w:r>
            <w:proofErr w:type="gramEnd"/>
            <w:r w:rsidRPr="00A22E9D">
              <w:rPr>
                <w:rFonts w:ascii="Times New Roman" w:hAnsi="Times New Roman" w:cs="Times New Roman"/>
                <w:sz w:val="24"/>
                <w:szCs w:val="24"/>
              </w:rPr>
              <w:t>mouse OD oral)) D0-i.p. inoculation</w:t>
            </w:r>
          </w:p>
          <w:p w14:paraId="4CF187A8" w14:textId="0686DBD5" w:rsidR="000F0CE1" w:rsidRPr="00A22E9D" w:rsidRDefault="000F0CE1" w:rsidP="00F01840">
            <w:pPr>
              <w:jc w:val="both"/>
              <w:rPr>
                <w:rFonts w:ascii="Times New Roman" w:hAnsi="Times New Roman" w:cs="Times New Roman"/>
                <w:sz w:val="24"/>
                <w:szCs w:val="24"/>
              </w:rPr>
            </w:pPr>
            <w:r w:rsidRPr="00A22E9D">
              <w:rPr>
                <w:rFonts w:ascii="Times New Roman" w:hAnsi="Times New Roman" w:cs="Times New Roman"/>
                <w:sz w:val="24"/>
                <w:szCs w:val="24"/>
              </w:rPr>
              <w:t xml:space="preserve">(1 × 106 </w:t>
            </w:r>
            <w:r w:rsidR="00F57D9D" w:rsidRPr="00F57D9D">
              <w:rPr>
                <w:rFonts w:ascii="Times New Roman" w:hAnsi="Times New Roman" w:cs="Times New Roman"/>
                <w:i/>
                <w:sz w:val="24"/>
                <w:szCs w:val="24"/>
              </w:rPr>
              <w:t xml:space="preserve">P. </w:t>
            </w:r>
            <w:proofErr w:type="spellStart"/>
            <w:r w:rsidR="00F57D9D" w:rsidRPr="00F57D9D">
              <w:rPr>
                <w:rFonts w:ascii="Times New Roman" w:hAnsi="Times New Roman" w:cs="Times New Roman"/>
                <w:i/>
                <w:sz w:val="24"/>
                <w:szCs w:val="24"/>
              </w:rPr>
              <w:t>berghei</w:t>
            </w:r>
            <w:proofErr w:type="spellEnd"/>
            <w:r w:rsidRPr="00A22E9D">
              <w:rPr>
                <w:rFonts w:ascii="Times New Roman" w:hAnsi="Times New Roman" w:cs="Times New Roman"/>
                <w:sz w:val="24"/>
                <w:szCs w:val="24"/>
              </w:rPr>
              <w:t>-infected RBCs)</w:t>
            </w:r>
          </w:p>
        </w:tc>
        <w:tc>
          <w:tcPr>
            <w:tcW w:w="1378" w:type="dxa"/>
          </w:tcPr>
          <w:p w14:paraId="68EE1564" w14:textId="0BBDBE75" w:rsidR="000F0CE1" w:rsidRPr="00A22E9D" w:rsidRDefault="000F0CE1" w:rsidP="00F01840">
            <w:pPr>
              <w:jc w:val="both"/>
              <w:rPr>
                <w:rFonts w:ascii="Times New Roman" w:hAnsi="Times New Roman" w:cs="Times New Roman"/>
                <w:sz w:val="24"/>
                <w:szCs w:val="24"/>
              </w:rPr>
            </w:pPr>
            <w:r w:rsidRPr="00A22E9D">
              <w:rPr>
                <w:rFonts w:ascii="Times New Roman" w:hAnsi="Times New Roman" w:cs="Times New Roman"/>
                <w:sz w:val="24"/>
                <w:szCs w:val="24"/>
              </w:rPr>
              <w:t>parasitaemia (%), day 5</w:t>
            </w:r>
          </w:p>
        </w:tc>
        <w:tc>
          <w:tcPr>
            <w:tcW w:w="1990" w:type="dxa"/>
          </w:tcPr>
          <w:p w14:paraId="10B7839C" w14:textId="0FCFA262" w:rsidR="000F0CE1" w:rsidRPr="00A22E9D" w:rsidRDefault="000F0CE1" w:rsidP="00F01840">
            <w:pPr>
              <w:jc w:val="both"/>
              <w:rPr>
                <w:rFonts w:ascii="Times New Roman" w:hAnsi="Times New Roman" w:cs="Times New Roman"/>
                <w:sz w:val="24"/>
                <w:szCs w:val="24"/>
              </w:rPr>
            </w:pPr>
            <w:r w:rsidRPr="00A22E9D">
              <w:rPr>
                <w:rFonts w:ascii="Times New Roman" w:hAnsi="Times New Roman" w:cs="Times New Roman"/>
                <w:sz w:val="24"/>
                <w:szCs w:val="24"/>
              </w:rPr>
              <w:t>Chemo-suppression</w:t>
            </w:r>
          </w:p>
          <w:p w14:paraId="6B40A8D3" w14:textId="77777777" w:rsidR="000F0CE1" w:rsidRPr="00A22E9D" w:rsidRDefault="000F0CE1" w:rsidP="00F01840">
            <w:pPr>
              <w:jc w:val="both"/>
              <w:rPr>
                <w:rFonts w:ascii="Times New Roman" w:hAnsi="Times New Roman" w:cs="Times New Roman"/>
                <w:sz w:val="24"/>
                <w:szCs w:val="24"/>
              </w:rPr>
            </w:pPr>
            <w:r w:rsidRPr="00A22E9D">
              <w:rPr>
                <w:rFonts w:ascii="Times New Roman" w:hAnsi="Times New Roman" w:cs="Times New Roman"/>
                <w:sz w:val="24"/>
                <w:szCs w:val="24"/>
              </w:rPr>
              <w:t>(%), day 5</w:t>
            </w:r>
          </w:p>
        </w:tc>
        <w:tc>
          <w:tcPr>
            <w:tcW w:w="1921" w:type="dxa"/>
          </w:tcPr>
          <w:p w14:paraId="2A99867D" w14:textId="77777777" w:rsidR="000F0CE1" w:rsidRPr="00A22E9D" w:rsidRDefault="000F0CE1" w:rsidP="00F01840">
            <w:pPr>
              <w:jc w:val="both"/>
              <w:rPr>
                <w:rFonts w:ascii="Times New Roman" w:hAnsi="Times New Roman" w:cs="Times New Roman"/>
                <w:sz w:val="24"/>
                <w:szCs w:val="24"/>
              </w:rPr>
            </w:pPr>
            <w:r w:rsidRPr="00A22E9D">
              <w:rPr>
                <w:rFonts w:ascii="Times New Roman" w:hAnsi="Times New Roman" w:cs="Times New Roman"/>
                <w:sz w:val="24"/>
                <w:szCs w:val="24"/>
              </w:rPr>
              <w:t>Mean survival time/days</w:t>
            </w:r>
          </w:p>
        </w:tc>
      </w:tr>
      <w:tr w:rsidR="000F0CE1" w:rsidRPr="00A22E9D" w14:paraId="142963C0" w14:textId="77777777" w:rsidTr="00F01840">
        <w:trPr>
          <w:trHeight w:val="720"/>
          <w:jc w:val="center"/>
        </w:trPr>
        <w:tc>
          <w:tcPr>
            <w:tcW w:w="1501" w:type="dxa"/>
            <w:vAlign w:val="bottom"/>
          </w:tcPr>
          <w:p w14:paraId="663D6CED" w14:textId="77777777"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G1</w:t>
            </w:r>
          </w:p>
        </w:tc>
        <w:tc>
          <w:tcPr>
            <w:tcW w:w="2560" w:type="dxa"/>
            <w:vAlign w:val="bottom"/>
          </w:tcPr>
          <w:p w14:paraId="5D88A82C" w14:textId="77777777"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infected control</w:t>
            </w:r>
          </w:p>
        </w:tc>
        <w:tc>
          <w:tcPr>
            <w:tcW w:w="1378" w:type="dxa"/>
            <w:vAlign w:val="bottom"/>
          </w:tcPr>
          <w:p w14:paraId="5EA88549" w14:textId="77777777" w:rsidR="000F0CE1" w:rsidRPr="00A22E9D" w:rsidRDefault="000F0CE1"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1.7</w:t>
            </w:r>
          </w:p>
        </w:tc>
        <w:tc>
          <w:tcPr>
            <w:tcW w:w="1990" w:type="dxa"/>
            <w:vAlign w:val="bottom"/>
          </w:tcPr>
          <w:p w14:paraId="020E318B" w14:textId="6C9EA3C9" w:rsidR="000F0CE1" w:rsidRPr="00A22E9D" w:rsidRDefault="00BE75C8"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0.0</w:t>
            </w:r>
          </w:p>
        </w:tc>
        <w:tc>
          <w:tcPr>
            <w:tcW w:w="1921" w:type="dxa"/>
          </w:tcPr>
          <w:p w14:paraId="758F43CF" w14:textId="77777777" w:rsidR="000F0CE1" w:rsidRPr="00A22E9D" w:rsidRDefault="000F0CE1" w:rsidP="00CA4B8F">
            <w:pPr>
              <w:spacing w:line="480" w:lineRule="auto"/>
              <w:jc w:val="right"/>
              <w:rPr>
                <w:rFonts w:ascii="Times New Roman" w:hAnsi="Times New Roman" w:cs="Times New Roman"/>
                <w:color w:val="000000"/>
              </w:rPr>
            </w:pPr>
          </w:p>
        </w:tc>
      </w:tr>
      <w:tr w:rsidR="000F0CE1" w:rsidRPr="00A22E9D" w14:paraId="450789B8" w14:textId="77777777" w:rsidTr="00F01840">
        <w:trPr>
          <w:trHeight w:val="720"/>
          <w:jc w:val="center"/>
        </w:trPr>
        <w:tc>
          <w:tcPr>
            <w:tcW w:w="1501" w:type="dxa"/>
            <w:vAlign w:val="bottom"/>
          </w:tcPr>
          <w:p w14:paraId="12E4776C" w14:textId="77777777"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G2</w:t>
            </w:r>
          </w:p>
        </w:tc>
        <w:tc>
          <w:tcPr>
            <w:tcW w:w="2560" w:type="dxa"/>
            <w:vAlign w:val="bottom"/>
          </w:tcPr>
          <w:p w14:paraId="61C62653" w14:textId="77777777"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Chloroquine (10 mg/kg)</w:t>
            </w:r>
          </w:p>
        </w:tc>
        <w:tc>
          <w:tcPr>
            <w:tcW w:w="1378" w:type="dxa"/>
            <w:vAlign w:val="bottom"/>
          </w:tcPr>
          <w:p w14:paraId="09B931EC" w14:textId="77777777" w:rsidR="000F0CE1" w:rsidRPr="00A22E9D" w:rsidRDefault="000F0CE1"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1.4</w:t>
            </w:r>
          </w:p>
        </w:tc>
        <w:tc>
          <w:tcPr>
            <w:tcW w:w="1990" w:type="dxa"/>
            <w:vAlign w:val="bottom"/>
          </w:tcPr>
          <w:p w14:paraId="20BCD033" w14:textId="77777777" w:rsidR="000F0CE1" w:rsidRPr="00A22E9D" w:rsidRDefault="000F0CE1"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19.3</w:t>
            </w:r>
          </w:p>
        </w:tc>
        <w:tc>
          <w:tcPr>
            <w:tcW w:w="1921" w:type="dxa"/>
            <w:vAlign w:val="bottom"/>
          </w:tcPr>
          <w:p w14:paraId="068C077A" w14:textId="77777777" w:rsidR="000F0CE1" w:rsidRPr="00A22E9D" w:rsidRDefault="000F0CE1" w:rsidP="00CA4B8F">
            <w:pPr>
              <w:spacing w:line="480" w:lineRule="auto"/>
              <w:jc w:val="right"/>
              <w:rPr>
                <w:rFonts w:ascii="Times New Roman" w:hAnsi="Times New Roman" w:cs="Times New Roman"/>
                <w:color w:val="000000"/>
              </w:rPr>
            </w:pPr>
          </w:p>
        </w:tc>
      </w:tr>
      <w:tr w:rsidR="000F0CE1" w:rsidRPr="00A22E9D" w14:paraId="4D80A215" w14:textId="77777777" w:rsidTr="00F01840">
        <w:trPr>
          <w:trHeight w:val="720"/>
          <w:jc w:val="center"/>
        </w:trPr>
        <w:tc>
          <w:tcPr>
            <w:tcW w:w="1501" w:type="dxa"/>
            <w:vAlign w:val="bottom"/>
          </w:tcPr>
          <w:p w14:paraId="4D3B2CBD" w14:textId="77777777"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G3</w:t>
            </w:r>
          </w:p>
        </w:tc>
        <w:tc>
          <w:tcPr>
            <w:tcW w:w="2560" w:type="dxa"/>
            <w:vAlign w:val="bottom"/>
          </w:tcPr>
          <w:p w14:paraId="723020C7" w14:textId="03EA8C6F"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AHI (5 mg/kg)</w:t>
            </w:r>
          </w:p>
        </w:tc>
        <w:tc>
          <w:tcPr>
            <w:tcW w:w="1378" w:type="dxa"/>
            <w:vAlign w:val="bottom"/>
          </w:tcPr>
          <w:p w14:paraId="3B66757E" w14:textId="77777777" w:rsidR="000F0CE1" w:rsidRPr="00A22E9D" w:rsidRDefault="000F0CE1"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0.7</w:t>
            </w:r>
          </w:p>
        </w:tc>
        <w:tc>
          <w:tcPr>
            <w:tcW w:w="1990" w:type="dxa"/>
            <w:vAlign w:val="bottom"/>
          </w:tcPr>
          <w:p w14:paraId="64B63EB5" w14:textId="77777777" w:rsidR="000F0CE1" w:rsidRPr="00A22E9D" w:rsidRDefault="000F0CE1"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56.3</w:t>
            </w:r>
          </w:p>
        </w:tc>
        <w:tc>
          <w:tcPr>
            <w:tcW w:w="1921" w:type="dxa"/>
            <w:vAlign w:val="bottom"/>
          </w:tcPr>
          <w:p w14:paraId="3E90A116" w14:textId="77777777" w:rsidR="000F0CE1" w:rsidRPr="00A22E9D" w:rsidRDefault="000F0CE1" w:rsidP="00CA4B8F">
            <w:pPr>
              <w:spacing w:line="480" w:lineRule="auto"/>
              <w:jc w:val="both"/>
              <w:rPr>
                <w:rFonts w:ascii="Times New Roman" w:hAnsi="Times New Roman" w:cs="Times New Roman"/>
                <w:color w:val="000000"/>
              </w:rPr>
            </w:pPr>
            <w:r w:rsidRPr="00A22E9D">
              <w:rPr>
                <w:rFonts w:ascii="Times New Roman" w:hAnsi="Times New Roman" w:cs="Times New Roman"/>
                <w:color w:val="000000"/>
              </w:rPr>
              <w:t xml:space="preserve">                                 19.25±1.34</w:t>
            </w:r>
          </w:p>
        </w:tc>
      </w:tr>
      <w:tr w:rsidR="000F0CE1" w:rsidRPr="00A22E9D" w14:paraId="24165149" w14:textId="77777777" w:rsidTr="00F01840">
        <w:trPr>
          <w:trHeight w:val="720"/>
          <w:jc w:val="center"/>
        </w:trPr>
        <w:tc>
          <w:tcPr>
            <w:tcW w:w="1501" w:type="dxa"/>
            <w:vAlign w:val="bottom"/>
          </w:tcPr>
          <w:p w14:paraId="5AD6D858" w14:textId="77777777"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G4</w:t>
            </w:r>
          </w:p>
        </w:tc>
        <w:tc>
          <w:tcPr>
            <w:tcW w:w="2560" w:type="dxa"/>
            <w:vAlign w:val="bottom"/>
          </w:tcPr>
          <w:p w14:paraId="7F368434" w14:textId="7F4BBEC5"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AHI (10 mg/kg)</w:t>
            </w:r>
          </w:p>
        </w:tc>
        <w:tc>
          <w:tcPr>
            <w:tcW w:w="1378" w:type="dxa"/>
            <w:vAlign w:val="bottom"/>
          </w:tcPr>
          <w:p w14:paraId="697AAFBB" w14:textId="77777777" w:rsidR="000F0CE1" w:rsidRPr="00A22E9D" w:rsidRDefault="000F0CE1"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0.7</w:t>
            </w:r>
          </w:p>
        </w:tc>
        <w:tc>
          <w:tcPr>
            <w:tcW w:w="1990" w:type="dxa"/>
            <w:vAlign w:val="bottom"/>
          </w:tcPr>
          <w:p w14:paraId="22B4880E" w14:textId="77777777" w:rsidR="000F0CE1" w:rsidRPr="00A22E9D" w:rsidRDefault="000F0CE1"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56.6</w:t>
            </w:r>
          </w:p>
        </w:tc>
        <w:tc>
          <w:tcPr>
            <w:tcW w:w="1921" w:type="dxa"/>
            <w:vAlign w:val="bottom"/>
          </w:tcPr>
          <w:p w14:paraId="02D442E1" w14:textId="77777777"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 xml:space="preserve"> 16.75±4.58</w:t>
            </w:r>
          </w:p>
        </w:tc>
      </w:tr>
      <w:tr w:rsidR="000F0CE1" w:rsidRPr="00A22E9D" w14:paraId="5D2537D0" w14:textId="77777777" w:rsidTr="00F01840">
        <w:trPr>
          <w:trHeight w:val="720"/>
          <w:jc w:val="center"/>
        </w:trPr>
        <w:tc>
          <w:tcPr>
            <w:tcW w:w="1501" w:type="dxa"/>
            <w:vAlign w:val="bottom"/>
          </w:tcPr>
          <w:p w14:paraId="0739230F" w14:textId="77777777"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G5</w:t>
            </w:r>
          </w:p>
        </w:tc>
        <w:tc>
          <w:tcPr>
            <w:tcW w:w="2560" w:type="dxa"/>
            <w:vAlign w:val="bottom"/>
          </w:tcPr>
          <w:p w14:paraId="3602B025" w14:textId="6AF8E0CA" w:rsidR="000F0CE1" w:rsidRPr="00A22E9D" w:rsidRDefault="000F0CE1" w:rsidP="00CA4B8F">
            <w:pPr>
              <w:spacing w:line="480" w:lineRule="auto"/>
              <w:rPr>
                <w:rFonts w:ascii="Times New Roman" w:hAnsi="Times New Roman" w:cs="Times New Roman"/>
                <w:color w:val="000000"/>
              </w:rPr>
            </w:pPr>
            <w:r w:rsidRPr="00A22E9D">
              <w:rPr>
                <w:rFonts w:ascii="Times New Roman" w:hAnsi="Times New Roman" w:cs="Times New Roman"/>
                <w:color w:val="000000"/>
              </w:rPr>
              <w:t>AHI (25 mg/kg)</w:t>
            </w:r>
          </w:p>
        </w:tc>
        <w:tc>
          <w:tcPr>
            <w:tcW w:w="1378" w:type="dxa"/>
            <w:vAlign w:val="bottom"/>
          </w:tcPr>
          <w:p w14:paraId="202C500A" w14:textId="77777777" w:rsidR="000F0CE1" w:rsidRPr="00A22E9D" w:rsidRDefault="000F0CE1"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0.3</w:t>
            </w:r>
          </w:p>
        </w:tc>
        <w:tc>
          <w:tcPr>
            <w:tcW w:w="1990" w:type="dxa"/>
            <w:vAlign w:val="bottom"/>
          </w:tcPr>
          <w:p w14:paraId="5F0745E1" w14:textId="77777777" w:rsidR="000F0CE1" w:rsidRPr="00A22E9D" w:rsidRDefault="000F0CE1" w:rsidP="00CA4B8F">
            <w:pPr>
              <w:spacing w:line="480" w:lineRule="auto"/>
              <w:jc w:val="right"/>
              <w:rPr>
                <w:rFonts w:ascii="Times New Roman" w:hAnsi="Times New Roman" w:cs="Times New Roman"/>
                <w:color w:val="000000"/>
              </w:rPr>
            </w:pPr>
            <w:r w:rsidRPr="00A22E9D">
              <w:rPr>
                <w:rFonts w:ascii="Times New Roman" w:hAnsi="Times New Roman" w:cs="Times New Roman"/>
                <w:color w:val="000000"/>
              </w:rPr>
              <w:t>82.4</w:t>
            </w:r>
          </w:p>
        </w:tc>
        <w:tc>
          <w:tcPr>
            <w:tcW w:w="1921" w:type="dxa"/>
            <w:vAlign w:val="bottom"/>
          </w:tcPr>
          <w:p w14:paraId="3510B60F" w14:textId="77777777" w:rsidR="000F0CE1" w:rsidRPr="00A22E9D" w:rsidRDefault="000F0CE1" w:rsidP="00CA4B8F">
            <w:pPr>
              <w:spacing w:line="480" w:lineRule="auto"/>
              <w:jc w:val="both"/>
              <w:rPr>
                <w:rFonts w:ascii="Times New Roman" w:hAnsi="Times New Roman" w:cs="Times New Roman"/>
                <w:color w:val="000000"/>
              </w:rPr>
            </w:pPr>
            <w:r w:rsidRPr="00A22E9D">
              <w:rPr>
                <w:rFonts w:ascii="Times New Roman" w:hAnsi="Times New Roman" w:cs="Times New Roman"/>
                <w:color w:val="000000"/>
              </w:rPr>
              <w:t xml:space="preserve">                         25.57.36</w:t>
            </w:r>
          </w:p>
        </w:tc>
      </w:tr>
    </w:tbl>
    <w:p w14:paraId="41695F32" w14:textId="3D71ECAF" w:rsidR="009D3453" w:rsidRPr="00A22E9D" w:rsidRDefault="009D3453" w:rsidP="00CA4B8F">
      <w:pPr>
        <w:spacing w:line="480" w:lineRule="auto"/>
        <w:rPr>
          <w:rFonts w:ascii="Times New Roman" w:hAnsi="Times New Roman" w:cs="Times New Roman"/>
        </w:rPr>
      </w:pPr>
    </w:p>
    <w:p w14:paraId="5691CF0A" w14:textId="77777777" w:rsidR="000F0CE1" w:rsidRPr="00A22E9D" w:rsidRDefault="000F0CE1" w:rsidP="00CA4B8F">
      <w:pPr>
        <w:spacing w:line="480" w:lineRule="auto"/>
        <w:rPr>
          <w:rFonts w:ascii="Times New Roman" w:hAnsi="Times New Roman" w:cs="Times New Roman"/>
        </w:rPr>
      </w:pPr>
    </w:p>
    <w:p w14:paraId="2B079190" w14:textId="7B1749B7" w:rsidR="0027602D" w:rsidRPr="00A22E9D" w:rsidRDefault="008C1BB8" w:rsidP="00CA4B8F">
      <w:pPr>
        <w:pStyle w:val="Heading3"/>
        <w:spacing w:line="480" w:lineRule="auto"/>
        <w:rPr>
          <w:rFonts w:cs="Times New Roman"/>
        </w:rPr>
      </w:pPr>
      <w:bookmarkStart w:id="43" w:name="_Toc145500391"/>
      <w:r w:rsidRPr="00A22E9D">
        <w:rPr>
          <w:rFonts w:cs="Times New Roman"/>
        </w:rPr>
        <w:lastRenderedPageBreak/>
        <w:t xml:space="preserve">4.2 </w:t>
      </w:r>
      <w:r w:rsidR="0027602D" w:rsidRPr="00A22E9D">
        <w:rPr>
          <w:rFonts w:cs="Times New Roman"/>
        </w:rPr>
        <w:t>Insilco Studies</w:t>
      </w:r>
      <w:bookmarkEnd w:id="43"/>
    </w:p>
    <w:p w14:paraId="127FF033" w14:textId="548172A6" w:rsidR="002A2BF9" w:rsidRDefault="001327BB" w:rsidP="00CA4B8F">
      <w:pPr>
        <w:spacing w:line="480" w:lineRule="auto"/>
        <w:jc w:val="both"/>
        <w:rPr>
          <w:rFonts w:ascii="Times New Roman" w:hAnsi="Times New Roman" w:cs="Times New Roman"/>
          <w:sz w:val="24"/>
          <w:szCs w:val="24"/>
        </w:rPr>
      </w:pPr>
      <w:r w:rsidRPr="00A22E9D">
        <w:rPr>
          <w:rFonts w:ascii="Times New Roman" w:hAnsi="Times New Roman" w:cs="Times New Roman"/>
          <w:b/>
          <w:bCs/>
          <w:sz w:val="24"/>
          <w:szCs w:val="24"/>
        </w:rPr>
        <w:t>Gene Expression Analysis</w:t>
      </w:r>
      <w:r w:rsidRPr="00A22E9D">
        <w:rPr>
          <w:rFonts w:ascii="Times New Roman" w:hAnsi="Times New Roman" w:cs="Times New Roman"/>
          <w:sz w:val="24"/>
          <w:szCs w:val="24"/>
        </w:rPr>
        <w:t>:</w:t>
      </w:r>
      <w:r w:rsidR="00500E88" w:rsidRPr="00A22E9D">
        <w:rPr>
          <w:rFonts w:ascii="Times New Roman" w:hAnsi="Times New Roman" w:cs="Times New Roman"/>
          <w:sz w:val="24"/>
          <w:szCs w:val="24"/>
        </w:rPr>
        <w:t xml:space="preserve"> </w:t>
      </w:r>
      <w:r w:rsidR="003800B2" w:rsidRPr="00A22E9D">
        <w:rPr>
          <w:rFonts w:ascii="Times New Roman" w:hAnsi="Times New Roman" w:cs="Times New Roman"/>
          <w:sz w:val="24"/>
          <w:szCs w:val="24"/>
        </w:rPr>
        <w:t>The RNA-</w:t>
      </w:r>
      <w:proofErr w:type="spellStart"/>
      <w:r w:rsidR="003800B2" w:rsidRPr="00A22E9D">
        <w:rPr>
          <w:rFonts w:ascii="Times New Roman" w:hAnsi="Times New Roman" w:cs="Times New Roman"/>
          <w:sz w:val="24"/>
          <w:szCs w:val="24"/>
        </w:rPr>
        <w:t>seq</w:t>
      </w:r>
      <w:proofErr w:type="spellEnd"/>
      <w:r w:rsidR="003800B2" w:rsidRPr="00A22E9D">
        <w:rPr>
          <w:rFonts w:ascii="Times New Roman" w:hAnsi="Times New Roman" w:cs="Times New Roman"/>
          <w:sz w:val="24"/>
          <w:szCs w:val="24"/>
        </w:rPr>
        <w:t xml:space="preserve"> dataset used in this study which was gotten from NCBI-Gene Expression Omnibus (GEO) with an ID of GSE198587 was analysed. </w:t>
      </w:r>
      <w:r w:rsidR="00500E88" w:rsidRPr="00A22E9D">
        <w:rPr>
          <w:rFonts w:ascii="Times New Roman" w:hAnsi="Times New Roman" w:cs="Times New Roman"/>
          <w:sz w:val="24"/>
          <w:szCs w:val="24"/>
        </w:rPr>
        <w:t>The gene expression analysis for the selected dataset was analysed using R-Studio. R-Studio v4.2.2 was used for the analysis of this study. The analysed data was used to generate PCA plot, dispersion plot, heat map and volcano plot</w:t>
      </w:r>
      <w:r w:rsidR="003800B2" w:rsidRPr="00A22E9D">
        <w:rPr>
          <w:rFonts w:ascii="Times New Roman" w:hAnsi="Times New Roman" w:cs="Times New Roman"/>
          <w:sz w:val="24"/>
          <w:szCs w:val="24"/>
        </w:rPr>
        <w:t xml:space="preserve"> as seen in the figures below</w:t>
      </w:r>
      <w:r w:rsidR="00500E88" w:rsidRPr="00A22E9D">
        <w:rPr>
          <w:rFonts w:ascii="Times New Roman" w:hAnsi="Times New Roman" w:cs="Times New Roman"/>
          <w:sz w:val="24"/>
          <w:szCs w:val="24"/>
        </w:rPr>
        <w:t>.</w:t>
      </w:r>
    </w:p>
    <w:p w14:paraId="05B383E2" w14:textId="77777777" w:rsidR="00F85422" w:rsidRDefault="00F85422">
      <w:pPr>
        <w:rPr>
          <w:rFonts w:ascii="Times New Roman" w:hAnsi="Times New Roman" w:cs="Times New Roman"/>
          <w:sz w:val="24"/>
          <w:szCs w:val="24"/>
        </w:rPr>
      </w:pPr>
      <w:r>
        <w:rPr>
          <w:rFonts w:ascii="Times New Roman" w:hAnsi="Times New Roman" w:cs="Times New Roman"/>
          <w:sz w:val="24"/>
          <w:szCs w:val="24"/>
        </w:rPr>
        <w:br w:type="page"/>
      </w:r>
    </w:p>
    <w:p w14:paraId="66EA3C21" w14:textId="5B090FE4" w:rsidR="002A2BF9" w:rsidRPr="00A22E9D" w:rsidRDefault="002A2BF9" w:rsidP="00CA4B8F">
      <w:pPr>
        <w:keepNext/>
        <w:spacing w:line="480" w:lineRule="auto"/>
        <w:jc w:val="both"/>
        <w:rPr>
          <w:rFonts w:ascii="Times New Roman" w:hAnsi="Times New Roman" w:cs="Times New Roman"/>
          <w:sz w:val="24"/>
          <w:szCs w:val="24"/>
        </w:rPr>
      </w:pPr>
      <w:r w:rsidRPr="00A22E9D">
        <w:rPr>
          <w:rFonts w:ascii="Times New Roman" w:hAnsi="Times New Roman" w:cs="Times New Roman"/>
          <w:noProof/>
          <w:sz w:val="24"/>
          <w:szCs w:val="24"/>
        </w:rPr>
        <w:lastRenderedPageBreak/>
        <w:drawing>
          <wp:inline distT="0" distB="0" distL="0" distR="0" wp14:anchorId="00776163" wp14:editId="56141DB5">
            <wp:extent cx="6143625" cy="3486150"/>
            <wp:effectExtent l="0" t="0" r="9525" b="0"/>
            <wp:docPr id="477342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42439" name="Picture 477342439"/>
                    <pic:cNvPicPr/>
                  </pic:nvPicPr>
                  <pic:blipFill>
                    <a:blip r:embed="rId15">
                      <a:extLst>
                        <a:ext uri="{28A0092B-C50C-407E-A947-70E740481C1C}">
                          <a14:useLocalDpi xmlns:a14="http://schemas.microsoft.com/office/drawing/2010/main" val="0"/>
                        </a:ext>
                      </a:extLst>
                    </a:blip>
                    <a:stretch>
                      <a:fillRect/>
                    </a:stretch>
                  </pic:blipFill>
                  <pic:spPr>
                    <a:xfrm>
                      <a:off x="0" y="0"/>
                      <a:ext cx="6165444" cy="3498531"/>
                    </a:xfrm>
                    <a:prstGeom prst="rect">
                      <a:avLst/>
                    </a:prstGeom>
                  </pic:spPr>
                </pic:pic>
              </a:graphicData>
            </a:graphic>
          </wp:inline>
        </w:drawing>
      </w:r>
    </w:p>
    <w:p w14:paraId="436F09BB" w14:textId="00C37370" w:rsidR="003800B2" w:rsidRPr="00A22E9D" w:rsidRDefault="002A2BF9"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341138" w:rsidRPr="00A22E9D">
        <w:rPr>
          <w:rFonts w:ascii="Times New Roman" w:hAnsi="Times New Roman" w:cs="Times New Roman"/>
          <w:sz w:val="24"/>
          <w:szCs w:val="24"/>
        </w:rPr>
        <w:fldChar w:fldCharType="begin"/>
      </w:r>
      <w:r w:rsidR="00341138" w:rsidRPr="00A22E9D">
        <w:rPr>
          <w:rFonts w:ascii="Times New Roman" w:hAnsi="Times New Roman" w:cs="Times New Roman"/>
          <w:sz w:val="24"/>
          <w:szCs w:val="24"/>
        </w:rPr>
        <w:instrText xml:space="preserve"> NUMPAGES  \# "4.6" </w:instrText>
      </w:r>
      <w:r w:rsidR="00341138"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6</w:t>
      </w:r>
      <w:r w:rsidR="00341138"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w:t>
      </w:r>
      <w:r w:rsidR="0027709F" w:rsidRPr="00A22E9D">
        <w:rPr>
          <w:rFonts w:ascii="Times New Roman" w:hAnsi="Times New Roman" w:cs="Times New Roman"/>
          <w:noProof/>
          <w:sz w:val="24"/>
          <w:szCs w:val="24"/>
        </w:rPr>
        <w:t>PCA (principal component analysis) Plot of analysed dataset identifying clusters of samples similar to each other</w:t>
      </w:r>
    </w:p>
    <w:p w14:paraId="6BC22993" w14:textId="77777777" w:rsidR="005445BD" w:rsidRPr="00A22E9D" w:rsidRDefault="002A2BF9" w:rsidP="00CA4B8F">
      <w:pPr>
        <w:keepNext/>
        <w:spacing w:line="480" w:lineRule="auto"/>
        <w:jc w:val="both"/>
        <w:rPr>
          <w:rFonts w:ascii="Times New Roman" w:hAnsi="Times New Roman" w:cs="Times New Roman"/>
          <w:sz w:val="24"/>
          <w:szCs w:val="24"/>
        </w:rPr>
      </w:pPr>
      <w:r w:rsidRPr="00A22E9D">
        <w:rPr>
          <w:rFonts w:ascii="Times New Roman" w:hAnsi="Times New Roman" w:cs="Times New Roman"/>
          <w:noProof/>
          <w:sz w:val="24"/>
          <w:szCs w:val="24"/>
        </w:rPr>
        <w:drawing>
          <wp:inline distT="0" distB="0" distL="0" distR="0" wp14:anchorId="71B7BD4D" wp14:editId="4C4BC5CC">
            <wp:extent cx="5629275" cy="2932430"/>
            <wp:effectExtent l="0" t="0" r="9525" b="1270"/>
            <wp:docPr id="524924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4548" name="Picture 524924548"/>
                    <pic:cNvPicPr/>
                  </pic:nvPicPr>
                  <pic:blipFill>
                    <a:blip r:embed="rId16">
                      <a:extLst>
                        <a:ext uri="{28A0092B-C50C-407E-A947-70E740481C1C}">
                          <a14:useLocalDpi xmlns:a14="http://schemas.microsoft.com/office/drawing/2010/main" val="0"/>
                        </a:ext>
                      </a:extLst>
                    </a:blip>
                    <a:stretch>
                      <a:fillRect/>
                    </a:stretch>
                  </pic:blipFill>
                  <pic:spPr>
                    <a:xfrm>
                      <a:off x="0" y="0"/>
                      <a:ext cx="5655759" cy="2946226"/>
                    </a:xfrm>
                    <a:prstGeom prst="rect">
                      <a:avLst/>
                    </a:prstGeom>
                  </pic:spPr>
                </pic:pic>
              </a:graphicData>
            </a:graphic>
          </wp:inline>
        </w:drawing>
      </w:r>
    </w:p>
    <w:p w14:paraId="1AEFAC0D" w14:textId="792AC59A" w:rsidR="005445BD" w:rsidRPr="00A22E9D" w:rsidRDefault="005445BD"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341138" w:rsidRPr="00A22E9D">
        <w:rPr>
          <w:rFonts w:ascii="Times New Roman" w:hAnsi="Times New Roman" w:cs="Times New Roman"/>
          <w:sz w:val="24"/>
          <w:szCs w:val="24"/>
        </w:rPr>
        <w:fldChar w:fldCharType="begin"/>
      </w:r>
      <w:r w:rsidR="00341138" w:rsidRPr="00A22E9D">
        <w:rPr>
          <w:rFonts w:ascii="Times New Roman" w:hAnsi="Times New Roman" w:cs="Times New Roman"/>
          <w:sz w:val="24"/>
          <w:szCs w:val="24"/>
        </w:rPr>
        <w:instrText xml:space="preserve"> NUMPAGES  \# "4.7" </w:instrText>
      </w:r>
      <w:r w:rsidR="00341138"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7</w:t>
      </w:r>
      <w:r w:rsidR="00341138" w:rsidRPr="00A22E9D">
        <w:rPr>
          <w:rFonts w:ascii="Times New Roman" w:hAnsi="Times New Roman" w:cs="Times New Roman"/>
          <w:sz w:val="24"/>
          <w:szCs w:val="24"/>
        </w:rPr>
        <w:fldChar w:fldCharType="end"/>
      </w:r>
      <w:r w:rsidR="000275F2" w:rsidRPr="00A22E9D">
        <w:rPr>
          <w:rFonts w:ascii="Times New Roman" w:hAnsi="Times New Roman" w:cs="Times New Roman"/>
          <w:sz w:val="24"/>
          <w:szCs w:val="24"/>
        </w:rPr>
        <w:t xml:space="preserve"> </w:t>
      </w:r>
      <w:r w:rsidR="0027709F" w:rsidRPr="00A22E9D">
        <w:rPr>
          <w:rFonts w:ascii="Times New Roman" w:hAnsi="Times New Roman" w:cs="Times New Roman"/>
          <w:noProof/>
          <w:sz w:val="24"/>
          <w:szCs w:val="24"/>
        </w:rPr>
        <w:t>Dispersion Plot of the dataset used to measure the variability in gene expression levels, with those highly dispersed plotted towards the top and those with low dispersion towards the bottom</w:t>
      </w:r>
    </w:p>
    <w:p w14:paraId="0B344DAC" w14:textId="77777777" w:rsidR="005445BD" w:rsidRPr="00A22E9D" w:rsidRDefault="005445BD" w:rsidP="00CA4B8F">
      <w:pPr>
        <w:keepNext/>
        <w:spacing w:line="480" w:lineRule="auto"/>
        <w:jc w:val="both"/>
        <w:rPr>
          <w:rFonts w:ascii="Times New Roman" w:hAnsi="Times New Roman" w:cs="Times New Roman"/>
          <w:sz w:val="24"/>
          <w:szCs w:val="24"/>
        </w:rPr>
      </w:pPr>
    </w:p>
    <w:p w14:paraId="790675B9" w14:textId="77777777" w:rsidR="005445BD" w:rsidRPr="00A22E9D" w:rsidRDefault="005445BD" w:rsidP="00CA4B8F">
      <w:pPr>
        <w:keepNext/>
        <w:spacing w:line="480" w:lineRule="auto"/>
        <w:jc w:val="both"/>
        <w:rPr>
          <w:rFonts w:ascii="Times New Roman" w:hAnsi="Times New Roman" w:cs="Times New Roman"/>
          <w:sz w:val="24"/>
          <w:szCs w:val="24"/>
        </w:rPr>
      </w:pPr>
      <w:r w:rsidRPr="00A22E9D">
        <w:rPr>
          <w:rFonts w:ascii="Times New Roman" w:hAnsi="Times New Roman" w:cs="Times New Roman"/>
          <w:noProof/>
          <w:sz w:val="24"/>
          <w:szCs w:val="24"/>
        </w:rPr>
        <w:drawing>
          <wp:inline distT="0" distB="0" distL="0" distR="0" wp14:anchorId="2479AF5E" wp14:editId="71E16576">
            <wp:extent cx="6298565" cy="4819650"/>
            <wp:effectExtent l="0" t="0" r="6985" b="0"/>
            <wp:docPr id="351063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3710" name="Picture 3510637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20084" cy="4836116"/>
                    </a:xfrm>
                    <a:prstGeom prst="rect">
                      <a:avLst/>
                    </a:prstGeom>
                  </pic:spPr>
                </pic:pic>
              </a:graphicData>
            </a:graphic>
          </wp:inline>
        </w:drawing>
      </w:r>
    </w:p>
    <w:p w14:paraId="4E105D4D" w14:textId="6B43A41F" w:rsidR="005445BD" w:rsidRPr="00A22E9D" w:rsidRDefault="005445BD"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341138" w:rsidRPr="00A22E9D">
        <w:rPr>
          <w:rFonts w:ascii="Times New Roman" w:hAnsi="Times New Roman" w:cs="Times New Roman"/>
          <w:sz w:val="24"/>
          <w:szCs w:val="24"/>
        </w:rPr>
        <w:fldChar w:fldCharType="begin"/>
      </w:r>
      <w:r w:rsidR="00341138" w:rsidRPr="00A22E9D">
        <w:rPr>
          <w:rFonts w:ascii="Times New Roman" w:hAnsi="Times New Roman" w:cs="Times New Roman"/>
          <w:sz w:val="24"/>
          <w:szCs w:val="24"/>
        </w:rPr>
        <w:instrText xml:space="preserve"> NUMPAGES  \# "4.8" </w:instrText>
      </w:r>
      <w:r w:rsidR="00341138"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8</w:t>
      </w:r>
      <w:r w:rsidR="00341138" w:rsidRPr="00A22E9D">
        <w:rPr>
          <w:rFonts w:ascii="Times New Roman" w:hAnsi="Times New Roman" w:cs="Times New Roman"/>
          <w:sz w:val="24"/>
          <w:szCs w:val="24"/>
        </w:rPr>
        <w:fldChar w:fldCharType="end"/>
      </w:r>
      <w:r w:rsidR="000275F2" w:rsidRPr="00A22E9D">
        <w:rPr>
          <w:rFonts w:ascii="Times New Roman" w:hAnsi="Times New Roman" w:cs="Times New Roman"/>
          <w:sz w:val="24"/>
          <w:szCs w:val="24"/>
        </w:rPr>
        <w:t xml:space="preserve"> </w:t>
      </w:r>
      <w:r w:rsidR="0027709F" w:rsidRPr="00A22E9D">
        <w:rPr>
          <w:rFonts w:ascii="Times New Roman" w:hAnsi="Times New Roman" w:cs="Times New Roman"/>
          <w:sz w:val="24"/>
          <w:szCs w:val="24"/>
        </w:rPr>
        <w:t>:</w:t>
      </w:r>
      <w:r w:rsidR="0027709F" w:rsidRPr="00A22E9D">
        <w:rPr>
          <w:rFonts w:ascii="Times New Roman" w:hAnsi="Times New Roman" w:cs="Times New Roman"/>
          <w:noProof/>
          <w:kern w:val="2"/>
          <w14:ligatures w14:val="standardContextual"/>
        </w:rPr>
        <w:t xml:space="preserve"> </w:t>
      </w:r>
      <w:r w:rsidR="0027709F" w:rsidRPr="00A22E9D">
        <w:rPr>
          <w:rFonts w:ascii="Times New Roman" w:hAnsi="Times New Roman" w:cs="Times New Roman"/>
          <w:sz w:val="24"/>
          <w:szCs w:val="24"/>
        </w:rPr>
        <w:t>Heat Map showing different expression levels of genes in the data set, with genes in the red region highly expressed and those in the blue region expressed at a low level</w:t>
      </w:r>
    </w:p>
    <w:p w14:paraId="53D6EE1C" w14:textId="77777777" w:rsidR="005445BD" w:rsidRPr="00A22E9D" w:rsidRDefault="002A2BF9" w:rsidP="00CA4B8F">
      <w:pPr>
        <w:keepNext/>
        <w:spacing w:line="480" w:lineRule="auto"/>
        <w:jc w:val="both"/>
        <w:rPr>
          <w:rFonts w:ascii="Times New Roman" w:hAnsi="Times New Roman" w:cs="Times New Roman"/>
          <w:sz w:val="24"/>
          <w:szCs w:val="24"/>
        </w:rPr>
      </w:pPr>
      <w:r w:rsidRPr="00A22E9D">
        <w:rPr>
          <w:rFonts w:ascii="Times New Roman" w:hAnsi="Times New Roman" w:cs="Times New Roman"/>
          <w:noProof/>
          <w:sz w:val="24"/>
          <w:szCs w:val="24"/>
        </w:rPr>
        <w:lastRenderedPageBreak/>
        <w:drawing>
          <wp:inline distT="0" distB="0" distL="0" distR="0" wp14:anchorId="02EDBFA7" wp14:editId="4E3299B6">
            <wp:extent cx="6084542" cy="6084542"/>
            <wp:effectExtent l="0" t="0" r="0" b="0"/>
            <wp:docPr id="1175750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50954"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6084542" cy="6084542"/>
                    </a:xfrm>
                    <a:prstGeom prst="rect">
                      <a:avLst/>
                    </a:prstGeom>
                  </pic:spPr>
                </pic:pic>
              </a:graphicData>
            </a:graphic>
          </wp:inline>
        </w:drawing>
      </w:r>
    </w:p>
    <w:p w14:paraId="7E22D6A1" w14:textId="0EB2D27E" w:rsidR="003800B2" w:rsidRPr="00A22E9D" w:rsidRDefault="005445BD"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341138" w:rsidRPr="00A22E9D">
        <w:rPr>
          <w:rFonts w:ascii="Times New Roman" w:hAnsi="Times New Roman" w:cs="Times New Roman"/>
          <w:sz w:val="24"/>
          <w:szCs w:val="24"/>
        </w:rPr>
        <w:fldChar w:fldCharType="begin"/>
      </w:r>
      <w:r w:rsidR="00341138" w:rsidRPr="00A22E9D">
        <w:rPr>
          <w:rFonts w:ascii="Times New Roman" w:hAnsi="Times New Roman" w:cs="Times New Roman"/>
          <w:sz w:val="24"/>
          <w:szCs w:val="24"/>
        </w:rPr>
        <w:instrText xml:space="preserve"> NUMPAGES  \# "4.9" </w:instrText>
      </w:r>
      <w:r w:rsidR="00341138"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9</w:t>
      </w:r>
      <w:r w:rsidR="00341138" w:rsidRPr="00A22E9D">
        <w:rPr>
          <w:rFonts w:ascii="Times New Roman" w:hAnsi="Times New Roman" w:cs="Times New Roman"/>
          <w:sz w:val="24"/>
          <w:szCs w:val="24"/>
        </w:rPr>
        <w:fldChar w:fldCharType="end"/>
      </w:r>
      <w:r w:rsidR="0027709F">
        <w:rPr>
          <w:rFonts w:ascii="Times New Roman" w:hAnsi="Times New Roman" w:cs="Times New Roman"/>
          <w:sz w:val="24"/>
          <w:szCs w:val="24"/>
        </w:rPr>
        <w:t xml:space="preserve"> </w:t>
      </w:r>
      <w:r w:rsidR="0027709F" w:rsidRPr="00A22E9D">
        <w:rPr>
          <w:rFonts w:ascii="Times New Roman" w:hAnsi="Times New Roman" w:cs="Times New Roman"/>
          <w:sz w:val="24"/>
          <w:szCs w:val="24"/>
        </w:rPr>
        <w:t>Volcano Plot highlighting significantly differentially expressed genes and fold change distance with up-regulated genes scattered upwards in red dots and down-regulated genes scattered downwards with green genes</w:t>
      </w:r>
    </w:p>
    <w:p w14:paraId="2AE84903" w14:textId="77777777" w:rsidR="003800B2" w:rsidRPr="00A22E9D" w:rsidRDefault="003800B2" w:rsidP="00CA4B8F">
      <w:pPr>
        <w:spacing w:line="480" w:lineRule="auto"/>
        <w:jc w:val="both"/>
        <w:rPr>
          <w:rFonts w:ascii="Times New Roman" w:hAnsi="Times New Roman" w:cs="Times New Roman"/>
          <w:sz w:val="24"/>
          <w:szCs w:val="24"/>
        </w:rPr>
      </w:pPr>
    </w:p>
    <w:p w14:paraId="2C2EECF3" w14:textId="77777777" w:rsidR="00F85422" w:rsidRDefault="00F85422">
      <w:pPr>
        <w:rPr>
          <w:rFonts w:ascii="Times New Roman" w:hAnsi="Times New Roman" w:cs="Times New Roman"/>
          <w:b/>
          <w:bCs/>
          <w:sz w:val="24"/>
          <w:szCs w:val="24"/>
        </w:rPr>
      </w:pPr>
      <w:r>
        <w:rPr>
          <w:rFonts w:ascii="Times New Roman" w:hAnsi="Times New Roman" w:cs="Times New Roman"/>
          <w:b/>
          <w:bCs/>
          <w:sz w:val="24"/>
          <w:szCs w:val="24"/>
        </w:rPr>
        <w:br w:type="page"/>
      </w:r>
    </w:p>
    <w:p w14:paraId="55C0A055" w14:textId="403911A3" w:rsidR="006F3671" w:rsidRPr="00A22E9D" w:rsidRDefault="005445BD" w:rsidP="00CA4B8F">
      <w:pPr>
        <w:spacing w:line="480" w:lineRule="auto"/>
        <w:jc w:val="both"/>
        <w:rPr>
          <w:rFonts w:ascii="Times New Roman" w:hAnsi="Times New Roman" w:cs="Times New Roman"/>
          <w:sz w:val="24"/>
          <w:szCs w:val="24"/>
        </w:rPr>
      </w:pPr>
      <w:r w:rsidRPr="00A22E9D">
        <w:rPr>
          <w:rFonts w:ascii="Times New Roman" w:hAnsi="Times New Roman" w:cs="Times New Roman"/>
          <w:b/>
          <w:bCs/>
          <w:sz w:val="24"/>
          <w:szCs w:val="24"/>
        </w:rPr>
        <w:lastRenderedPageBreak/>
        <w:t>Molecular Docking</w:t>
      </w:r>
      <w:r w:rsidRPr="00A22E9D">
        <w:rPr>
          <w:rFonts w:ascii="Times New Roman" w:hAnsi="Times New Roman" w:cs="Times New Roman"/>
          <w:sz w:val="24"/>
          <w:szCs w:val="24"/>
        </w:rPr>
        <w:t xml:space="preserve">: </w:t>
      </w:r>
      <w:r w:rsidR="00500E88" w:rsidRPr="00A22E9D">
        <w:rPr>
          <w:rFonts w:ascii="Times New Roman" w:hAnsi="Times New Roman" w:cs="Times New Roman"/>
          <w:sz w:val="24"/>
          <w:szCs w:val="24"/>
        </w:rPr>
        <w:t xml:space="preserve">From the volcano plot and heatmap generated, a highly significant/ highly expressed gene was selected as the drug target of the study, in which ‘FANCJ-like Helicase’ </w:t>
      </w:r>
      <w:r w:rsidR="00334830">
        <w:rPr>
          <w:rFonts w:ascii="Times New Roman" w:hAnsi="Times New Roman" w:cs="Times New Roman"/>
          <w:sz w:val="24"/>
          <w:szCs w:val="24"/>
        </w:rPr>
        <w:t>(PBANKA_1034100)</w:t>
      </w:r>
      <w:r w:rsidR="00D00B40">
        <w:rPr>
          <w:rFonts w:ascii="Times New Roman" w:hAnsi="Times New Roman" w:cs="Times New Roman"/>
          <w:sz w:val="24"/>
          <w:szCs w:val="24"/>
        </w:rPr>
        <w:t>,</w:t>
      </w:r>
      <w:r w:rsidR="00637304">
        <w:rPr>
          <w:rFonts w:ascii="Times New Roman" w:hAnsi="Times New Roman" w:cs="Times New Roman"/>
          <w:sz w:val="24"/>
          <w:szCs w:val="24"/>
        </w:rPr>
        <w:t xml:space="preserve"> </w:t>
      </w:r>
      <w:r w:rsidR="00500E88" w:rsidRPr="00A22E9D">
        <w:rPr>
          <w:rFonts w:ascii="Times New Roman" w:hAnsi="Times New Roman" w:cs="Times New Roman"/>
          <w:sz w:val="24"/>
          <w:szCs w:val="24"/>
        </w:rPr>
        <w:t>was selected</w:t>
      </w:r>
      <w:r w:rsidR="003800B2" w:rsidRPr="00A22E9D">
        <w:rPr>
          <w:rFonts w:ascii="Times New Roman" w:hAnsi="Times New Roman" w:cs="Times New Roman"/>
          <w:sz w:val="24"/>
          <w:szCs w:val="24"/>
        </w:rPr>
        <w:t xml:space="preserve"> as the drug targe</w:t>
      </w:r>
      <w:r w:rsidR="00334830">
        <w:rPr>
          <w:rFonts w:ascii="Times New Roman" w:hAnsi="Times New Roman" w:cs="Times New Roman"/>
          <w:sz w:val="24"/>
          <w:szCs w:val="24"/>
        </w:rPr>
        <w:t>t</w:t>
      </w:r>
      <w:r w:rsidR="00500E88" w:rsidRPr="00A22E9D">
        <w:rPr>
          <w:rFonts w:ascii="Times New Roman" w:hAnsi="Times New Roman" w:cs="Times New Roman"/>
          <w:sz w:val="24"/>
          <w:szCs w:val="24"/>
        </w:rPr>
        <w:t>.</w:t>
      </w:r>
      <w:r w:rsidR="007D2AA8" w:rsidRPr="00A22E9D">
        <w:rPr>
          <w:rFonts w:ascii="Times New Roman" w:hAnsi="Times New Roman" w:cs="Times New Roman"/>
          <w:sz w:val="24"/>
          <w:szCs w:val="24"/>
        </w:rPr>
        <w:t xml:space="preserve"> The molecular docking for this study was done using </w:t>
      </w:r>
      <w:proofErr w:type="spellStart"/>
      <w:r w:rsidR="007D2AA8" w:rsidRPr="00A22E9D">
        <w:rPr>
          <w:rFonts w:ascii="Times New Roman" w:hAnsi="Times New Roman" w:cs="Times New Roman"/>
          <w:sz w:val="24"/>
          <w:szCs w:val="24"/>
        </w:rPr>
        <w:t>iGEMDOCK</w:t>
      </w:r>
      <w:proofErr w:type="spellEnd"/>
      <w:r w:rsidR="007D2AA8" w:rsidRPr="00A22E9D">
        <w:rPr>
          <w:rFonts w:ascii="Times New Roman" w:hAnsi="Times New Roman" w:cs="Times New Roman"/>
          <w:sz w:val="24"/>
          <w:szCs w:val="24"/>
        </w:rPr>
        <w:t xml:space="preserve"> v2.1. The selected protein (FANCJ-like Helicase) and the test ligand ((E)-3-((2,4-</w:t>
      </w:r>
      <w:proofErr w:type="gramStart"/>
      <w:r w:rsidR="007D2AA8" w:rsidRPr="00A22E9D">
        <w:rPr>
          <w:rFonts w:ascii="Times New Roman" w:hAnsi="Times New Roman" w:cs="Times New Roman"/>
          <w:sz w:val="24"/>
          <w:szCs w:val="24"/>
        </w:rPr>
        <w:t>dihydroxybenzylidene)amino</w:t>
      </w:r>
      <w:proofErr w:type="gramEnd"/>
      <w:r w:rsidR="007D2AA8" w:rsidRPr="00A22E9D">
        <w:rPr>
          <w:rFonts w:ascii="Times New Roman" w:hAnsi="Times New Roman" w:cs="Times New Roman"/>
          <w:sz w:val="24"/>
          <w:szCs w:val="24"/>
        </w:rPr>
        <w:t xml:space="preserve">)-3a,8a-dihydroxyl-2-thioxo-1,3,3a,8a-tetrahydroindeno[1,2-d]imidazol-8(2H)-one) were both uploaded on the </w:t>
      </w:r>
      <w:proofErr w:type="spellStart"/>
      <w:r w:rsidR="007D2AA8" w:rsidRPr="00A22E9D">
        <w:rPr>
          <w:rFonts w:ascii="Times New Roman" w:hAnsi="Times New Roman" w:cs="Times New Roman"/>
          <w:sz w:val="24"/>
          <w:szCs w:val="24"/>
        </w:rPr>
        <w:t>iGEMDOCK</w:t>
      </w:r>
      <w:proofErr w:type="spellEnd"/>
      <w:r w:rsidR="007D2AA8" w:rsidRPr="00A22E9D">
        <w:rPr>
          <w:rFonts w:ascii="Times New Roman" w:hAnsi="Times New Roman" w:cs="Times New Roman"/>
          <w:sz w:val="24"/>
          <w:szCs w:val="24"/>
        </w:rPr>
        <w:t xml:space="preserve"> environment. 5 different poses were generated after docking, and a best pose was indicated by the </w:t>
      </w:r>
      <w:proofErr w:type="spellStart"/>
      <w:r w:rsidR="007D2AA8" w:rsidRPr="00A22E9D">
        <w:rPr>
          <w:rFonts w:ascii="Times New Roman" w:hAnsi="Times New Roman" w:cs="Times New Roman"/>
          <w:sz w:val="24"/>
          <w:szCs w:val="24"/>
        </w:rPr>
        <w:t>iGEMDOCK</w:t>
      </w:r>
      <w:proofErr w:type="spellEnd"/>
      <w:r w:rsidR="007D2AA8" w:rsidRPr="00A22E9D">
        <w:rPr>
          <w:rFonts w:ascii="Times New Roman" w:hAnsi="Times New Roman" w:cs="Times New Roman"/>
          <w:sz w:val="24"/>
          <w:szCs w:val="24"/>
        </w:rPr>
        <w:t>. Binding energies/affinities of the docked protein and ligand were also generated.</w:t>
      </w:r>
    </w:p>
    <w:p w14:paraId="69470C40" w14:textId="4B901903" w:rsidR="00B86A83" w:rsidRPr="00A22E9D" w:rsidRDefault="00F85422" w:rsidP="00CA4B8F">
      <w:pPr>
        <w:keepNext/>
        <w:spacing w:line="480" w:lineRule="auto"/>
        <w:jc w:val="both"/>
        <w:rPr>
          <w:rFonts w:ascii="Times New Roman" w:hAnsi="Times New Roman" w:cs="Times New Roman"/>
          <w:sz w:val="24"/>
          <w:szCs w:val="24"/>
        </w:rPr>
      </w:pPr>
      <w:r w:rsidRPr="00A22E9D">
        <w:rPr>
          <w:rFonts w:ascii="Times New Roman" w:hAnsi="Times New Roman" w:cs="Times New Roman"/>
          <w:noProof/>
          <w:sz w:val="24"/>
          <w:szCs w:val="24"/>
        </w:rPr>
        <w:lastRenderedPageBreak/>
        <mc:AlternateContent>
          <mc:Choice Requires="wps">
            <w:drawing>
              <wp:anchor distT="0" distB="0" distL="114300" distR="114300" simplePos="0" relativeHeight="251668480" behindDoc="0" locked="0" layoutInCell="1" allowOverlap="1" wp14:anchorId="721C5D95" wp14:editId="37CB593B">
                <wp:simplePos x="0" y="0"/>
                <wp:positionH relativeFrom="margin">
                  <wp:align>left</wp:align>
                </wp:positionH>
                <wp:positionV relativeFrom="paragraph">
                  <wp:posOffset>19049</wp:posOffset>
                </wp:positionV>
                <wp:extent cx="6057900" cy="6048375"/>
                <wp:effectExtent l="0" t="0" r="19050" b="28575"/>
                <wp:wrapNone/>
                <wp:docPr id="386708074" name="Rectangle 2"/>
                <wp:cNvGraphicFramePr/>
                <a:graphic xmlns:a="http://schemas.openxmlformats.org/drawingml/2006/main">
                  <a:graphicData uri="http://schemas.microsoft.com/office/word/2010/wordprocessingShape">
                    <wps:wsp>
                      <wps:cNvSpPr/>
                      <wps:spPr>
                        <a:xfrm>
                          <a:off x="0" y="0"/>
                          <a:ext cx="6057900" cy="60483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D5E36" id="Rectangle 2" o:spid="_x0000_s1026" style="position:absolute;margin-left:0;margin-top:1.5pt;width:477pt;height:476.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" filled="f" strokecolor="#1f3763 [1604]" strokeweight="1pt">
                <w10:wrap anchorx="margin"/>
              </v:rect>
            </w:pict>
          </mc:Fallback>
        </mc:AlternateContent>
      </w:r>
      <w:r w:rsidR="00356CAE" w:rsidRPr="00A22E9D">
        <w:rPr>
          <w:rFonts w:ascii="Times New Roman" w:hAnsi="Times New Roman" w:cs="Times New Roman"/>
          <w:noProof/>
          <w:sz w:val="24"/>
          <w:szCs w:val="24"/>
        </w:rPr>
        <w:drawing>
          <wp:inline distT="0" distB="0" distL="0" distR="0" wp14:anchorId="701E7D5C" wp14:editId="00BD7014">
            <wp:extent cx="6038850" cy="6038416"/>
            <wp:effectExtent l="0" t="0" r="0" b="635"/>
            <wp:docPr id="17592123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12322" name="Picture 1759212322"/>
                    <pic:cNvPicPr/>
                  </pic:nvPicPr>
                  <pic:blipFill>
                    <a:blip r:embed="rId19">
                      <a:extLst>
                        <a:ext uri="{28A0092B-C50C-407E-A947-70E740481C1C}">
                          <a14:useLocalDpi xmlns:a14="http://schemas.microsoft.com/office/drawing/2010/main" val="0"/>
                        </a:ext>
                      </a:extLst>
                    </a:blip>
                    <a:stretch>
                      <a:fillRect/>
                    </a:stretch>
                  </pic:blipFill>
                  <pic:spPr>
                    <a:xfrm>
                      <a:off x="0" y="0"/>
                      <a:ext cx="6053175" cy="6052739"/>
                    </a:xfrm>
                    <a:prstGeom prst="rect">
                      <a:avLst/>
                    </a:prstGeom>
                  </pic:spPr>
                </pic:pic>
              </a:graphicData>
            </a:graphic>
          </wp:inline>
        </w:drawing>
      </w:r>
    </w:p>
    <w:p w14:paraId="3D7AF955" w14:textId="6F3BBF5E" w:rsidR="007D2AA8" w:rsidRPr="00A22E9D" w:rsidRDefault="00B86A83"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Figure</w:t>
      </w:r>
      <w:r w:rsidR="00341138" w:rsidRPr="00A22E9D">
        <w:rPr>
          <w:rFonts w:ascii="Times New Roman" w:hAnsi="Times New Roman" w:cs="Times New Roman"/>
          <w:sz w:val="24"/>
          <w:szCs w:val="24"/>
        </w:rPr>
        <w:fldChar w:fldCharType="begin"/>
      </w:r>
      <w:r w:rsidR="00341138" w:rsidRPr="00A22E9D">
        <w:rPr>
          <w:rFonts w:ascii="Times New Roman" w:hAnsi="Times New Roman" w:cs="Times New Roman"/>
          <w:sz w:val="24"/>
          <w:szCs w:val="24"/>
        </w:rPr>
        <w:instrText xml:space="preserve"> NUMPAGES  \# "4.10" </w:instrText>
      </w:r>
      <w:r w:rsidR="00341138"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1</w:t>
      </w:r>
      <w:r w:rsidR="00FE6C29">
        <w:rPr>
          <w:rFonts w:ascii="Times New Roman" w:hAnsi="Times New Roman" w:cs="Times New Roman"/>
          <w:noProof/>
          <w:sz w:val="24"/>
          <w:szCs w:val="24"/>
        </w:rPr>
        <w:t>0</w:t>
      </w:r>
      <w:r w:rsidR="00341138" w:rsidRPr="00A22E9D">
        <w:rPr>
          <w:rFonts w:ascii="Times New Roman" w:hAnsi="Times New Roman" w:cs="Times New Roman"/>
          <w:sz w:val="24"/>
          <w:szCs w:val="24"/>
        </w:rPr>
        <w:fldChar w:fldCharType="end"/>
      </w:r>
      <w:r w:rsidR="008C1BB8" w:rsidRPr="00A22E9D">
        <w:rPr>
          <w:rFonts w:ascii="Times New Roman" w:hAnsi="Times New Roman" w:cs="Times New Roman"/>
          <w:sz w:val="24"/>
          <w:szCs w:val="24"/>
        </w:rPr>
        <w:t xml:space="preserve"> </w:t>
      </w:r>
      <w:r w:rsidRPr="00A22E9D">
        <w:rPr>
          <w:rFonts w:ascii="Times New Roman" w:hAnsi="Times New Roman" w:cs="Times New Roman"/>
          <w:sz w:val="24"/>
          <w:szCs w:val="24"/>
        </w:rPr>
        <w:t>2D</w:t>
      </w:r>
      <w:r w:rsidR="008C1BB8" w:rsidRPr="00A22E9D">
        <w:rPr>
          <w:rFonts w:ascii="Times New Roman" w:hAnsi="Times New Roman" w:cs="Times New Roman"/>
          <w:sz w:val="24"/>
          <w:szCs w:val="24"/>
        </w:rPr>
        <w:t xml:space="preserve"> </w:t>
      </w:r>
      <w:r w:rsidRPr="00A22E9D">
        <w:rPr>
          <w:rFonts w:ascii="Times New Roman" w:hAnsi="Times New Roman" w:cs="Times New Roman"/>
          <w:sz w:val="24"/>
          <w:szCs w:val="24"/>
        </w:rPr>
        <w:t>Structure representing interactions between (E)-3-((2,4-dihydroxybenzylidene)amino)-3a,8a-dihydroxyl-2-thioxo-1,3,3a,8a-tetrahydroindeno[1,2-d]imidazol-8(2H)-one and FANCJ-like Helicase</w:t>
      </w:r>
    </w:p>
    <w:p w14:paraId="7745F4FD" w14:textId="77777777" w:rsidR="00B4769F" w:rsidRPr="00A22E9D" w:rsidRDefault="00B4769F" w:rsidP="00CA4B8F">
      <w:pPr>
        <w:spacing w:line="480" w:lineRule="auto"/>
        <w:jc w:val="both"/>
        <w:rPr>
          <w:rFonts w:ascii="Times New Roman" w:hAnsi="Times New Roman" w:cs="Times New Roman"/>
          <w:sz w:val="24"/>
          <w:szCs w:val="24"/>
        </w:rPr>
      </w:pPr>
    </w:p>
    <w:p w14:paraId="7BD7CBDF" w14:textId="77777777" w:rsidR="00F85422" w:rsidRDefault="00F85422">
      <w:pPr>
        <w:rPr>
          <w:rFonts w:ascii="Times New Roman" w:hAnsi="Times New Roman" w:cs="Times New Roman"/>
          <w:sz w:val="24"/>
          <w:szCs w:val="24"/>
        </w:rPr>
      </w:pPr>
      <w:r>
        <w:rPr>
          <w:rFonts w:ascii="Times New Roman" w:hAnsi="Times New Roman" w:cs="Times New Roman"/>
          <w:sz w:val="24"/>
          <w:szCs w:val="24"/>
        </w:rPr>
        <w:br w:type="page"/>
      </w:r>
    </w:p>
    <w:p w14:paraId="7084B2CD" w14:textId="5E947033" w:rsidR="00B4769F" w:rsidRPr="00A22E9D" w:rsidRDefault="00B4769F"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 xml:space="preserve">Likewise, the target protein (FANCJ-like Helicase) was docked against Chloroquine which serves as a control due to its known activity against plasmodium infection. Both were uploaded on the </w:t>
      </w:r>
      <w:proofErr w:type="spellStart"/>
      <w:r w:rsidRPr="00A22E9D">
        <w:rPr>
          <w:rFonts w:ascii="Times New Roman" w:hAnsi="Times New Roman" w:cs="Times New Roman"/>
          <w:sz w:val="24"/>
          <w:szCs w:val="24"/>
        </w:rPr>
        <w:t>iGEMDOCK</w:t>
      </w:r>
      <w:proofErr w:type="spellEnd"/>
      <w:r w:rsidRPr="00A22E9D">
        <w:rPr>
          <w:rFonts w:ascii="Times New Roman" w:hAnsi="Times New Roman" w:cs="Times New Roman"/>
          <w:sz w:val="24"/>
          <w:szCs w:val="24"/>
        </w:rPr>
        <w:t xml:space="preserve"> environment and 5 different poses were also generated after docking, and a best pose was indicated by the </w:t>
      </w:r>
      <w:proofErr w:type="spellStart"/>
      <w:r w:rsidRPr="00A22E9D">
        <w:rPr>
          <w:rFonts w:ascii="Times New Roman" w:hAnsi="Times New Roman" w:cs="Times New Roman"/>
          <w:sz w:val="24"/>
          <w:szCs w:val="24"/>
        </w:rPr>
        <w:t>iGEMDOCK</w:t>
      </w:r>
      <w:proofErr w:type="spellEnd"/>
      <w:r w:rsidRPr="00A22E9D">
        <w:rPr>
          <w:rFonts w:ascii="Times New Roman" w:hAnsi="Times New Roman" w:cs="Times New Roman"/>
          <w:sz w:val="24"/>
          <w:szCs w:val="24"/>
        </w:rPr>
        <w:t>. Binding energies/affinities of the docked protein and Chloroquine were also generated.</w:t>
      </w:r>
    </w:p>
    <w:p w14:paraId="5E0DB529" w14:textId="77777777" w:rsidR="00F85422" w:rsidRDefault="00F85422">
      <w:pPr>
        <w:rPr>
          <w:rFonts w:ascii="Times New Roman" w:hAnsi="Times New Roman" w:cs="Times New Roman"/>
          <w:noProof/>
          <w:sz w:val="24"/>
          <w:szCs w:val="24"/>
        </w:rPr>
      </w:pPr>
      <w:r>
        <w:rPr>
          <w:rFonts w:ascii="Times New Roman" w:hAnsi="Times New Roman" w:cs="Times New Roman"/>
          <w:noProof/>
          <w:sz w:val="24"/>
          <w:szCs w:val="24"/>
        </w:rPr>
        <w:br w:type="page"/>
      </w:r>
    </w:p>
    <w:p w14:paraId="2AF146F0" w14:textId="7FA14823" w:rsidR="00D7150B" w:rsidRPr="00A22E9D" w:rsidRDefault="00F85422" w:rsidP="00CA4B8F">
      <w:pPr>
        <w:keepNext/>
        <w:spacing w:line="480" w:lineRule="auto"/>
        <w:jc w:val="both"/>
        <w:rPr>
          <w:rFonts w:ascii="Times New Roman" w:hAnsi="Times New Roman" w:cs="Times New Roman"/>
        </w:rPr>
      </w:pPr>
      <w:r w:rsidRPr="00A22E9D">
        <w:rPr>
          <w:rFonts w:ascii="Times New Roman" w:hAnsi="Times New Roman" w:cs="Times New Roman"/>
          <w:noProof/>
          <w:sz w:val="24"/>
          <w:szCs w:val="24"/>
        </w:rPr>
        <w:lastRenderedPageBreak/>
        <mc:AlternateContent>
          <mc:Choice Requires="wps">
            <w:drawing>
              <wp:anchor distT="0" distB="0" distL="114300" distR="114300" simplePos="0" relativeHeight="251670528" behindDoc="0" locked="0" layoutInCell="1" allowOverlap="1" wp14:anchorId="69597154" wp14:editId="551C0919">
                <wp:simplePos x="0" y="0"/>
                <wp:positionH relativeFrom="margin">
                  <wp:align>left</wp:align>
                </wp:positionH>
                <wp:positionV relativeFrom="paragraph">
                  <wp:posOffset>-1</wp:posOffset>
                </wp:positionV>
                <wp:extent cx="6105525" cy="4905375"/>
                <wp:effectExtent l="0" t="0" r="28575" b="28575"/>
                <wp:wrapNone/>
                <wp:docPr id="958115287" name="Rectangle 3"/>
                <wp:cNvGraphicFramePr/>
                <a:graphic xmlns:a="http://schemas.openxmlformats.org/drawingml/2006/main">
                  <a:graphicData uri="http://schemas.microsoft.com/office/word/2010/wordprocessingShape">
                    <wps:wsp>
                      <wps:cNvSpPr/>
                      <wps:spPr>
                        <a:xfrm>
                          <a:off x="0" y="0"/>
                          <a:ext cx="6105525" cy="49053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BC934" id="Rectangle 3" o:spid="_x0000_s1026" style="position:absolute;margin-left:0;margin-top:0;width:480.75pt;height:386.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" filled="f" strokecolor="#1f3763 [1604]" strokeweight="1pt">
                <w10:wrap anchorx="margin"/>
              </v:rect>
            </w:pict>
          </mc:Fallback>
        </mc:AlternateContent>
      </w:r>
      <w:r w:rsidR="00963E31" w:rsidRPr="00A22E9D">
        <w:rPr>
          <w:rFonts w:ascii="Times New Roman" w:hAnsi="Times New Roman" w:cs="Times New Roman"/>
          <w:noProof/>
          <w:sz w:val="24"/>
          <w:szCs w:val="24"/>
        </w:rPr>
        <w:drawing>
          <wp:inline distT="0" distB="0" distL="0" distR="0" wp14:anchorId="34861184" wp14:editId="6571B120">
            <wp:extent cx="6145218" cy="4886325"/>
            <wp:effectExtent l="0" t="0" r="8255" b="0"/>
            <wp:docPr id="212700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02362" name="Picture 2127002362"/>
                    <pic:cNvPicPr/>
                  </pic:nvPicPr>
                  <pic:blipFill>
                    <a:blip r:embed="rId20">
                      <a:extLst>
                        <a:ext uri="{28A0092B-C50C-407E-A947-70E740481C1C}">
                          <a14:useLocalDpi xmlns:a14="http://schemas.microsoft.com/office/drawing/2010/main" val="0"/>
                        </a:ext>
                      </a:extLst>
                    </a:blip>
                    <a:stretch>
                      <a:fillRect/>
                    </a:stretch>
                  </pic:blipFill>
                  <pic:spPr>
                    <a:xfrm>
                      <a:off x="0" y="0"/>
                      <a:ext cx="6169671" cy="4905769"/>
                    </a:xfrm>
                    <a:prstGeom prst="rect">
                      <a:avLst/>
                    </a:prstGeom>
                  </pic:spPr>
                </pic:pic>
              </a:graphicData>
            </a:graphic>
          </wp:inline>
        </w:drawing>
      </w:r>
    </w:p>
    <w:p w14:paraId="0DD6DB37" w14:textId="3CD4813D" w:rsidR="00B4769F" w:rsidRPr="00A22E9D" w:rsidRDefault="00D7150B" w:rsidP="00CA4B8F">
      <w:pPr>
        <w:pStyle w:val="Caption"/>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t xml:space="preserve">Figure </w:t>
      </w:r>
      <w:r w:rsidR="00C729B9" w:rsidRPr="00A22E9D">
        <w:rPr>
          <w:rFonts w:ascii="Times New Roman" w:hAnsi="Times New Roman" w:cs="Times New Roman"/>
          <w:sz w:val="24"/>
          <w:szCs w:val="24"/>
        </w:rPr>
        <w:fldChar w:fldCharType="begin"/>
      </w:r>
      <w:r w:rsidR="00C729B9" w:rsidRPr="00A22E9D">
        <w:rPr>
          <w:rFonts w:ascii="Times New Roman" w:hAnsi="Times New Roman" w:cs="Times New Roman"/>
          <w:sz w:val="24"/>
          <w:szCs w:val="24"/>
        </w:rPr>
        <w:instrText xml:space="preserve"> NUMPAGES  \# "4.11" </w:instrText>
      </w:r>
      <w:r w:rsidR="00C729B9"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11</w:t>
      </w:r>
      <w:r w:rsidR="00C729B9"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w:t>
      </w:r>
      <w:r w:rsidR="00C729B9" w:rsidRPr="00A22E9D">
        <w:rPr>
          <w:rFonts w:ascii="Times New Roman" w:hAnsi="Times New Roman" w:cs="Times New Roman"/>
          <w:sz w:val="24"/>
          <w:szCs w:val="24"/>
        </w:rPr>
        <w:t xml:space="preserve">2D </w:t>
      </w:r>
      <w:r w:rsidRPr="00A22E9D">
        <w:rPr>
          <w:rFonts w:ascii="Times New Roman" w:hAnsi="Times New Roman" w:cs="Times New Roman"/>
          <w:sz w:val="24"/>
          <w:szCs w:val="24"/>
        </w:rPr>
        <w:t>Structure representing interactions between Chloroquine</w:t>
      </w:r>
      <w:r w:rsidR="00B64548">
        <w:rPr>
          <w:rFonts w:ascii="Times New Roman" w:hAnsi="Times New Roman" w:cs="Times New Roman"/>
          <w:sz w:val="24"/>
          <w:szCs w:val="24"/>
        </w:rPr>
        <w:t xml:space="preserve"> (control)</w:t>
      </w:r>
      <w:r w:rsidRPr="00A22E9D">
        <w:rPr>
          <w:rFonts w:ascii="Times New Roman" w:hAnsi="Times New Roman" w:cs="Times New Roman"/>
          <w:sz w:val="24"/>
          <w:szCs w:val="24"/>
        </w:rPr>
        <w:t xml:space="preserve"> and FANCJ-like Helicase</w:t>
      </w:r>
    </w:p>
    <w:p w14:paraId="01B889FD" w14:textId="77777777" w:rsidR="00EB609E" w:rsidRPr="00A22E9D" w:rsidRDefault="00EB609E" w:rsidP="00CA4B8F">
      <w:pPr>
        <w:spacing w:line="480" w:lineRule="auto"/>
        <w:jc w:val="both"/>
        <w:rPr>
          <w:rFonts w:ascii="Times New Roman" w:hAnsi="Times New Roman" w:cs="Times New Roman"/>
          <w:sz w:val="24"/>
          <w:szCs w:val="24"/>
        </w:rPr>
      </w:pPr>
    </w:p>
    <w:p w14:paraId="35ED9A45" w14:textId="77777777" w:rsidR="00F85422" w:rsidRDefault="00F85422">
      <w:pPr>
        <w:rPr>
          <w:rFonts w:ascii="Times New Roman" w:hAnsi="Times New Roman" w:cs="Times New Roman"/>
          <w:i/>
          <w:iCs/>
          <w:color w:val="44546A" w:themeColor="text2"/>
          <w:sz w:val="24"/>
          <w:szCs w:val="24"/>
        </w:rPr>
      </w:pPr>
      <w:r>
        <w:rPr>
          <w:rFonts w:ascii="Times New Roman" w:hAnsi="Times New Roman" w:cs="Times New Roman"/>
          <w:sz w:val="24"/>
          <w:szCs w:val="24"/>
        </w:rPr>
        <w:br w:type="page"/>
      </w:r>
    </w:p>
    <w:p w14:paraId="75BA4217" w14:textId="2592C1F2" w:rsidR="005A5B61" w:rsidRPr="00A22E9D" w:rsidRDefault="005A5B61" w:rsidP="00CA4B8F">
      <w:pPr>
        <w:pStyle w:val="Caption"/>
        <w:keepNext/>
        <w:spacing w:line="480" w:lineRule="auto"/>
        <w:rPr>
          <w:rFonts w:ascii="Times New Roman" w:hAnsi="Times New Roman" w:cs="Times New Roman"/>
          <w:sz w:val="24"/>
          <w:szCs w:val="24"/>
        </w:rPr>
      </w:pPr>
      <w:r w:rsidRPr="00A22E9D">
        <w:rPr>
          <w:rFonts w:ascii="Times New Roman" w:hAnsi="Times New Roman" w:cs="Times New Roman"/>
          <w:sz w:val="24"/>
          <w:szCs w:val="24"/>
        </w:rPr>
        <w:lastRenderedPageBreak/>
        <w:t xml:space="preserve">Table </w:t>
      </w:r>
      <w:r w:rsidR="00D54742" w:rsidRPr="00A22E9D">
        <w:rPr>
          <w:rFonts w:ascii="Times New Roman" w:hAnsi="Times New Roman" w:cs="Times New Roman"/>
          <w:sz w:val="24"/>
          <w:szCs w:val="24"/>
        </w:rPr>
        <w:fldChar w:fldCharType="begin"/>
      </w:r>
      <w:r w:rsidR="00D54742" w:rsidRPr="00A22E9D">
        <w:rPr>
          <w:rFonts w:ascii="Times New Roman" w:hAnsi="Times New Roman" w:cs="Times New Roman"/>
          <w:sz w:val="24"/>
          <w:szCs w:val="24"/>
        </w:rPr>
        <w:instrText xml:space="preserve"> NUMPAGES  \# "4.4" </w:instrText>
      </w:r>
      <w:r w:rsidR="00D54742" w:rsidRPr="00A22E9D">
        <w:rPr>
          <w:rFonts w:ascii="Times New Roman" w:hAnsi="Times New Roman" w:cs="Times New Roman"/>
          <w:sz w:val="24"/>
          <w:szCs w:val="24"/>
        </w:rPr>
        <w:fldChar w:fldCharType="separate"/>
      </w:r>
      <w:r w:rsidR="00FE6C29" w:rsidRPr="00A22E9D">
        <w:rPr>
          <w:rFonts w:ascii="Times New Roman" w:hAnsi="Times New Roman" w:cs="Times New Roman"/>
          <w:noProof/>
          <w:sz w:val="24"/>
          <w:szCs w:val="24"/>
        </w:rPr>
        <w:t>4</w:t>
      </w:r>
      <w:r w:rsidR="00FE6C29">
        <w:rPr>
          <w:rFonts w:ascii="Times New Roman" w:hAnsi="Times New Roman" w:cs="Times New Roman"/>
          <w:noProof/>
          <w:sz w:val="24"/>
          <w:szCs w:val="24"/>
        </w:rPr>
        <w:t>.</w:t>
      </w:r>
      <w:r w:rsidR="00FE6C29" w:rsidRPr="00A22E9D">
        <w:rPr>
          <w:rFonts w:ascii="Times New Roman" w:hAnsi="Times New Roman" w:cs="Times New Roman"/>
          <w:noProof/>
          <w:sz w:val="24"/>
          <w:szCs w:val="24"/>
        </w:rPr>
        <w:t>4</w:t>
      </w:r>
      <w:r w:rsidR="00D54742"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Table showing the binding affinities and interacting amino acids of compounds (test and control) versus the target protein (FANCJ-like Helicase)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202"/>
        <w:gridCol w:w="2909"/>
        <w:gridCol w:w="2905"/>
      </w:tblGrid>
      <w:tr w:rsidR="001C5C7C" w:rsidRPr="00A22E9D" w14:paraId="78D6DB8D" w14:textId="77777777" w:rsidTr="00F01840">
        <w:tc>
          <w:tcPr>
            <w:tcW w:w="3202" w:type="dxa"/>
          </w:tcPr>
          <w:p w14:paraId="5A4B052E" w14:textId="37F76EA3" w:rsidR="001C5C7C" w:rsidRPr="00A22E9D" w:rsidRDefault="001C5C7C"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Compound</w:t>
            </w:r>
          </w:p>
        </w:tc>
        <w:tc>
          <w:tcPr>
            <w:tcW w:w="2909" w:type="dxa"/>
          </w:tcPr>
          <w:p w14:paraId="0B1297CC" w14:textId="77C00926" w:rsidR="001C5C7C" w:rsidRPr="00A22E9D" w:rsidRDefault="001C5C7C"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FANCJ-like Helicase protein binding affinity (kcal/mol)</w:t>
            </w:r>
          </w:p>
        </w:tc>
        <w:tc>
          <w:tcPr>
            <w:tcW w:w="2905" w:type="dxa"/>
          </w:tcPr>
          <w:p w14:paraId="635617AB" w14:textId="701AE1AD" w:rsidR="001C5C7C" w:rsidRPr="00A22E9D" w:rsidRDefault="001C5C7C"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Amino-acid Interaction</w:t>
            </w:r>
          </w:p>
        </w:tc>
      </w:tr>
      <w:tr w:rsidR="001C5C7C" w:rsidRPr="00A22E9D" w14:paraId="04FE01F1" w14:textId="77777777" w:rsidTr="00F01840">
        <w:tc>
          <w:tcPr>
            <w:tcW w:w="3202" w:type="dxa"/>
          </w:tcPr>
          <w:p w14:paraId="61D7300A" w14:textId="77777777" w:rsidR="006B28C9" w:rsidRPr="00A22E9D" w:rsidRDefault="006B28C9"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Test Ligand:</w:t>
            </w:r>
          </w:p>
          <w:p w14:paraId="65B1A7A8" w14:textId="3B035F84" w:rsidR="006B28C9" w:rsidRPr="00A22E9D" w:rsidRDefault="006B28C9"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(E)-3-((2,4-dihydroxybenzylidene)amino)-3a,8a-dihydroxyl-2-thioxo-1,3,3a,8a-tetrahydroindeno[1,2-d]imidazol-8(2H)-one</w:t>
            </w:r>
          </w:p>
        </w:tc>
        <w:tc>
          <w:tcPr>
            <w:tcW w:w="2909" w:type="dxa"/>
          </w:tcPr>
          <w:p w14:paraId="6B79C68C" w14:textId="51F2767D" w:rsidR="001C5C7C" w:rsidRPr="00A22E9D" w:rsidRDefault="006B28C9"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-112.543</w:t>
            </w:r>
          </w:p>
        </w:tc>
        <w:tc>
          <w:tcPr>
            <w:tcW w:w="2905" w:type="dxa"/>
          </w:tcPr>
          <w:p w14:paraId="39C2E5FE" w14:textId="6497D371" w:rsidR="001C5C7C" w:rsidRPr="00A22E9D" w:rsidRDefault="006B28C9"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TYR445, THR502, SER500, GLN532, LYS531, GLU 736, PRO528, GLY535, PHE708, LEU705</w:t>
            </w:r>
            <w:r w:rsidR="00FD0384" w:rsidRPr="00A22E9D">
              <w:rPr>
                <w:rFonts w:ascii="Times New Roman" w:hAnsi="Times New Roman" w:cs="Times New Roman"/>
                <w:sz w:val="24"/>
                <w:szCs w:val="24"/>
              </w:rPr>
              <w:t>.</w:t>
            </w:r>
          </w:p>
        </w:tc>
      </w:tr>
      <w:tr w:rsidR="001C5C7C" w:rsidRPr="00A22E9D" w14:paraId="67B67064" w14:textId="77777777" w:rsidTr="00F01840">
        <w:tc>
          <w:tcPr>
            <w:tcW w:w="3202" w:type="dxa"/>
          </w:tcPr>
          <w:p w14:paraId="545A0C1A" w14:textId="77777777" w:rsidR="001C5C7C" w:rsidRPr="00A22E9D" w:rsidRDefault="006B28C9"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Control:</w:t>
            </w:r>
          </w:p>
          <w:p w14:paraId="1F9D24AA" w14:textId="0244671A" w:rsidR="006B28C9" w:rsidRPr="00A22E9D" w:rsidRDefault="006B28C9"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Chloroquine</w:t>
            </w:r>
          </w:p>
        </w:tc>
        <w:tc>
          <w:tcPr>
            <w:tcW w:w="2909" w:type="dxa"/>
          </w:tcPr>
          <w:p w14:paraId="6A944461" w14:textId="515D6864" w:rsidR="001C5C7C" w:rsidRPr="00A22E9D" w:rsidRDefault="00A61D0A" w:rsidP="00F01840">
            <w:pPr>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-105.475325</w:t>
            </w:r>
          </w:p>
        </w:tc>
        <w:tc>
          <w:tcPr>
            <w:tcW w:w="2905" w:type="dxa"/>
          </w:tcPr>
          <w:p w14:paraId="55102709" w14:textId="06361A33" w:rsidR="001C5C7C" w:rsidRPr="00A22E9D" w:rsidRDefault="00916D32" w:rsidP="00F01840">
            <w:pPr>
              <w:keepNext/>
              <w:spacing w:line="360" w:lineRule="auto"/>
              <w:jc w:val="both"/>
              <w:rPr>
                <w:rFonts w:ascii="Times New Roman" w:hAnsi="Times New Roman" w:cs="Times New Roman"/>
                <w:sz w:val="24"/>
                <w:szCs w:val="24"/>
              </w:rPr>
            </w:pPr>
            <w:r w:rsidRPr="00A22E9D">
              <w:rPr>
                <w:rFonts w:ascii="Times New Roman" w:hAnsi="Times New Roman" w:cs="Times New Roman"/>
                <w:sz w:val="24"/>
                <w:szCs w:val="24"/>
              </w:rPr>
              <w:t>GLU398, LYS187, LYS183</w:t>
            </w:r>
            <w:r w:rsidR="00FD0384" w:rsidRPr="00A22E9D">
              <w:rPr>
                <w:rFonts w:ascii="Times New Roman" w:hAnsi="Times New Roman" w:cs="Times New Roman"/>
                <w:sz w:val="24"/>
                <w:szCs w:val="24"/>
              </w:rPr>
              <w:t>.</w:t>
            </w:r>
          </w:p>
        </w:tc>
      </w:tr>
    </w:tbl>
    <w:p w14:paraId="64B21F06" w14:textId="77777777" w:rsidR="005A5B61" w:rsidRPr="00A22E9D" w:rsidRDefault="005A5B61" w:rsidP="00CA4B8F">
      <w:pPr>
        <w:spacing w:line="480" w:lineRule="auto"/>
        <w:jc w:val="both"/>
        <w:rPr>
          <w:rFonts w:ascii="Times New Roman" w:hAnsi="Times New Roman" w:cs="Times New Roman"/>
          <w:b/>
          <w:bCs/>
          <w:sz w:val="24"/>
          <w:szCs w:val="24"/>
        </w:rPr>
      </w:pPr>
    </w:p>
    <w:p w14:paraId="147147C8" w14:textId="77777777" w:rsidR="00F01840" w:rsidRDefault="00F01840">
      <w:pPr>
        <w:rPr>
          <w:rFonts w:ascii="Times New Roman" w:hAnsi="Times New Roman" w:cs="Times New Roman"/>
          <w:b/>
          <w:bCs/>
          <w:sz w:val="24"/>
          <w:szCs w:val="24"/>
        </w:rPr>
      </w:pPr>
      <w:r>
        <w:rPr>
          <w:rFonts w:ascii="Times New Roman" w:hAnsi="Times New Roman" w:cs="Times New Roman"/>
          <w:b/>
          <w:bCs/>
          <w:sz w:val="24"/>
          <w:szCs w:val="24"/>
        </w:rPr>
        <w:br w:type="page"/>
      </w:r>
    </w:p>
    <w:p w14:paraId="062072FD" w14:textId="2F19F596" w:rsidR="00EF3663" w:rsidRPr="00A22E9D" w:rsidRDefault="00BF16AC" w:rsidP="00CA4B8F">
      <w:pPr>
        <w:spacing w:line="480" w:lineRule="auto"/>
        <w:jc w:val="both"/>
        <w:rPr>
          <w:rFonts w:ascii="Times New Roman" w:hAnsi="Times New Roman" w:cs="Times New Roman"/>
          <w:sz w:val="24"/>
          <w:szCs w:val="24"/>
        </w:rPr>
      </w:pPr>
      <w:r w:rsidRPr="00A22E9D">
        <w:rPr>
          <w:rFonts w:ascii="Times New Roman" w:hAnsi="Times New Roman" w:cs="Times New Roman"/>
          <w:b/>
          <w:bCs/>
          <w:sz w:val="24"/>
          <w:szCs w:val="24"/>
        </w:rPr>
        <w:lastRenderedPageBreak/>
        <w:t>ADMET STUDY AND DRUG-LIKENESS</w:t>
      </w:r>
      <w:r w:rsidRPr="00A22E9D">
        <w:rPr>
          <w:rFonts w:ascii="Times New Roman" w:hAnsi="Times New Roman" w:cs="Times New Roman"/>
          <w:sz w:val="24"/>
          <w:szCs w:val="24"/>
        </w:rPr>
        <w:t xml:space="preserve">: In molecular docking of drug discovery, ligands are subjected to drug-likeness to facilitate and standardize </w:t>
      </w:r>
      <w:r w:rsidR="003B2757" w:rsidRPr="00A22E9D">
        <w:rPr>
          <w:rFonts w:ascii="Times New Roman" w:hAnsi="Times New Roman" w:cs="Times New Roman"/>
          <w:sz w:val="24"/>
          <w:szCs w:val="24"/>
        </w:rPr>
        <w:t xml:space="preserve">the new drug molecule. </w:t>
      </w:r>
      <w:r w:rsidR="003B522C" w:rsidRPr="00A22E9D">
        <w:rPr>
          <w:rFonts w:ascii="Times New Roman" w:hAnsi="Times New Roman" w:cs="Times New Roman"/>
          <w:sz w:val="24"/>
          <w:szCs w:val="24"/>
        </w:rPr>
        <w:t xml:space="preserve">There are different parameters or rules that the ligands must comply with before </w:t>
      </w:r>
      <w:r w:rsidR="00A665F3" w:rsidRPr="00A22E9D">
        <w:rPr>
          <w:rFonts w:ascii="Times New Roman" w:hAnsi="Times New Roman" w:cs="Times New Roman"/>
          <w:sz w:val="24"/>
          <w:szCs w:val="24"/>
        </w:rPr>
        <w:t>it’s</w:t>
      </w:r>
      <w:r w:rsidR="003B522C" w:rsidRPr="00A22E9D">
        <w:rPr>
          <w:rFonts w:ascii="Times New Roman" w:hAnsi="Times New Roman" w:cs="Times New Roman"/>
          <w:sz w:val="24"/>
          <w:szCs w:val="24"/>
        </w:rPr>
        <w:t xml:space="preserve"> accepted as a drug</w:t>
      </w:r>
      <w:r w:rsidR="006025F7" w:rsidRPr="00A22E9D">
        <w:rPr>
          <w:rFonts w:ascii="Times New Roman" w:hAnsi="Times New Roman" w:cs="Times New Roman"/>
          <w:sz w:val="24"/>
          <w:szCs w:val="24"/>
        </w:rPr>
        <w:t xml:space="preserve"> </w:t>
      </w:r>
      <w:r w:rsidR="006025F7" w:rsidRPr="00A22E9D">
        <w:rPr>
          <w:rFonts w:ascii="Times New Roman" w:hAnsi="Times New Roman" w:cs="Times New Roman"/>
          <w:sz w:val="24"/>
          <w:szCs w:val="24"/>
        </w:rPr>
        <w:fldChar w:fldCharType="begin"/>
      </w:r>
      <w:r w:rsidR="0037435D" w:rsidRPr="00A22E9D">
        <w:rPr>
          <w:rFonts w:ascii="Times New Roman" w:hAnsi="Times New Roman" w:cs="Times New Roman"/>
          <w:sz w:val="24"/>
          <w:szCs w:val="24"/>
        </w:rPr>
        <w:instrText xml:space="preserve"> ADDIN ZOTERO_ITEM CSL_CITATION {"citationID":"p1DA2Icr","properties":{"formattedCitation":"(Otvos &amp; Wade, 2014)","plainCitation":"(Otvos &amp; Wade, 2014)","noteIndex":0},"citationItems":[{"id":460,"uris":["http://zotero.org/users/local/BeK2zaGK/items/AKPU6F5D"],"itemData":{"id":460,"type":"article-journal","container-title":"Frontiers in Chemistry","DOI":"10.3389/fchem.2014.00062","ISSN":"2296-2646","journalAbbreviation":"Front Chem","language":"eng","note":"PMID: 25152873\nPMCID: PMC4126357","page":"62","source":"PubMed","title":"Current challenges in peptide-based drug discovery","volume":"2","author":[{"family":"Otvos","given":"Laszlo"},{"family":"Wade","given":"John D."}],"issued":{"date-parts":[["2014"]]}}}],"schema":"https://github.com/citation-style-language/schema/raw/master/csl-citation.json"} </w:instrText>
      </w:r>
      <w:r w:rsidR="006025F7" w:rsidRPr="00A22E9D">
        <w:rPr>
          <w:rFonts w:ascii="Times New Roman" w:hAnsi="Times New Roman" w:cs="Times New Roman"/>
          <w:sz w:val="24"/>
          <w:szCs w:val="24"/>
        </w:rPr>
        <w:fldChar w:fldCharType="separate"/>
      </w:r>
      <w:r w:rsidR="0037435D" w:rsidRPr="00A22E9D">
        <w:rPr>
          <w:rFonts w:ascii="Times New Roman" w:hAnsi="Times New Roman" w:cs="Times New Roman"/>
          <w:sz w:val="24"/>
        </w:rPr>
        <w:t>(Otvos &amp; Wade, 2014)</w:t>
      </w:r>
      <w:r w:rsidR="006025F7" w:rsidRPr="00A22E9D">
        <w:rPr>
          <w:rFonts w:ascii="Times New Roman" w:hAnsi="Times New Roman" w:cs="Times New Roman"/>
          <w:sz w:val="24"/>
          <w:szCs w:val="24"/>
        </w:rPr>
        <w:fldChar w:fldCharType="end"/>
      </w:r>
      <w:r w:rsidR="003B522C" w:rsidRPr="00A22E9D">
        <w:rPr>
          <w:rFonts w:ascii="Times New Roman" w:hAnsi="Times New Roman" w:cs="Times New Roman"/>
          <w:sz w:val="24"/>
          <w:szCs w:val="24"/>
        </w:rPr>
        <w:t>. The study was used to assess the pharmacokinetic and toxicological properties of potential drug candidates</w:t>
      </w:r>
      <w:r w:rsidR="00A665F3" w:rsidRPr="00A22E9D">
        <w:rPr>
          <w:rFonts w:ascii="Times New Roman" w:hAnsi="Times New Roman" w:cs="Times New Roman"/>
          <w:sz w:val="24"/>
          <w:szCs w:val="24"/>
        </w:rPr>
        <w:t>, providing crucial information for optimizing drug efficacy and safety</w:t>
      </w:r>
      <w:r w:rsidR="003B522C" w:rsidRPr="00A22E9D">
        <w:rPr>
          <w:rFonts w:ascii="Times New Roman" w:hAnsi="Times New Roman" w:cs="Times New Roman"/>
          <w:sz w:val="24"/>
          <w:szCs w:val="24"/>
        </w:rPr>
        <w:t xml:space="preserve">. </w:t>
      </w:r>
      <w:r w:rsidR="00A665F3" w:rsidRPr="00A22E9D">
        <w:rPr>
          <w:rFonts w:ascii="Times New Roman" w:hAnsi="Times New Roman" w:cs="Times New Roman"/>
          <w:sz w:val="24"/>
          <w:szCs w:val="24"/>
        </w:rPr>
        <w:t xml:space="preserve">The ADMET study was conducted on the test ligand to test the integrity of the synthesised drug. </w:t>
      </w:r>
      <w:r w:rsidR="003B522C" w:rsidRPr="00A22E9D">
        <w:rPr>
          <w:rFonts w:ascii="Times New Roman" w:hAnsi="Times New Roman" w:cs="Times New Roman"/>
          <w:sz w:val="24"/>
          <w:szCs w:val="24"/>
        </w:rPr>
        <w:t>The generated results include the physiochemical properties, medicinal chemistry and toxicity</w:t>
      </w:r>
      <w:r w:rsidR="00634841">
        <w:rPr>
          <w:rFonts w:ascii="Times New Roman" w:hAnsi="Times New Roman" w:cs="Times New Roman"/>
          <w:sz w:val="24"/>
          <w:szCs w:val="24"/>
        </w:rPr>
        <w:t>, which can be seen in the appendix</w:t>
      </w:r>
      <w:r w:rsidR="00B94941">
        <w:rPr>
          <w:rFonts w:ascii="Times New Roman" w:hAnsi="Times New Roman" w:cs="Times New Roman"/>
          <w:sz w:val="24"/>
          <w:szCs w:val="24"/>
        </w:rPr>
        <w:t>.</w:t>
      </w:r>
    </w:p>
    <w:p w14:paraId="5D68AE95" w14:textId="77777777" w:rsidR="0054508A" w:rsidRDefault="0054508A">
      <w:pPr>
        <w:rPr>
          <w:rFonts w:ascii="Times New Roman" w:eastAsiaTheme="majorEastAsia" w:hAnsi="Times New Roman" w:cs="Times New Roman"/>
          <w:b/>
          <w:sz w:val="28"/>
          <w:szCs w:val="32"/>
          <w:lang w:val="en-US"/>
        </w:rPr>
      </w:pPr>
      <w:r>
        <w:rPr>
          <w:rFonts w:cs="Times New Roman"/>
        </w:rPr>
        <w:br w:type="page"/>
      </w:r>
    </w:p>
    <w:p w14:paraId="7B02BD60" w14:textId="7D591432" w:rsidR="00CF577C" w:rsidRPr="00A22E9D" w:rsidRDefault="00CF577C" w:rsidP="00CA4B8F">
      <w:pPr>
        <w:pStyle w:val="Heading1"/>
        <w:spacing w:line="480" w:lineRule="auto"/>
        <w:rPr>
          <w:rFonts w:cs="Times New Roman"/>
        </w:rPr>
      </w:pPr>
      <w:bookmarkStart w:id="44" w:name="_Toc145500392"/>
      <w:r w:rsidRPr="00A22E9D">
        <w:rPr>
          <w:rFonts w:cs="Times New Roman"/>
        </w:rPr>
        <w:lastRenderedPageBreak/>
        <w:t>CHAPTER FIVE</w:t>
      </w:r>
      <w:bookmarkEnd w:id="44"/>
    </w:p>
    <w:p w14:paraId="2825E3B1" w14:textId="77777777" w:rsidR="00CF577C" w:rsidRPr="00A22E9D" w:rsidRDefault="00CF577C" w:rsidP="00CA4B8F">
      <w:pPr>
        <w:pStyle w:val="Heading2"/>
        <w:spacing w:line="480" w:lineRule="auto"/>
        <w:rPr>
          <w:rFonts w:cs="Times New Roman"/>
        </w:rPr>
      </w:pPr>
      <w:bookmarkStart w:id="45" w:name="_Toc145500393"/>
      <w:r w:rsidRPr="00A22E9D">
        <w:rPr>
          <w:rFonts w:cs="Times New Roman"/>
        </w:rPr>
        <w:t>DISCUSSION AND CONCLUSION</w:t>
      </w:r>
      <w:bookmarkEnd w:id="45"/>
    </w:p>
    <w:p w14:paraId="2A49ABE6" w14:textId="4488B77F" w:rsidR="008D4A2E" w:rsidRPr="00A22E9D" w:rsidRDefault="00023D9D" w:rsidP="00CA4B8F">
      <w:pPr>
        <w:pStyle w:val="Heading3"/>
        <w:spacing w:line="480" w:lineRule="auto"/>
        <w:rPr>
          <w:rFonts w:cs="Times New Roman"/>
        </w:rPr>
      </w:pPr>
      <w:bookmarkStart w:id="46" w:name="_Toc145500394"/>
      <w:r w:rsidRPr="00A22E9D">
        <w:rPr>
          <w:rFonts w:cs="Times New Roman"/>
        </w:rPr>
        <w:t xml:space="preserve">5.1 </w:t>
      </w:r>
      <w:r w:rsidR="008D4A2E" w:rsidRPr="00A22E9D">
        <w:rPr>
          <w:rFonts w:cs="Times New Roman"/>
        </w:rPr>
        <w:t>DISCUSSION</w:t>
      </w:r>
      <w:bookmarkEnd w:id="46"/>
    </w:p>
    <w:p w14:paraId="5F28E56A" w14:textId="0B5AED2C" w:rsidR="00DD410D" w:rsidRPr="00A22E9D" w:rsidRDefault="0054421E"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In a study carried out </w:t>
      </w:r>
      <w:r w:rsidR="00530F11" w:rsidRPr="00A22E9D">
        <w:rPr>
          <w:rFonts w:ascii="Times New Roman" w:hAnsi="Times New Roman" w:cs="Times New Roman"/>
          <w:sz w:val="24"/>
          <w:szCs w:val="24"/>
        </w:rPr>
        <w:t>on the</w:t>
      </w:r>
      <w:r w:rsidRPr="00A22E9D">
        <w:rPr>
          <w:rFonts w:ascii="Times New Roman" w:hAnsi="Times New Roman" w:cs="Times New Roman"/>
          <w:sz w:val="24"/>
          <w:szCs w:val="24"/>
        </w:rPr>
        <w:t xml:space="preserve"> </w:t>
      </w:r>
      <w:r w:rsidR="00530F11" w:rsidRPr="00A22E9D">
        <w:rPr>
          <w:rFonts w:ascii="Times New Roman" w:hAnsi="Times New Roman" w:cs="Times New Roman"/>
          <w:sz w:val="24"/>
          <w:szCs w:val="24"/>
        </w:rPr>
        <w:t xml:space="preserve">Synthesis of N1-arylidene-N2-quinolyl- and N2- </w:t>
      </w:r>
      <w:proofErr w:type="spellStart"/>
      <w:r w:rsidR="00530F11" w:rsidRPr="00A22E9D">
        <w:rPr>
          <w:rFonts w:ascii="Times New Roman" w:hAnsi="Times New Roman" w:cs="Times New Roman"/>
          <w:sz w:val="24"/>
          <w:szCs w:val="24"/>
        </w:rPr>
        <w:t>acrydinylhydrazones</w:t>
      </w:r>
      <w:proofErr w:type="spellEnd"/>
      <w:r w:rsidR="00530F11" w:rsidRPr="00A22E9D">
        <w:rPr>
          <w:rFonts w:ascii="Times New Roman" w:hAnsi="Times New Roman" w:cs="Times New Roman"/>
          <w:sz w:val="24"/>
          <w:szCs w:val="24"/>
        </w:rPr>
        <w:t xml:space="preserve"> as potent antimalarial agents active against CQ-resistant </w:t>
      </w:r>
      <w:r w:rsidR="00683FCF" w:rsidRPr="00683FCF">
        <w:rPr>
          <w:rFonts w:ascii="Times New Roman" w:hAnsi="Times New Roman" w:cs="Times New Roman"/>
          <w:i/>
          <w:sz w:val="24"/>
          <w:szCs w:val="24"/>
        </w:rPr>
        <w:t>P. falciparum</w:t>
      </w:r>
      <w:r w:rsidR="00530F11" w:rsidRPr="00A22E9D">
        <w:rPr>
          <w:rFonts w:ascii="Times New Roman" w:hAnsi="Times New Roman" w:cs="Times New Roman"/>
          <w:sz w:val="24"/>
          <w:szCs w:val="24"/>
        </w:rPr>
        <w:t xml:space="preserve"> strains</w:t>
      </w:r>
      <w:r w:rsidRPr="00A22E9D">
        <w:rPr>
          <w:rFonts w:ascii="Times New Roman" w:hAnsi="Times New Roman" w:cs="Times New Roman"/>
          <w:sz w:val="24"/>
          <w:szCs w:val="24"/>
        </w:rPr>
        <w:t xml:space="preserve">, a series of novel and highly active antimalarial agents were synthesized. In particular, compounds 4f–g and 5b–c showed remarkable antimalarial activity especially against CQ-resistant </w:t>
      </w:r>
      <w:r w:rsidR="00F57D9D" w:rsidRPr="00F57D9D">
        <w:rPr>
          <w:rFonts w:ascii="Times New Roman" w:hAnsi="Times New Roman" w:cs="Times New Roman"/>
          <w:i/>
          <w:sz w:val="24"/>
          <w:szCs w:val="24"/>
        </w:rPr>
        <w:t xml:space="preserve">Plasmodium </w:t>
      </w:r>
      <w:proofErr w:type="spellStart"/>
      <w:r w:rsidR="00F57D9D" w:rsidRPr="00F57D9D">
        <w:rPr>
          <w:rFonts w:ascii="Times New Roman" w:hAnsi="Times New Roman" w:cs="Times New Roman"/>
          <w:i/>
          <w:sz w:val="24"/>
          <w:szCs w:val="24"/>
        </w:rPr>
        <w:t>faciparum</w:t>
      </w:r>
      <w:proofErr w:type="spellEnd"/>
      <w:r w:rsidRPr="00A22E9D">
        <w:rPr>
          <w:rFonts w:ascii="Times New Roman" w:hAnsi="Times New Roman" w:cs="Times New Roman"/>
          <w:sz w:val="24"/>
          <w:szCs w:val="24"/>
        </w:rPr>
        <w:t xml:space="preserve"> strains and they represent promising lead structures for the development of new antimalarial drugs. Inhibition of the </w:t>
      </w:r>
      <w:r w:rsidR="004772D2" w:rsidRPr="00A22E9D">
        <w:rPr>
          <w:rFonts w:ascii="Times New Roman" w:hAnsi="Times New Roman" w:cs="Times New Roman"/>
          <w:sz w:val="24"/>
          <w:szCs w:val="24"/>
        </w:rPr>
        <w:t>haem</w:t>
      </w:r>
      <w:r w:rsidRPr="00A22E9D">
        <w:rPr>
          <w:rFonts w:ascii="Times New Roman" w:hAnsi="Times New Roman" w:cs="Times New Roman"/>
          <w:sz w:val="24"/>
          <w:szCs w:val="24"/>
        </w:rPr>
        <w:t xml:space="preserve"> detoxification process seems to be the basis of their mechanism of action </w:t>
      </w:r>
      <w:r w:rsidR="00530F11" w:rsidRPr="00A22E9D">
        <w:rPr>
          <w:rFonts w:ascii="Times New Roman" w:hAnsi="Times New Roman" w:cs="Times New Roman"/>
          <w:sz w:val="24"/>
          <w:szCs w:val="24"/>
        </w:rPr>
        <w:fldChar w:fldCharType="begin"/>
      </w:r>
      <w:r w:rsidR="00530F11" w:rsidRPr="00A22E9D">
        <w:rPr>
          <w:rFonts w:ascii="Times New Roman" w:hAnsi="Times New Roman" w:cs="Times New Roman"/>
          <w:sz w:val="24"/>
          <w:szCs w:val="24"/>
        </w:rPr>
        <w:instrText xml:space="preserve"> ADDIN ZOTERO_ITEM CSL_CITATION {"citationID":"49WjZCMy","properties":{"formattedCitation":"(Gemma et al., 2006)","plainCitation":"(Gemma et al., 2006)","noteIndex":0},"citationItems":[{"id":468,"uris":["http://zotero.org/users/local/BeK2zaGK/items/TWMSES5B"],"itemData":{"id":468,"type":"article-journal","abstract":"A series of N1-arylidene-N2-quinolyl- and N2-acrydinylhydrazones were synthesized and tested for their antimalarial properties. These compounds showed remarkable anti-plasmodial activity in vitro especially against chloroquine-resistant strains. Their potent biological activity makes them promising lead structures for the development of new antimalarial drugs.","container-title":"Bioorganic &amp; Medicinal Chemistry Letters","DOI":"10.1016/j.bmcl.2006.07.060","ISSN":"0960-894X","issue":"20","journalAbbreviation":"Bioorg Med Chem Lett","language":"eng","note":"PMID: 16890433","page":"5384-5388","source":"PubMed","title":"Synthesis of N1-arylidene-N2-quinolyl- and N2-acrydinylhydrazones as potent antimalarial agents active against CQ-resistant P. falciparum strains","volume":"16","author":[{"family":"Gemma","given":"Sandra"},{"family":"Kukreja","given":"Gagan"},{"family":"Fattorusso","given":"Caterina"},{"family":"Persico","given":"Marco"},{"family":"Romano","given":"Maria P."},{"family":"Altarelli","given":"Maria"},{"family":"Savini","given":"Luisa"},{"family":"Campiani","given":"Giuseppe"},{"family":"Fattorusso","given":"Ernesto"},{"family":"Basilico","given":"Nicoletta"},{"family":"Taramelli","given":"Donatella"},{"family":"Yardley","given":"Vanessa"},{"family":"Butini","given":"Stefania"}],"issued":{"date-parts":[["2006",10,15]]}}}],"schema":"https://github.com/citation-style-language/schema/raw/master/csl-citation.json"} </w:instrText>
      </w:r>
      <w:r w:rsidR="00530F11" w:rsidRPr="00A22E9D">
        <w:rPr>
          <w:rFonts w:ascii="Times New Roman" w:hAnsi="Times New Roman" w:cs="Times New Roman"/>
          <w:sz w:val="24"/>
          <w:szCs w:val="24"/>
        </w:rPr>
        <w:fldChar w:fldCharType="separate"/>
      </w:r>
      <w:r w:rsidR="00530F11" w:rsidRPr="00A22E9D">
        <w:rPr>
          <w:rFonts w:ascii="Times New Roman" w:hAnsi="Times New Roman" w:cs="Times New Roman"/>
          <w:sz w:val="24"/>
        </w:rPr>
        <w:t xml:space="preserve">(Gemma </w:t>
      </w:r>
      <w:r w:rsidR="00F57D9D" w:rsidRPr="00F57D9D">
        <w:rPr>
          <w:rFonts w:ascii="Times New Roman" w:hAnsi="Times New Roman" w:cs="Times New Roman"/>
          <w:i/>
          <w:sz w:val="24"/>
        </w:rPr>
        <w:t>et al</w:t>
      </w:r>
      <w:r w:rsidR="00530F11" w:rsidRPr="00A22E9D">
        <w:rPr>
          <w:rFonts w:ascii="Times New Roman" w:hAnsi="Times New Roman" w:cs="Times New Roman"/>
          <w:sz w:val="24"/>
        </w:rPr>
        <w:t>., 2006)</w:t>
      </w:r>
      <w:r w:rsidR="00530F11"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w:t>
      </w:r>
    </w:p>
    <w:p w14:paraId="7DDF9A88" w14:textId="3BD59175" w:rsidR="00690AB4" w:rsidRPr="00A22E9D" w:rsidRDefault="0054421E"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The synthesized compound in this </w:t>
      </w:r>
      <w:r w:rsidR="00414525">
        <w:rPr>
          <w:rFonts w:ascii="Times New Roman" w:hAnsi="Times New Roman" w:cs="Times New Roman"/>
          <w:sz w:val="24"/>
          <w:szCs w:val="24"/>
        </w:rPr>
        <w:t xml:space="preserve">experimental </w:t>
      </w:r>
      <w:r w:rsidRPr="00A22E9D">
        <w:rPr>
          <w:rFonts w:ascii="Times New Roman" w:hAnsi="Times New Roman" w:cs="Times New Roman"/>
          <w:sz w:val="24"/>
          <w:szCs w:val="24"/>
        </w:rPr>
        <w:t>study was tested in</w:t>
      </w:r>
      <w:r w:rsidR="00414525">
        <w:rPr>
          <w:rFonts w:ascii="Times New Roman" w:hAnsi="Times New Roman" w:cs="Times New Roman"/>
          <w:sz w:val="24"/>
          <w:szCs w:val="24"/>
        </w:rPr>
        <w:t>-</w:t>
      </w:r>
      <w:r w:rsidRPr="00A22E9D">
        <w:rPr>
          <w:rFonts w:ascii="Times New Roman" w:hAnsi="Times New Roman" w:cs="Times New Roman"/>
          <w:sz w:val="24"/>
          <w:szCs w:val="24"/>
        </w:rPr>
        <w:t xml:space="preserve">vivo against a strain of Chloroquine-sensitive </w:t>
      </w:r>
      <w:r w:rsidR="00F57D9D" w:rsidRPr="00F57D9D">
        <w:rPr>
          <w:rFonts w:ascii="Times New Roman" w:hAnsi="Times New Roman" w:cs="Times New Roman"/>
          <w:i/>
          <w:sz w:val="24"/>
          <w:szCs w:val="24"/>
        </w:rPr>
        <w:t xml:space="preserve">Plasmodium </w:t>
      </w:r>
      <w:proofErr w:type="spellStart"/>
      <w:r w:rsidR="00F57D9D" w:rsidRPr="00F57D9D">
        <w:rPr>
          <w:rFonts w:ascii="Times New Roman" w:hAnsi="Times New Roman" w:cs="Times New Roman"/>
          <w:i/>
          <w:sz w:val="24"/>
          <w:szCs w:val="24"/>
        </w:rPr>
        <w:t>bergehi</w:t>
      </w:r>
      <w:proofErr w:type="spellEnd"/>
      <w:r w:rsidRPr="00A22E9D">
        <w:rPr>
          <w:rFonts w:ascii="Times New Roman" w:hAnsi="Times New Roman" w:cs="Times New Roman"/>
          <w:sz w:val="24"/>
          <w:szCs w:val="24"/>
        </w:rPr>
        <w:t xml:space="preserve">, NK-65. </w:t>
      </w:r>
      <w:r w:rsidR="0086319B" w:rsidRPr="00A22E9D">
        <w:rPr>
          <w:rFonts w:ascii="Times New Roman" w:hAnsi="Times New Roman" w:cs="Times New Roman"/>
          <w:sz w:val="24"/>
          <w:szCs w:val="24"/>
        </w:rPr>
        <w:t>The in</w:t>
      </w:r>
      <w:r w:rsidR="00690AB4" w:rsidRPr="00A22E9D">
        <w:rPr>
          <w:rFonts w:ascii="Times New Roman" w:hAnsi="Times New Roman" w:cs="Times New Roman"/>
          <w:sz w:val="24"/>
          <w:szCs w:val="24"/>
        </w:rPr>
        <w:t>-</w:t>
      </w:r>
      <w:r w:rsidR="0086319B" w:rsidRPr="00A22E9D">
        <w:rPr>
          <w:rFonts w:ascii="Times New Roman" w:hAnsi="Times New Roman" w:cs="Times New Roman"/>
          <w:sz w:val="24"/>
          <w:szCs w:val="24"/>
        </w:rPr>
        <w:t>vivo experiment</w:t>
      </w:r>
      <w:r w:rsidR="00690AB4" w:rsidRPr="00A22E9D">
        <w:rPr>
          <w:rFonts w:ascii="Times New Roman" w:hAnsi="Times New Roman" w:cs="Times New Roman"/>
          <w:sz w:val="24"/>
          <w:szCs w:val="24"/>
        </w:rPr>
        <w:t xml:space="preserve"> for this study</w:t>
      </w:r>
      <w:r w:rsidR="0086319B" w:rsidRPr="00A22E9D">
        <w:rPr>
          <w:rFonts w:ascii="Times New Roman" w:hAnsi="Times New Roman" w:cs="Times New Roman"/>
          <w:sz w:val="24"/>
          <w:szCs w:val="24"/>
        </w:rPr>
        <w:t xml:space="preserve"> revealed significant reductions in parasitaemia levels and improved survival rates in mice treated with </w:t>
      </w:r>
      <w:r w:rsidR="00690AB4" w:rsidRPr="00A22E9D">
        <w:rPr>
          <w:rFonts w:ascii="Times New Roman" w:hAnsi="Times New Roman" w:cs="Times New Roman"/>
          <w:sz w:val="24"/>
          <w:szCs w:val="24"/>
        </w:rPr>
        <w:t>the test</w:t>
      </w:r>
      <w:r w:rsidR="0086319B" w:rsidRPr="00A22E9D">
        <w:rPr>
          <w:rFonts w:ascii="Times New Roman" w:hAnsi="Times New Roman" w:cs="Times New Roman"/>
          <w:sz w:val="24"/>
          <w:szCs w:val="24"/>
        </w:rPr>
        <w:t xml:space="preserve"> compared to the control group</w:t>
      </w:r>
      <w:r w:rsidR="00690AB4" w:rsidRPr="00A22E9D">
        <w:rPr>
          <w:rFonts w:ascii="Times New Roman" w:hAnsi="Times New Roman" w:cs="Times New Roman"/>
          <w:sz w:val="24"/>
          <w:szCs w:val="24"/>
        </w:rPr>
        <w:t xml:space="preserve"> (Chloroquine)</w:t>
      </w:r>
      <w:r w:rsidR="0086319B" w:rsidRPr="00A22E9D">
        <w:rPr>
          <w:rFonts w:ascii="Times New Roman" w:hAnsi="Times New Roman" w:cs="Times New Roman"/>
          <w:sz w:val="24"/>
          <w:szCs w:val="24"/>
        </w:rPr>
        <w:t xml:space="preserve">. These findings suggest the ability of </w:t>
      </w:r>
      <w:r w:rsidR="00690AB4" w:rsidRPr="00A22E9D">
        <w:rPr>
          <w:rFonts w:ascii="Times New Roman" w:hAnsi="Times New Roman" w:cs="Times New Roman"/>
          <w:sz w:val="24"/>
          <w:szCs w:val="24"/>
        </w:rPr>
        <w:t xml:space="preserve">the test compound </w:t>
      </w:r>
      <w:r w:rsidR="0086319B" w:rsidRPr="00A22E9D">
        <w:rPr>
          <w:rFonts w:ascii="Times New Roman" w:hAnsi="Times New Roman" w:cs="Times New Roman"/>
          <w:sz w:val="24"/>
          <w:szCs w:val="24"/>
        </w:rPr>
        <w:t xml:space="preserve">to </w:t>
      </w:r>
      <w:r w:rsidR="00690AB4" w:rsidRPr="00A22E9D">
        <w:rPr>
          <w:rFonts w:ascii="Times New Roman" w:hAnsi="Times New Roman" w:cs="Times New Roman"/>
          <w:sz w:val="24"/>
          <w:szCs w:val="24"/>
        </w:rPr>
        <w:t xml:space="preserve">successfully fight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0086319B" w:rsidRPr="00A22E9D">
        <w:rPr>
          <w:rFonts w:ascii="Times New Roman" w:hAnsi="Times New Roman" w:cs="Times New Roman"/>
          <w:sz w:val="24"/>
          <w:szCs w:val="24"/>
        </w:rPr>
        <w:t xml:space="preserve"> infections in an animal model of malaria</w:t>
      </w:r>
      <w:r w:rsidR="00690AB4" w:rsidRPr="00A22E9D">
        <w:rPr>
          <w:rFonts w:ascii="Times New Roman" w:hAnsi="Times New Roman" w:cs="Times New Roman"/>
          <w:sz w:val="24"/>
          <w:szCs w:val="24"/>
        </w:rPr>
        <w:t xml:space="preserve"> (mice)</w:t>
      </w:r>
      <w:r w:rsidR="0086319B" w:rsidRPr="00A22E9D">
        <w:rPr>
          <w:rFonts w:ascii="Times New Roman" w:hAnsi="Times New Roman" w:cs="Times New Roman"/>
          <w:sz w:val="24"/>
          <w:szCs w:val="24"/>
        </w:rPr>
        <w:t xml:space="preserve">. </w:t>
      </w:r>
      <w:r w:rsidR="000C044D" w:rsidRPr="00A22E9D">
        <w:rPr>
          <w:rFonts w:ascii="Times New Roman" w:hAnsi="Times New Roman" w:cs="Times New Roman"/>
          <w:sz w:val="24"/>
          <w:szCs w:val="24"/>
        </w:rPr>
        <w:t>From t</w:t>
      </w:r>
      <w:r w:rsidR="0086319B" w:rsidRPr="00A22E9D">
        <w:rPr>
          <w:rFonts w:ascii="Times New Roman" w:hAnsi="Times New Roman" w:cs="Times New Roman"/>
          <w:sz w:val="24"/>
          <w:szCs w:val="24"/>
        </w:rPr>
        <w:t xml:space="preserve">he </w:t>
      </w:r>
      <w:r w:rsidR="000C044D" w:rsidRPr="00A22E9D">
        <w:rPr>
          <w:rFonts w:ascii="Times New Roman" w:hAnsi="Times New Roman" w:cs="Times New Roman"/>
          <w:sz w:val="24"/>
          <w:szCs w:val="24"/>
        </w:rPr>
        <w:t xml:space="preserve">result of the in-vivo study, there was </w:t>
      </w:r>
      <w:r w:rsidR="0086319B" w:rsidRPr="00A22E9D">
        <w:rPr>
          <w:rFonts w:ascii="Times New Roman" w:hAnsi="Times New Roman" w:cs="Times New Roman"/>
          <w:sz w:val="24"/>
          <w:szCs w:val="24"/>
        </w:rPr>
        <w:t>observed</w:t>
      </w:r>
      <w:r w:rsidR="000C044D" w:rsidRPr="00A22E9D">
        <w:rPr>
          <w:rFonts w:ascii="Times New Roman" w:hAnsi="Times New Roman" w:cs="Times New Roman"/>
          <w:sz w:val="24"/>
          <w:szCs w:val="24"/>
        </w:rPr>
        <w:t xml:space="preserve"> to be</w:t>
      </w:r>
      <w:r w:rsidR="0086319B" w:rsidRPr="00A22E9D">
        <w:rPr>
          <w:rFonts w:ascii="Times New Roman" w:hAnsi="Times New Roman" w:cs="Times New Roman"/>
          <w:sz w:val="24"/>
          <w:szCs w:val="24"/>
        </w:rPr>
        <w:t xml:space="preserve"> </w:t>
      </w:r>
      <w:r w:rsidR="000C044D" w:rsidRPr="00A22E9D">
        <w:rPr>
          <w:rFonts w:ascii="Times New Roman" w:hAnsi="Times New Roman" w:cs="Times New Roman"/>
          <w:sz w:val="24"/>
          <w:szCs w:val="24"/>
        </w:rPr>
        <w:t xml:space="preserve">a </w:t>
      </w:r>
      <w:r w:rsidR="0086319B" w:rsidRPr="00A22E9D">
        <w:rPr>
          <w:rFonts w:ascii="Times New Roman" w:hAnsi="Times New Roman" w:cs="Times New Roman"/>
          <w:sz w:val="24"/>
          <w:szCs w:val="24"/>
        </w:rPr>
        <w:t>decrease in parasite burden</w:t>
      </w:r>
      <w:r w:rsidR="000C044D" w:rsidRPr="00A22E9D">
        <w:rPr>
          <w:rFonts w:ascii="Times New Roman" w:hAnsi="Times New Roman" w:cs="Times New Roman"/>
          <w:sz w:val="24"/>
          <w:szCs w:val="24"/>
        </w:rPr>
        <w:t xml:space="preserve"> in the mice, most especially for mice dosed with 25mg/kg</w:t>
      </w:r>
      <w:r w:rsidR="0086319B" w:rsidRPr="00A22E9D">
        <w:rPr>
          <w:rFonts w:ascii="Times New Roman" w:hAnsi="Times New Roman" w:cs="Times New Roman"/>
          <w:sz w:val="24"/>
          <w:szCs w:val="24"/>
        </w:rPr>
        <w:t xml:space="preserve">. </w:t>
      </w:r>
      <w:r w:rsidR="0094620A" w:rsidRPr="00A22E9D">
        <w:rPr>
          <w:rFonts w:ascii="Times New Roman" w:hAnsi="Times New Roman" w:cs="Times New Roman"/>
          <w:sz w:val="24"/>
          <w:szCs w:val="24"/>
        </w:rPr>
        <w:t xml:space="preserve">The survival rates of the test group for the mice treated with 25mg/kg of the test compound showed a survival rate of an average of 23days </w:t>
      </w:r>
      <w:r w:rsidR="00192412" w:rsidRPr="00A22E9D">
        <w:rPr>
          <w:rFonts w:ascii="Times New Roman" w:hAnsi="Times New Roman" w:cs="Times New Roman"/>
          <w:sz w:val="24"/>
          <w:szCs w:val="24"/>
        </w:rPr>
        <w:t xml:space="preserve">(for 4 mice) </w:t>
      </w:r>
      <w:r w:rsidR="0094620A" w:rsidRPr="00A22E9D">
        <w:rPr>
          <w:rFonts w:ascii="Times New Roman" w:hAnsi="Times New Roman" w:cs="Times New Roman"/>
          <w:sz w:val="24"/>
          <w:szCs w:val="24"/>
        </w:rPr>
        <w:t>which shows a very great potential when compared to the control group (Chloroquine) in which the mice had an average survival rate of 24days</w:t>
      </w:r>
      <w:r w:rsidR="00192412" w:rsidRPr="00A22E9D">
        <w:rPr>
          <w:rFonts w:ascii="Times New Roman" w:hAnsi="Times New Roman" w:cs="Times New Roman"/>
          <w:sz w:val="24"/>
          <w:szCs w:val="24"/>
        </w:rPr>
        <w:t xml:space="preserve"> (for 3 mice)</w:t>
      </w:r>
      <w:r w:rsidR="0094620A" w:rsidRPr="00A22E9D">
        <w:rPr>
          <w:rFonts w:ascii="Times New Roman" w:hAnsi="Times New Roman" w:cs="Times New Roman"/>
          <w:sz w:val="24"/>
          <w:szCs w:val="24"/>
        </w:rPr>
        <w:t xml:space="preserve">. </w:t>
      </w:r>
      <w:r w:rsidR="0086319B" w:rsidRPr="00A22E9D">
        <w:rPr>
          <w:rFonts w:ascii="Times New Roman" w:hAnsi="Times New Roman" w:cs="Times New Roman"/>
          <w:sz w:val="24"/>
          <w:szCs w:val="24"/>
        </w:rPr>
        <w:t xml:space="preserve">These results highlight the importance of translating in vitro antimalarial activity to in vivo efficacy and provide valuable evidence for the development of </w:t>
      </w:r>
      <w:r w:rsidR="000C044D" w:rsidRPr="00A22E9D">
        <w:rPr>
          <w:rFonts w:ascii="Times New Roman" w:hAnsi="Times New Roman" w:cs="Times New Roman"/>
          <w:sz w:val="24"/>
          <w:szCs w:val="24"/>
        </w:rPr>
        <w:t xml:space="preserve">the test compound </w:t>
      </w:r>
      <w:r w:rsidR="0086319B" w:rsidRPr="00A22E9D">
        <w:rPr>
          <w:rFonts w:ascii="Times New Roman" w:hAnsi="Times New Roman" w:cs="Times New Roman"/>
          <w:sz w:val="24"/>
          <w:szCs w:val="24"/>
        </w:rPr>
        <w:t xml:space="preserve">as </w:t>
      </w:r>
      <w:r w:rsidR="000C044D" w:rsidRPr="00A22E9D">
        <w:rPr>
          <w:rFonts w:ascii="Times New Roman" w:hAnsi="Times New Roman" w:cs="Times New Roman"/>
          <w:sz w:val="24"/>
          <w:szCs w:val="24"/>
        </w:rPr>
        <w:t xml:space="preserve">a </w:t>
      </w:r>
      <w:r w:rsidR="0086319B" w:rsidRPr="00A22E9D">
        <w:rPr>
          <w:rFonts w:ascii="Times New Roman" w:hAnsi="Times New Roman" w:cs="Times New Roman"/>
          <w:sz w:val="24"/>
          <w:szCs w:val="24"/>
        </w:rPr>
        <w:t>potential antimalarial drug.</w:t>
      </w:r>
    </w:p>
    <w:p w14:paraId="41D12D1E" w14:textId="0EC3F4C3" w:rsidR="00192412" w:rsidRPr="00A22E9D" w:rsidRDefault="00192412"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In a</w:t>
      </w:r>
      <w:r w:rsidR="00A830BA" w:rsidRPr="00A22E9D">
        <w:rPr>
          <w:rFonts w:ascii="Times New Roman" w:hAnsi="Times New Roman" w:cs="Times New Roman"/>
          <w:sz w:val="24"/>
          <w:szCs w:val="24"/>
        </w:rPr>
        <w:t>nother</w:t>
      </w:r>
      <w:r w:rsidRPr="00A22E9D">
        <w:rPr>
          <w:rFonts w:ascii="Times New Roman" w:hAnsi="Times New Roman" w:cs="Times New Roman"/>
          <w:sz w:val="24"/>
          <w:szCs w:val="24"/>
        </w:rPr>
        <w:t xml:space="preserve"> previously carried out study, it was noted that inhibition of fatty acid biosynthesis has been proven to be an appropriate target in inhibiting </w:t>
      </w:r>
      <w:r w:rsidR="00683FCF" w:rsidRPr="00683FCF">
        <w:rPr>
          <w:rFonts w:ascii="Times New Roman" w:hAnsi="Times New Roman" w:cs="Times New Roman"/>
          <w:i/>
          <w:sz w:val="24"/>
          <w:szCs w:val="24"/>
        </w:rPr>
        <w:t>P. falciparum</w:t>
      </w:r>
      <w:r w:rsidRPr="00A22E9D">
        <w:rPr>
          <w:rFonts w:ascii="Times New Roman" w:hAnsi="Times New Roman" w:cs="Times New Roman"/>
          <w:sz w:val="24"/>
          <w:szCs w:val="24"/>
        </w:rPr>
        <w:t xml:space="preserve"> </w:t>
      </w:r>
      <w:r w:rsidR="009E2004" w:rsidRPr="00A22E9D">
        <w:rPr>
          <w:rFonts w:ascii="Times New Roman" w:hAnsi="Times New Roman" w:cs="Times New Roman"/>
          <w:sz w:val="24"/>
          <w:szCs w:val="24"/>
        </w:rPr>
        <w:fldChar w:fldCharType="begin"/>
      </w:r>
      <w:r w:rsidR="009E2004" w:rsidRPr="00A22E9D">
        <w:rPr>
          <w:rFonts w:ascii="Times New Roman" w:hAnsi="Times New Roman" w:cs="Times New Roman"/>
          <w:sz w:val="24"/>
          <w:szCs w:val="24"/>
        </w:rPr>
        <w:instrText xml:space="preserve"> ADDIN ZOTERO_ITEM CSL_CITATION {"citationID":"cD7ytVOB","properties":{"formattedCitation":"(Perozzo et al., 2002; Surolia &amp; Surolia, 2001)","plainCitation":"(Perozzo et al., 2002; Surolia &amp; Surolia, 2001)","noteIndex":0},"citationItems":[{"id":470,"uris":["http://zotero.org/users/local/BeK2zaGK/items/VDI3NVAI"],"itemData":{"id":470,"type":"article-journal","abstract":"&lt;p&gt;The human malaria parasite &lt;i&gt;Plasmodium falciparum&lt;/i&gt; synthesizes fatty acids using a type II pathway that is absent in humans. The final step in fatty acid elongation is catalyzed by enoyl acyl carrier protein reductase, a validated antimicrobial drug target. Here, we report the cloning and expression of the &lt;i&gt;P. falciparum&lt;/i&gt; enoyl acyl carrier protein reductase gene, which encodes a 50-kDa protein (PfENR) predicted to target to the unique parasite apicoplast. Purified PfENR was crystallized, and its structure resolved as a binary complex with NADH, a ternary complex with triclosan and NAD&lt;sup&gt;+&lt;/sup&gt;, and as ternary complexes bound to the triclosan analogs 1 and 2 with NADH. Novel structural features were identified in the PfENR binding loop region that most closely resembled bacterial homologs; elsewhere the protein was similar to ENR from the plant &lt;i&gt;Brassica napus&lt;/i&gt; (root mean square for Cαs, 0.30 Å). Triclosan and its analogs 1 and 2 killed multidrug-resistant strains of intra-erythrocytic &lt;i&gt;P. falciparum&lt;/i&gt; parasites at sub to low micromolar concentrations &lt;i&gt;in vitro&lt;/i&gt;. These data define the structural basis of triclosan binding to PfENR and will facilitate structure-based optimization of PfENR inhibitors.&lt;/p&gt;","container-title":"Journal of Biological Chemistry","DOI":"10.1074/jbc.M112000200","ISSN":"0021-9258, 1083-351X","issue":"15","journalAbbreviation":"Journal of Biological Chemistry","language":"English","note":"publisher: Elsevier\nPMID: 11792710","page":"13106-13114","source":"www.jbc.org","title":"Structural Elucidation of the Specificity of the Antibacterial Agent Triclosan for Malarial Enoyl Acyl Carrier Protein Reductase </w:instrText>
      </w:r>
      <w:r w:rsidR="009E2004" w:rsidRPr="00A22E9D">
        <w:rPr>
          <w:rFonts w:ascii="Cambria Math" w:hAnsi="Cambria Math" w:cs="Cambria Math"/>
          <w:sz w:val="24"/>
          <w:szCs w:val="24"/>
        </w:rPr>
        <w:instrText>∗</w:instrText>
      </w:r>
      <w:r w:rsidR="009E2004" w:rsidRPr="00A22E9D">
        <w:rPr>
          <w:rFonts w:ascii="Times New Roman" w:hAnsi="Times New Roman" w:cs="Times New Roman"/>
          <w:sz w:val="24"/>
          <w:szCs w:val="24"/>
        </w:rPr>
        <w:instrText xml:space="preserve">","volume":"277","author":[{"family":"Perozzo","given":"Remo"},{"family":"Kuo","given":"Mack"},{"family":"Sidhu","given":"Amar bir Singh"},{"family":"Valiyaveettil","given":"Jacob T."},{"family":"Bittman","given":"Robert"},{"family":"Jacobs","given":"William R."},{"family":"Fidock","given":"David A."},{"family":"Sacchettini","given":"James C."}],"issued":{"date-parts":[["2002",4,12]]}}},{"id":473,"uris":["http://zotero.org/users/local/BeK2zaGK/items/74ULQC6F"],"itemData":{"id":473,"type":"article-journal","abstract":"The antimicrobial biocide triclosan [5-chloro-2-(2,4-dichlorophenoxy)phenol] potently inhibits the growth of Plasmodium falciparum in vitro and, in a mouse model, Plasmodium berghei in vivo. Inhibition of [14C]acetate and [14C]malonyl-CoA incorporation into fatty acids in vivo and in vitro, respectively, by triclosan implicate FabI as its target. Here we demonstrate that the enoyl-ACP reductase purified from P. falciparum is triclosan sensitive. Also, we present the evidence for the existence of FabI gene in P. falciparum. We establish the existence of the de novo fatty acid biosynthetic pathway in this parasite, and identify a key enzyme of this pathway for the development of new antimalarials.","container-title":"Nature Medicine","DOI":"10.1038/84612","ISSN":"1078-8956","issue":"2","journalAbbreviation":"Nat Med","language":"eng","note":"PMID: 11175846","page":"167-173","source":"PubMed","title":"Triclosan offers protection against blood stages of malaria by inhibiting enoyl-ACP reductase of Plasmodium falciparum","volume":"7","author":[{"family":"Surolia","given":"N."},{"family":"Surolia","given":"A."}],"issued":{"date-parts":[["2001",2]]}}}],"schema":"https://github.com/citation-style-language/schema/raw/master/csl-citation.json"} </w:instrText>
      </w:r>
      <w:r w:rsidR="009E2004" w:rsidRPr="00A22E9D">
        <w:rPr>
          <w:rFonts w:ascii="Times New Roman" w:hAnsi="Times New Roman" w:cs="Times New Roman"/>
          <w:sz w:val="24"/>
          <w:szCs w:val="24"/>
        </w:rPr>
        <w:fldChar w:fldCharType="separate"/>
      </w:r>
      <w:r w:rsidR="009E2004" w:rsidRPr="00A22E9D">
        <w:rPr>
          <w:rFonts w:ascii="Times New Roman" w:hAnsi="Times New Roman" w:cs="Times New Roman"/>
          <w:sz w:val="24"/>
        </w:rPr>
        <w:t xml:space="preserve">(Perozzo </w:t>
      </w:r>
      <w:r w:rsidR="00F57D9D" w:rsidRPr="00F57D9D">
        <w:rPr>
          <w:rFonts w:ascii="Times New Roman" w:hAnsi="Times New Roman" w:cs="Times New Roman"/>
          <w:i/>
          <w:sz w:val="24"/>
        </w:rPr>
        <w:t>et al</w:t>
      </w:r>
      <w:r w:rsidR="009E2004" w:rsidRPr="00A22E9D">
        <w:rPr>
          <w:rFonts w:ascii="Times New Roman" w:hAnsi="Times New Roman" w:cs="Times New Roman"/>
          <w:sz w:val="24"/>
        </w:rPr>
        <w:t>., 2002; Surolia &amp; Surolia, 2001)</w:t>
      </w:r>
      <w:r w:rsidR="009E2004"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Escherichia coli </w:t>
      </w:r>
      <w:r w:rsidR="009E2004" w:rsidRPr="00A22E9D">
        <w:rPr>
          <w:rFonts w:ascii="Times New Roman" w:hAnsi="Times New Roman" w:cs="Times New Roman"/>
          <w:sz w:val="24"/>
          <w:szCs w:val="24"/>
        </w:rPr>
        <w:fldChar w:fldCharType="begin"/>
      </w:r>
      <w:r w:rsidR="009E2004" w:rsidRPr="00A22E9D">
        <w:rPr>
          <w:rFonts w:ascii="Times New Roman" w:hAnsi="Times New Roman" w:cs="Times New Roman"/>
          <w:sz w:val="24"/>
          <w:szCs w:val="24"/>
        </w:rPr>
        <w:instrText xml:space="preserve"> ADDIN ZOTERO_ITEM CSL_CITATION {"citationID":"Ynx0vH73","properties":{"formattedCitation":"(Heath et al., 1998)","plainCitation":"(Heath et al., 1998)","noteIndex":0},"citationItems":[{"id":475,"uris":["http://zotero.org/users/local/BeK2zaGK/items/7IUDMMH6"],"itemData":{"id":475,"type":"chapter","abstract":"The Digital Database for Screening Mammography1 is a resource for use by researchers investigating mammogram image analysis. In particular, the resource is focused on the context of image analysis to aid in screening for breast cancer. The database now contains substantial numbers of “normal” and “cancer” cases. This paper describes recent improvements and additions to DDSM.","collection-title":"Computational Imaging and Vision","container-title":"Digital Mammography: Nijmegen, 1998","event-place":"Dordrecht","ISBN":"978-94-011-5318-8","language":"en","note":"DOI: 10.1007/978-94-011-5318-8_75","page":"457-460","publisher":"Springer Netherlands","publisher-place":"Dordrecht","source":"Springer Link","title":"Current Status of the Digital Database for Screening Mammography","URL":"https://doi.org/10.1007/978-94-011-5318-8_75","author":[{"family":"Heath","given":"M."},{"family":"Bowyer","given":"K."},{"family":"Kopans","given":"D."},{"family":"Kegelmeyer","given":"P."},{"family":"Moore","given":"R."},{"family":"Chang","given":"K."},{"family":"Munishkumaran","given":"S."}],"editor":[{"family":"Karssemeijer","given":"Nico"},{"family":"Thijssen","given":"Martin"},{"family":"Hendriks","given":"Jan"},{"family":"Erning","given":"Leon","non-dropping-particle":"van"}],"accessed":{"date-parts":[["2023",6,15]]},"issued":{"date-parts":[["1998"]]}}}],"schema":"https://github.com/citation-style-language/schema/raw/master/csl-citation.json"} </w:instrText>
      </w:r>
      <w:r w:rsidR="009E2004" w:rsidRPr="00A22E9D">
        <w:rPr>
          <w:rFonts w:ascii="Times New Roman" w:hAnsi="Times New Roman" w:cs="Times New Roman"/>
          <w:sz w:val="24"/>
          <w:szCs w:val="24"/>
        </w:rPr>
        <w:fldChar w:fldCharType="separate"/>
      </w:r>
      <w:r w:rsidR="009E2004" w:rsidRPr="00A22E9D">
        <w:rPr>
          <w:rFonts w:ascii="Times New Roman" w:hAnsi="Times New Roman" w:cs="Times New Roman"/>
          <w:sz w:val="24"/>
        </w:rPr>
        <w:t xml:space="preserve">(Heath </w:t>
      </w:r>
      <w:r w:rsidR="00F57D9D" w:rsidRPr="00F57D9D">
        <w:rPr>
          <w:rFonts w:ascii="Times New Roman" w:hAnsi="Times New Roman" w:cs="Times New Roman"/>
          <w:i/>
          <w:sz w:val="24"/>
        </w:rPr>
        <w:t>et al</w:t>
      </w:r>
      <w:r w:rsidR="009E2004" w:rsidRPr="00A22E9D">
        <w:rPr>
          <w:rFonts w:ascii="Times New Roman" w:hAnsi="Times New Roman" w:cs="Times New Roman"/>
          <w:sz w:val="24"/>
        </w:rPr>
        <w:t>., 1998)</w:t>
      </w:r>
      <w:r w:rsidR="009E2004" w:rsidRPr="00A22E9D">
        <w:rPr>
          <w:rFonts w:ascii="Times New Roman" w:hAnsi="Times New Roman" w:cs="Times New Roman"/>
          <w:sz w:val="24"/>
          <w:szCs w:val="24"/>
        </w:rPr>
        <w:fldChar w:fldCharType="end"/>
      </w:r>
      <w:r w:rsidRPr="00A22E9D">
        <w:rPr>
          <w:rFonts w:ascii="Times New Roman" w:hAnsi="Times New Roman" w:cs="Times New Roman"/>
          <w:sz w:val="24"/>
          <w:szCs w:val="24"/>
        </w:rPr>
        <w:t xml:space="preserve">. Among different metabolic processes </w:t>
      </w:r>
      <w:r w:rsidR="004C0592" w:rsidRPr="00A22E9D">
        <w:rPr>
          <w:rFonts w:ascii="Times New Roman" w:hAnsi="Times New Roman" w:cs="Times New Roman"/>
          <w:sz w:val="24"/>
          <w:szCs w:val="24"/>
        </w:rPr>
        <w:t xml:space="preserve">which </w:t>
      </w:r>
      <w:r w:rsidRPr="00A22E9D">
        <w:rPr>
          <w:rFonts w:ascii="Times New Roman" w:hAnsi="Times New Roman" w:cs="Times New Roman"/>
          <w:sz w:val="24"/>
          <w:szCs w:val="24"/>
        </w:rPr>
        <w:t xml:space="preserve">occur in </w:t>
      </w:r>
      <w:r w:rsidR="00683FCF" w:rsidRPr="00683FCF">
        <w:rPr>
          <w:rFonts w:ascii="Times New Roman" w:hAnsi="Times New Roman" w:cs="Times New Roman"/>
          <w:i/>
          <w:sz w:val="24"/>
          <w:szCs w:val="24"/>
        </w:rPr>
        <w:t>P. falciparum</w:t>
      </w:r>
      <w:r w:rsidRPr="00A22E9D">
        <w:rPr>
          <w:rFonts w:ascii="Times New Roman" w:hAnsi="Times New Roman" w:cs="Times New Roman"/>
          <w:sz w:val="24"/>
          <w:szCs w:val="24"/>
        </w:rPr>
        <w:t xml:space="preserve"> for its survival, cell wall biosynthesis remains one of the most important processes</w:t>
      </w:r>
      <w:r w:rsidR="004C0592" w:rsidRPr="00A22E9D">
        <w:rPr>
          <w:rFonts w:ascii="Times New Roman" w:hAnsi="Times New Roman" w:cs="Times New Roman"/>
          <w:sz w:val="24"/>
          <w:szCs w:val="24"/>
        </w:rPr>
        <w:t xml:space="preserve">. In the study, in-silico studies were carried out on </w:t>
      </w:r>
      <w:proofErr w:type="spellStart"/>
      <w:r w:rsidR="004C0592" w:rsidRPr="00A22E9D">
        <w:rPr>
          <w:rFonts w:ascii="Times New Roman" w:hAnsi="Times New Roman" w:cs="Times New Roman"/>
          <w:sz w:val="24"/>
          <w:szCs w:val="24"/>
        </w:rPr>
        <w:t>PfENR</w:t>
      </w:r>
      <w:proofErr w:type="spellEnd"/>
      <w:r w:rsidR="004C0592" w:rsidRPr="00A22E9D">
        <w:rPr>
          <w:rFonts w:ascii="Times New Roman" w:hAnsi="Times New Roman" w:cs="Times New Roman"/>
          <w:sz w:val="24"/>
          <w:szCs w:val="24"/>
        </w:rPr>
        <w:t xml:space="preserve"> protein, in which significant hydrogen bond and hydrophobic interactions are observed with the energy minimized structures of ligands and </w:t>
      </w:r>
      <w:proofErr w:type="spellStart"/>
      <w:r w:rsidR="004C0592" w:rsidRPr="00A22E9D">
        <w:rPr>
          <w:rFonts w:ascii="Times New Roman" w:hAnsi="Times New Roman" w:cs="Times New Roman"/>
          <w:sz w:val="24"/>
          <w:szCs w:val="24"/>
        </w:rPr>
        <w:t>PfENR</w:t>
      </w:r>
      <w:proofErr w:type="spellEnd"/>
      <w:r w:rsidR="004C0592" w:rsidRPr="00A22E9D">
        <w:rPr>
          <w:rFonts w:ascii="Times New Roman" w:hAnsi="Times New Roman" w:cs="Times New Roman"/>
          <w:sz w:val="24"/>
          <w:szCs w:val="24"/>
        </w:rPr>
        <w:t xml:space="preserve"> protein, hence showing that the inhibition of </w:t>
      </w:r>
      <w:proofErr w:type="spellStart"/>
      <w:r w:rsidR="004C0592" w:rsidRPr="00A22E9D">
        <w:rPr>
          <w:rFonts w:ascii="Times New Roman" w:hAnsi="Times New Roman" w:cs="Times New Roman"/>
          <w:sz w:val="24"/>
          <w:szCs w:val="24"/>
        </w:rPr>
        <w:t>PfENR</w:t>
      </w:r>
      <w:proofErr w:type="spellEnd"/>
      <w:r w:rsidR="004C0592" w:rsidRPr="00A22E9D">
        <w:rPr>
          <w:rFonts w:ascii="Times New Roman" w:hAnsi="Times New Roman" w:cs="Times New Roman"/>
          <w:sz w:val="24"/>
          <w:szCs w:val="24"/>
        </w:rPr>
        <w:t xml:space="preserve"> protein pathway to kill </w:t>
      </w:r>
      <w:r w:rsidR="00683FCF" w:rsidRPr="00683FCF">
        <w:rPr>
          <w:rFonts w:ascii="Times New Roman" w:hAnsi="Times New Roman" w:cs="Times New Roman"/>
          <w:i/>
          <w:sz w:val="24"/>
          <w:szCs w:val="24"/>
        </w:rPr>
        <w:t>P. falciparum</w:t>
      </w:r>
      <w:r w:rsidR="00D77568" w:rsidRPr="00A22E9D">
        <w:rPr>
          <w:rFonts w:ascii="Times New Roman" w:hAnsi="Times New Roman" w:cs="Times New Roman"/>
          <w:sz w:val="24"/>
          <w:szCs w:val="24"/>
        </w:rPr>
        <w:t xml:space="preserve"> </w:t>
      </w:r>
      <w:r w:rsidR="00A830BA" w:rsidRPr="00A22E9D">
        <w:rPr>
          <w:rFonts w:ascii="Times New Roman" w:hAnsi="Times New Roman" w:cs="Times New Roman"/>
          <w:sz w:val="24"/>
          <w:szCs w:val="24"/>
        </w:rPr>
        <w:fldChar w:fldCharType="begin"/>
      </w:r>
      <w:r w:rsidR="00A830BA" w:rsidRPr="00A22E9D">
        <w:rPr>
          <w:rFonts w:ascii="Times New Roman" w:hAnsi="Times New Roman" w:cs="Times New Roman"/>
          <w:sz w:val="24"/>
          <w:szCs w:val="24"/>
        </w:rPr>
        <w:instrText xml:space="preserve"> ADDIN ZOTERO_ITEM CSL_CITATION {"citationID":"puxZzK9Q","properties":{"formattedCitation":"(Makam et al., 2014)","plainCitation":"(Makam et al., 2014)","noteIndex":0},"citationItems":[{"id":476,"uris":["http://zotero.org/users/local/BeK2zaGK/items/CZGS8AKQ"],"itemData":{"id":476,"type":"article-journal","abstract":"A series of 2-(2-hydrazinyl)thiazole derivatives with a wide range of substitutions at 2-, 4- and 5-positions were synthesized, characterized and evaluated their inhibitory potentials against plasmodium falciparum, NF54, by in vitro blood stage assay. The compounds, ethyl-4-methyl-2-[(E)-2-[1-(pyridin-2-yl)ethylidene]hydrazin-1-yl]-1,3-thiazole-5-carboxylate, 4d, and 1-{4-methyl-2-[(E)-2-[1-(pyridin-2-yl)ethylidene]hydrazin-1-yl]-1,3-thiazol-5-yl}ethan-1-one, 5d showed significant antimalarial activity with IC50 values of 0.725μM and 0.648μM respectively. To understand the mechanism, the binding interactions between 2-(2-hydrazinyl)thiazole derivatives and trans-2-enoyl acyl carrier protein reductase of P. falciparum were studied through docking studies. The half maximal inhibitory concentration (IC50) through docking studies for the compounds, 4d and 5d were found to be 22.88μM and 631.84μM respectively.","container-title":"European Journal of Pharmaceutical Sciences","DOI":"10.1016/j.ejps.2013.11.001","ISSN":"0928-0987","journalAbbreviation":"European Journal of Pharmaceutical Sciences","language":"en","page":"138-145","source":"ScienceDirect","title":"In vitro and in silico antimalarial activity of 2-(2-hydrazinyl)thiazole derivatives","volume":"52","author":[{"family":"Makam","given":"Parameshwar"},{"family":"Thakur","given":"Prasoon Kumar"},{"family":"Kannan","given":"Tharanikkarasu"}],"issued":{"date-parts":[["2014",2,14]]}}}],"schema":"https://github.com/citation-style-language/schema/raw/master/csl-citation.json"} </w:instrText>
      </w:r>
      <w:r w:rsidR="00A830BA" w:rsidRPr="00A22E9D">
        <w:rPr>
          <w:rFonts w:ascii="Times New Roman" w:hAnsi="Times New Roman" w:cs="Times New Roman"/>
          <w:sz w:val="24"/>
          <w:szCs w:val="24"/>
        </w:rPr>
        <w:fldChar w:fldCharType="separate"/>
      </w:r>
      <w:r w:rsidR="00A830BA" w:rsidRPr="00A22E9D">
        <w:rPr>
          <w:rFonts w:ascii="Times New Roman" w:hAnsi="Times New Roman" w:cs="Times New Roman"/>
          <w:sz w:val="24"/>
        </w:rPr>
        <w:t xml:space="preserve">(Makam </w:t>
      </w:r>
      <w:r w:rsidR="00F57D9D" w:rsidRPr="00F57D9D">
        <w:rPr>
          <w:rFonts w:ascii="Times New Roman" w:hAnsi="Times New Roman" w:cs="Times New Roman"/>
          <w:i/>
          <w:sz w:val="24"/>
        </w:rPr>
        <w:t>et al</w:t>
      </w:r>
      <w:r w:rsidR="00A830BA" w:rsidRPr="00A22E9D">
        <w:rPr>
          <w:rFonts w:ascii="Times New Roman" w:hAnsi="Times New Roman" w:cs="Times New Roman"/>
          <w:sz w:val="24"/>
        </w:rPr>
        <w:t>., 2014)</w:t>
      </w:r>
      <w:r w:rsidR="00A830BA" w:rsidRPr="00A22E9D">
        <w:rPr>
          <w:rFonts w:ascii="Times New Roman" w:hAnsi="Times New Roman" w:cs="Times New Roman"/>
          <w:sz w:val="24"/>
          <w:szCs w:val="24"/>
        </w:rPr>
        <w:fldChar w:fldCharType="end"/>
      </w:r>
      <w:r w:rsidR="00A830BA" w:rsidRPr="00A22E9D">
        <w:rPr>
          <w:rFonts w:ascii="Times New Roman" w:hAnsi="Times New Roman" w:cs="Times New Roman"/>
          <w:sz w:val="24"/>
          <w:szCs w:val="24"/>
        </w:rPr>
        <w:t>.</w:t>
      </w:r>
    </w:p>
    <w:p w14:paraId="0ACC4138" w14:textId="481DFF1F" w:rsidR="00460CE5" w:rsidRPr="00A22E9D" w:rsidRDefault="00EC723A"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Subsequently, in the </w:t>
      </w:r>
      <w:r w:rsidR="00690AB4" w:rsidRPr="00A22E9D">
        <w:rPr>
          <w:rFonts w:ascii="Times New Roman" w:hAnsi="Times New Roman" w:cs="Times New Roman"/>
          <w:sz w:val="24"/>
          <w:szCs w:val="24"/>
        </w:rPr>
        <w:t>in</w:t>
      </w:r>
      <w:r w:rsidRPr="00A22E9D">
        <w:rPr>
          <w:rFonts w:ascii="Times New Roman" w:hAnsi="Times New Roman" w:cs="Times New Roman"/>
          <w:sz w:val="24"/>
          <w:szCs w:val="24"/>
        </w:rPr>
        <w:t>-</w:t>
      </w:r>
      <w:r w:rsidR="00690AB4" w:rsidRPr="00A22E9D">
        <w:rPr>
          <w:rFonts w:ascii="Times New Roman" w:hAnsi="Times New Roman" w:cs="Times New Roman"/>
          <w:sz w:val="24"/>
          <w:szCs w:val="24"/>
        </w:rPr>
        <w:t>silico</w:t>
      </w:r>
      <w:r w:rsidRPr="00A22E9D">
        <w:rPr>
          <w:rFonts w:ascii="Times New Roman" w:hAnsi="Times New Roman" w:cs="Times New Roman"/>
          <w:sz w:val="24"/>
          <w:szCs w:val="24"/>
        </w:rPr>
        <w:t xml:space="preserve"> study in this experiment, </w:t>
      </w:r>
      <w:r w:rsidR="009567EF" w:rsidRPr="00A22E9D">
        <w:rPr>
          <w:rFonts w:ascii="Times New Roman" w:hAnsi="Times New Roman" w:cs="Times New Roman"/>
          <w:sz w:val="24"/>
          <w:szCs w:val="24"/>
        </w:rPr>
        <w:t xml:space="preserve">the analysed dataset which was obtained generated different significant genes, in which these genes serve as a potential drug target for the test compound. A highly significant gene was selected ‘FANCJ-like helicase’, FANCJ-like helicase is a protein that is found in the malaria parasite Plasmodium </w:t>
      </w:r>
      <w:proofErr w:type="spellStart"/>
      <w:r w:rsidR="009567EF" w:rsidRPr="00A22E9D">
        <w:rPr>
          <w:rFonts w:ascii="Times New Roman" w:hAnsi="Times New Roman" w:cs="Times New Roman"/>
          <w:sz w:val="24"/>
          <w:szCs w:val="24"/>
        </w:rPr>
        <w:t>bergei</w:t>
      </w:r>
      <w:proofErr w:type="spellEnd"/>
      <w:r w:rsidR="009567EF" w:rsidRPr="00A22E9D">
        <w:rPr>
          <w:rFonts w:ascii="Times New Roman" w:hAnsi="Times New Roman" w:cs="Times New Roman"/>
          <w:sz w:val="24"/>
          <w:szCs w:val="24"/>
        </w:rPr>
        <w:t xml:space="preserve">, </w:t>
      </w:r>
      <w:r w:rsidR="00A77FE3" w:rsidRPr="00A22E9D">
        <w:rPr>
          <w:rFonts w:ascii="Times New Roman" w:hAnsi="Times New Roman" w:cs="Times New Roman"/>
          <w:sz w:val="24"/>
          <w:szCs w:val="24"/>
        </w:rPr>
        <w:t>i</w:t>
      </w:r>
      <w:r w:rsidR="009567EF" w:rsidRPr="00A22E9D">
        <w:rPr>
          <w:rFonts w:ascii="Times New Roman" w:hAnsi="Times New Roman" w:cs="Times New Roman"/>
          <w:sz w:val="24"/>
          <w:szCs w:val="24"/>
        </w:rPr>
        <w:t>t is a member of the FANCJ family of helicases, which are enzymes that unwind DNA.</w:t>
      </w:r>
      <w:r w:rsidR="00CD2D29" w:rsidRPr="00A22E9D">
        <w:rPr>
          <w:rFonts w:ascii="Times New Roman" w:hAnsi="Times New Roman" w:cs="Times New Roman"/>
          <w:sz w:val="24"/>
          <w:szCs w:val="24"/>
        </w:rPr>
        <w:t xml:space="preserve"> </w:t>
      </w:r>
      <w:r w:rsidR="009567EF" w:rsidRPr="00A22E9D">
        <w:rPr>
          <w:rFonts w:ascii="Times New Roman" w:hAnsi="Times New Roman" w:cs="Times New Roman"/>
          <w:sz w:val="24"/>
          <w:szCs w:val="24"/>
        </w:rPr>
        <w:t>FANCJ-like helicase is in</w:t>
      </w:r>
      <w:r w:rsidR="00CD2D29" w:rsidRPr="00A22E9D">
        <w:rPr>
          <w:rFonts w:ascii="Times New Roman" w:hAnsi="Times New Roman" w:cs="Times New Roman"/>
          <w:sz w:val="24"/>
          <w:szCs w:val="24"/>
        </w:rPr>
        <w:t>volved in</w:t>
      </w:r>
      <w:r w:rsidR="009567EF" w:rsidRPr="00A22E9D">
        <w:rPr>
          <w:rFonts w:ascii="Times New Roman" w:hAnsi="Times New Roman" w:cs="Times New Roman"/>
          <w:sz w:val="24"/>
          <w:szCs w:val="24"/>
        </w:rPr>
        <w:t xml:space="preserve"> the replication of the parasite's genome</w:t>
      </w:r>
      <w:r w:rsidR="00CD2D29" w:rsidRPr="00A22E9D">
        <w:rPr>
          <w:rFonts w:ascii="Times New Roman" w:hAnsi="Times New Roman" w:cs="Times New Roman"/>
          <w:sz w:val="24"/>
          <w:szCs w:val="24"/>
        </w:rPr>
        <w:t>, DNA, nucleotide and ATP binding and also in the development of the parasite's blood stages</w:t>
      </w:r>
      <w:r w:rsidR="003103C3" w:rsidRPr="00A22E9D">
        <w:rPr>
          <w:rFonts w:ascii="Times New Roman" w:hAnsi="Times New Roman" w:cs="Times New Roman"/>
          <w:sz w:val="24"/>
          <w:szCs w:val="24"/>
        </w:rPr>
        <w:t>. Hence it can serve as a good potential target for antimalarial drugs.</w:t>
      </w:r>
    </w:p>
    <w:p w14:paraId="6F1E8692" w14:textId="4CE486DD" w:rsidR="007266D8" w:rsidRPr="00A22E9D" w:rsidRDefault="00460CE5"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The molecular docking on the test compound and the protein (FANCJ-like helicase) </w:t>
      </w:r>
      <w:r w:rsidR="00690AB4" w:rsidRPr="00A22E9D">
        <w:rPr>
          <w:rFonts w:ascii="Times New Roman" w:hAnsi="Times New Roman" w:cs="Times New Roman"/>
          <w:sz w:val="24"/>
          <w:szCs w:val="24"/>
        </w:rPr>
        <w:t xml:space="preserve">provided insights into the molecular interactions between </w:t>
      </w:r>
      <w:r w:rsidRPr="00A22E9D">
        <w:rPr>
          <w:rFonts w:ascii="Times New Roman" w:hAnsi="Times New Roman" w:cs="Times New Roman"/>
          <w:sz w:val="24"/>
          <w:szCs w:val="24"/>
        </w:rPr>
        <w:t xml:space="preserve">both </w:t>
      </w:r>
      <w:r w:rsidR="00690AB4" w:rsidRPr="00A22E9D">
        <w:rPr>
          <w:rFonts w:ascii="Times New Roman" w:hAnsi="Times New Roman" w:cs="Times New Roman"/>
          <w:sz w:val="24"/>
          <w:szCs w:val="24"/>
        </w:rPr>
        <w:t>within Plasmodium-infected RBCs. The molecular docking elucidated the binding modes</w:t>
      </w:r>
      <w:r w:rsidR="00DF7EB7" w:rsidRPr="00A22E9D">
        <w:rPr>
          <w:rFonts w:ascii="Times New Roman" w:hAnsi="Times New Roman" w:cs="Times New Roman"/>
          <w:sz w:val="24"/>
          <w:szCs w:val="24"/>
        </w:rPr>
        <w:t xml:space="preserve"> and </w:t>
      </w:r>
      <w:r w:rsidR="00071DE2" w:rsidRPr="00A22E9D">
        <w:rPr>
          <w:rFonts w:ascii="Times New Roman" w:hAnsi="Times New Roman" w:cs="Times New Roman"/>
          <w:sz w:val="24"/>
          <w:szCs w:val="24"/>
        </w:rPr>
        <w:t>affinity</w:t>
      </w:r>
      <w:r w:rsidR="00DF7EB7" w:rsidRPr="00A22E9D">
        <w:rPr>
          <w:rFonts w:ascii="Times New Roman" w:hAnsi="Times New Roman" w:cs="Times New Roman"/>
          <w:sz w:val="24"/>
          <w:szCs w:val="24"/>
        </w:rPr>
        <w:t xml:space="preserve"> </w:t>
      </w:r>
      <w:r w:rsidR="00690AB4" w:rsidRPr="00A22E9D">
        <w:rPr>
          <w:rFonts w:ascii="Times New Roman" w:hAnsi="Times New Roman" w:cs="Times New Roman"/>
          <w:sz w:val="24"/>
          <w:szCs w:val="24"/>
        </w:rPr>
        <w:t xml:space="preserve">of </w:t>
      </w:r>
      <w:r w:rsidR="00DF7EB7" w:rsidRPr="00A22E9D">
        <w:rPr>
          <w:rFonts w:ascii="Times New Roman" w:hAnsi="Times New Roman" w:cs="Times New Roman"/>
          <w:sz w:val="24"/>
          <w:szCs w:val="24"/>
        </w:rPr>
        <w:t xml:space="preserve">the test compound </w:t>
      </w:r>
      <w:r w:rsidR="00690AB4" w:rsidRPr="00A22E9D">
        <w:rPr>
          <w:rFonts w:ascii="Times New Roman" w:hAnsi="Times New Roman" w:cs="Times New Roman"/>
          <w:sz w:val="24"/>
          <w:szCs w:val="24"/>
        </w:rPr>
        <w:t xml:space="preserve">within the active sites of </w:t>
      </w:r>
      <w:r w:rsidR="00857421" w:rsidRPr="00A22E9D">
        <w:rPr>
          <w:rFonts w:ascii="Times New Roman" w:hAnsi="Times New Roman" w:cs="Times New Roman"/>
          <w:sz w:val="24"/>
          <w:szCs w:val="24"/>
        </w:rPr>
        <w:t xml:space="preserve">the selected </w:t>
      </w:r>
      <w:r w:rsidR="00690AB4" w:rsidRPr="00A22E9D">
        <w:rPr>
          <w:rFonts w:ascii="Times New Roman" w:hAnsi="Times New Roman" w:cs="Times New Roman"/>
          <w:sz w:val="24"/>
          <w:szCs w:val="24"/>
        </w:rPr>
        <w:t>proteins</w:t>
      </w:r>
      <w:r w:rsidR="00D77568" w:rsidRPr="00A22E9D">
        <w:rPr>
          <w:rFonts w:ascii="Times New Roman" w:hAnsi="Times New Roman" w:cs="Times New Roman"/>
          <w:sz w:val="24"/>
          <w:szCs w:val="24"/>
        </w:rPr>
        <w:t xml:space="preserve"> which showed a binding energy of -112.543 between the test compound</w:t>
      </w:r>
      <w:r w:rsidR="002665E4" w:rsidRPr="00A22E9D">
        <w:rPr>
          <w:rFonts w:ascii="Times New Roman" w:hAnsi="Times New Roman" w:cs="Times New Roman"/>
          <w:sz w:val="24"/>
          <w:szCs w:val="24"/>
        </w:rPr>
        <w:t xml:space="preserve"> (E)-3-((2,4-dihydroxybenzylidene)amino)-3a,8a-dihydroxyl-2-thioxo-1,3,3a,8a-tetrahydroindeno[1,2-d]imidazol-8(2H)-one</w:t>
      </w:r>
      <w:r w:rsidR="00D77568" w:rsidRPr="00A22E9D">
        <w:rPr>
          <w:rFonts w:ascii="Times New Roman" w:hAnsi="Times New Roman" w:cs="Times New Roman"/>
          <w:sz w:val="24"/>
          <w:szCs w:val="24"/>
        </w:rPr>
        <w:t xml:space="preserve"> and FANCJ-like Helicase</w:t>
      </w:r>
      <w:r w:rsidR="00690AB4" w:rsidRPr="00A22E9D">
        <w:rPr>
          <w:rFonts w:ascii="Times New Roman" w:hAnsi="Times New Roman" w:cs="Times New Roman"/>
          <w:sz w:val="24"/>
          <w:szCs w:val="24"/>
        </w:rPr>
        <w:t xml:space="preserve">. </w:t>
      </w:r>
      <w:r w:rsidR="00172F5C" w:rsidRPr="00A22E9D">
        <w:rPr>
          <w:rFonts w:ascii="Times New Roman" w:hAnsi="Times New Roman" w:cs="Times New Roman"/>
          <w:sz w:val="24"/>
          <w:szCs w:val="24"/>
        </w:rPr>
        <w:t>The results also indicate a good number of interactions with FANCJ-like Helicase residues such as TYR445, THR502, SER500, GLN532, LYS531, GLU736, PRO528, GLY535, PHE708, LEU705, these results</w:t>
      </w:r>
      <w:r w:rsidR="00690AB4" w:rsidRPr="00A22E9D">
        <w:rPr>
          <w:rFonts w:ascii="Times New Roman" w:hAnsi="Times New Roman" w:cs="Times New Roman"/>
          <w:sz w:val="24"/>
          <w:szCs w:val="24"/>
        </w:rPr>
        <w:t xml:space="preserve"> </w:t>
      </w:r>
      <w:r w:rsidR="00172F5C" w:rsidRPr="00A22E9D">
        <w:rPr>
          <w:rFonts w:ascii="Times New Roman" w:hAnsi="Times New Roman" w:cs="Times New Roman"/>
          <w:sz w:val="24"/>
          <w:szCs w:val="24"/>
        </w:rPr>
        <w:t>demonstrate</w:t>
      </w:r>
      <w:r w:rsidR="00690AB4" w:rsidRPr="00A22E9D">
        <w:rPr>
          <w:rFonts w:ascii="Times New Roman" w:hAnsi="Times New Roman" w:cs="Times New Roman"/>
          <w:sz w:val="24"/>
          <w:szCs w:val="24"/>
        </w:rPr>
        <w:t xml:space="preserve"> strong interactions between </w:t>
      </w:r>
      <w:r w:rsidR="00857421" w:rsidRPr="00A22E9D">
        <w:rPr>
          <w:rFonts w:ascii="Times New Roman" w:hAnsi="Times New Roman" w:cs="Times New Roman"/>
          <w:sz w:val="24"/>
          <w:szCs w:val="24"/>
        </w:rPr>
        <w:t xml:space="preserve">the test compound </w:t>
      </w:r>
      <w:r w:rsidR="00690AB4" w:rsidRPr="00A22E9D">
        <w:rPr>
          <w:rFonts w:ascii="Times New Roman" w:hAnsi="Times New Roman" w:cs="Times New Roman"/>
          <w:sz w:val="24"/>
          <w:szCs w:val="24"/>
        </w:rPr>
        <w:t>and protein</w:t>
      </w:r>
      <w:r w:rsidR="004378FE" w:rsidRPr="00A22E9D">
        <w:rPr>
          <w:rFonts w:ascii="Times New Roman" w:hAnsi="Times New Roman" w:cs="Times New Roman"/>
          <w:sz w:val="24"/>
          <w:szCs w:val="24"/>
        </w:rPr>
        <w:t xml:space="preserve"> </w:t>
      </w:r>
      <w:r w:rsidR="004378FE" w:rsidRPr="00A22E9D">
        <w:rPr>
          <w:rFonts w:ascii="Times New Roman" w:hAnsi="Times New Roman" w:cs="Times New Roman"/>
          <w:sz w:val="24"/>
          <w:szCs w:val="24"/>
        </w:rPr>
        <w:lastRenderedPageBreak/>
        <w:t>especially when compared to Chloroquine, a known compound for its effect on plasmodium species</w:t>
      </w:r>
      <w:r w:rsidR="007266D8" w:rsidRPr="00A22E9D">
        <w:rPr>
          <w:rFonts w:ascii="Times New Roman" w:hAnsi="Times New Roman" w:cs="Times New Roman"/>
          <w:sz w:val="24"/>
          <w:szCs w:val="24"/>
        </w:rPr>
        <w:t>, which was used as a control during the course of this study. The Chloroquine docked against the protein (FANCJ-like Helicase) had a binding affinity of -105.475 and also had less amino acid interactions when compared the test compound (E)-3-((2,4-dihydroxybenzylidene)amino)-3a,8a-dihydroxyl-2-thioxo-1,3,3a,8a-tetrahydroindeno[1,2-d]imidazol-8(2H)-one. Its interactions include; GLU398, LYS187, LYS183.</w:t>
      </w:r>
    </w:p>
    <w:p w14:paraId="21AD44F1" w14:textId="7A028EC6" w:rsidR="00690AB4" w:rsidRPr="00A22E9D" w:rsidRDefault="00690AB4"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This suggests that </w:t>
      </w:r>
      <w:r w:rsidR="00857421" w:rsidRPr="00A22E9D">
        <w:rPr>
          <w:rFonts w:ascii="Times New Roman" w:hAnsi="Times New Roman" w:cs="Times New Roman"/>
          <w:sz w:val="24"/>
          <w:szCs w:val="24"/>
        </w:rPr>
        <w:t xml:space="preserve">the test compound </w:t>
      </w:r>
      <w:r w:rsidRPr="00A22E9D">
        <w:rPr>
          <w:rFonts w:ascii="Times New Roman" w:hAnsi="Times New Roman" w:cs="Times New Roman"/>
          <w:sz w:val="24"/>
          <w:szCs w:val="24"/>
        </w:rPr>
        <w:t>may interfere with crucial cellular processes</w:t>
      </w:r>
      <w:r w:rsidR="00324F3C" w:rsidRPr="00A22E9D">
        <w:rPr>
          <w:rFonts w:ascii="Times New Roman" w:hAnsi="Times New Roman" w:cs="Times New Roman"/>
          <w:sz w:val="24"/>
          <w:szCs w:val="24"/>
        </w:rPr>
        <w:t xml:space="preserve"> such as DNA, ATP, and nucleotide binding</w:t>
      </w:r>
      <w:r w:rsidRPr="00A22E9D">
        <w:rPr>
          <w:rFonts w:ascii="Times New Roman" w:hAnsi="Times New Roman" w:cs="Times New Roman"/>
          <w:sz w:val="24"/>
          <w:szCs w:val="24"/>
        </w:rPr>
        <w:t xml:space="preserve">, </w:t>
      </w:r>
      <w:r w:rsidR="00E8346F" w:rsidRPr="00A22E9D">
        <w:rPr>
          <w:rFonts w:ascii="Times New Roman" w:hAnsi="Times New Roman" w:cs="Times New Roman"/>
          <w:sz w:val="24"/>
          <w:szCs w:val="24"/>
        </w:rPr>
        <w:t xml:space="preserve">thereby </w:t>
      </w:r>
      <w:r w:rsidRPr="00A22E9D">
        <w:rPr>
          <w:rFonts w:ascii="Times New Roman" w:hAnsi="Times New Roman" w:cs="Times New Roman"/>
          <w:sz w:val="24"/>
          <w:szCs w:val="24"/>
        </w:rPr>
        <w:t>potentially leading to the inhibition of parasite growth and proliferation.</w:t>
      </w:r>
      <w:r w:rsidR="00B47BCB" w:rsidRPr="00A22E9D">
        <w:rPr>
          <w:rFonts w:ascii="Times New Roman" w:hAnsi="Times New Roman" w:cs="Times New Roman"/>
          <w:sz w:val="24"/>
          <w:szCs w:val="24"/>
        </w:rPr>
        <w:t xml:space="preserve"> It also indicates that the test compound has a higher binding affinity when compared to the known Chloroquine compound and hence has a higher possibility of binding the target protein (FANCJ-like Helicase)</w:t>
      </w:r>
      <w:r w:rsidR="00805CEB" w:rsidRPr="00A22E9D">
        <w:rPr>
          <w:rFonts w:ascii="Times New Roman" w:hAnsi="Times New Roman" w:cs="Times New Roman"/>
          <w:sz w:val="24"/>
          <w:szCs w:val="24"/>
        </w:rPr>
        <w:t xml:space="preserve"> </w:t>
      </w:r>
      <w:r w:rsidR="00B47BCB" w:rsidRPr="00A22E9D">
        <w:rPr>
          <w:rFonts w:ascii="Times New Roman" w:hAnsi="Times New Roman" w:cs="Times New Roman"/>
          <w:sz w:val="24"/>
          <w:szCs w:val="24"/>
        </w:rPr>
        <w:t>and exert its pharmacological effect.</w:t>
      </w:r>
    </w:p>
    <w:p w14:paraId="3E434FE3" w14:textId="4CF879D0" w:rsidR="00690AB4" w:rsidRPr="00A22E9D" w:rsidRDefault="00690AB4"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The integration of in</w:t>
      </w:r>
      <w:r w:rsidR="00E9461E" w:rsidRPr="00A22E9D">
        <w:rPr>
          <w:rFonts w:ascii="Times New Roman" w:hAnsi="Times New Roman" w:cs="Times New Roman"/>
          <w:sz w:val="24"/>
          <w:szCs w:val="24"/>
        </w:rPr>
        <w:t>-</w:t>
      </w:r>
      <w:r w:rsidRPr="00A22E9D">
        <w:rPr>
          <w:rFonts w:ascii="Times New Roman" w:hAnsi="Times New Roman" w:cs="Times New Roman"/>
          <w:sz w:val="24"/>
          <w:szCs w:val="24"/>
        </w:rPr>
        <w:t>vivo and in</w:t>
      </w:r>
      <w:r w:rsidR="00E9461E" w:rsidRPr="00A22E9D">
        <w:rPr>
          <w:rFonts w:ascii="Times New Roman" w:hAnsi="Times New Roman" w:cs="Times New Roman"/>
          <w:sz w:val="24"/>
          <w:szCs w:val="24"/>
        </w:rPr>
        <w:t>-</w:t>
      </w:r>
      <w:r w:rsidRPr="00A22E9D">
        <w:rPr>
          <w:rFonts w:ascii="Times New Roman" w:hAnsi="Times New Roman" w:cs="Times New Roman"/>
          <w:sz w:val="24"/>
          <w:szCs w:val="24"/>
        </w:rPr>
        <w:t xml:space="preserve">silico approaches in this study strengthens our understanding of the effects of </w:t>
      </w:r>
      <w:r w:rsidR="00C3753A" w:rsidRPr="00A22E9D">
        <w:rPr>
          <w:rFonts w:ascii="Times New Roman" w:hAnsi="Times New Roman" w:cs="Times New Roman"/>
          <w:sz w:val="24"/>
          <w:szCs w:val="24"/>
        </w:rPr>
        <w:t xml:space="preserve">the test compound </w:t>
      </w:r>
      <w:r w:rsidRPr="00A22E9D">
        <w:rPr>
          <w:rFonts w:ascii="Times New Roman" w:hAnsi="Times New Roman" w:cs="Times New Roman"/>
          <w:sz w:val="24"/>
          <w:szCs w:val="24"/>
        </w:rPr>
        <w:t xml:space="preserve">on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-infected RBCs. By combining these approaches, we obtain a more comprehensive assessment of the antimalarial activity of </w:t>
      </w:r>
      <w:r w:rsidR="00C3753A" w:rsidRPr="00A22E9D">
        <w:rPr>
          <w:rFonts w:ascii="Times New Roman" w:hAnsi="Times New Roman" w:cs="Times New Roman"/>
          <w:sz w:val="24"/>
          <w:szCs w:val="24"/>
        </w:rPr>
        <w:t xml:space="preserve">the test compound </w:t>
      </w:r>
      <w:r w:rsidRPr="00A22E9D">
        <w:rPr>
          <w:rFonts w:ascii="Times New Roman" w:hAnsi="Times New Roman" w:cs="Times New Roman"/>
          <w:sz w:val="24"/>
          <w:szCs w:val="24"/>
        </w:rPr>
        <w:t>and facilitate the rational design and optimization of future drug candidates</w:t>
      </w:r>
      <w:r w:rsidR="00C3753A" w:rsidRPr="00A22E9D">
        <w:rPr>
          <w:rFonts w:ascii="Times New Roman" w:hAnsi="Times New Roman" w:cs="Times New Roman"/>
          <w:sz w:val="24"/>
          <w:szCs w:val="24"/>
        </w:rPr>
        <w:t xml:space="preserve"> in humans</w:t>
      </w:r>
      <w:r w:rsidR="007747F8" w:rsidRPr="00A22E9D">
        <w:rPr>
          <w:rFonts w:ascii="Times New Roman" w:hAnsi="Times New Roman" w:cs="Times New Roman"/>
          <w:sz w:val="24"/>
          <w:szCs w:val="24"/>
        </w:rPr>
        <w:t xml:space="preserve">, as the ADMET studies conducted on the test compound revealed </w:t>
      </w:r>
      <w:r w:rsidR="00272B94" w:rsidRPr="00A22E9D">
        <w:rPr>
          <w:rFonts w:ascii="Times New Roman" w:hAnsi="Times New Roman" w:cs="Times New Roman"/>
          <w:sz w:val="24"/>
          <w:szCs w:val="24"/>
        </w:rPr>
        <w:t>its</w:t>
      </w:r>
      <w:r w:rsidR="007747F8" w:rsidRPr="00A22E9D">
        <w:rPr>
          <w:rFonts w:ascii="Times New Roman" w:hAnsi="Times New Roman" w:cs="Times New Roman"/>
          <w:sz w:val="24"/>
          <w:szCs w:val="24"/>
        </w:rPr>
        <w:t xml:space="preserve"> conformation to the Lipinski rule, GSK rule Pfizer rule, golden triangle, amongst others</w:t>
      </w:r>
      <w:r w:rsidRPr="00A22E9D">
        <w:rPr>
          <w:rFonts w:ascii="Times New Roman" w:hAnsi="Times New Roman" w:cs="Times New Roman"/>
          <w:sz w:val="24"/>
          <w:szCs w:val="24"/>
        </w:rPr>
        <w:t>.</w:t>
      </w:r>
      <w:r w:rsidR="007747F8" w:rsidRPr="00A22E9D">
        <w:rPr>
          <w:rFonts w:ascii="Times New Roman" w:hAnsi="Times New Roman" w:cs="Times New Roman"/>
          <w:sz w:val="24"/>
          <w:szCs w:val="24"/>
        </w:rPr>
        <w:t xml:space="preserve"> As </w:t>
      </w:r>
      <w:r w:rsidR="002F07D5" w:rsidRPr="00A22E9D">
        <w:rPr>
          <w:rFonts w:ascii="Times New Roman" w:hAnsi="Times New Roman" w:cs="Times New Roman"/>
          <w:sz w:val="24"/>
          <w:szCs w:val="24"/>
        </w:rPr>
        <w:t>conformation to these rules have been established to be a basic requirement for a synthesised ligand to follow before being accepted as a drug</w:t>
      </w:r>
    </w:p>
    <w:p w14:paraId="22F8E0A1" w14:textId="77777777" w:rsidR="00366FB0" w:rsidRPr="00A22E9D" w:rsidRDefault="00366FB0" w:rsidP="00CA4B8F">
      <w:pPr>
        <w:spacing w:line="480" w:lineRule="auto"/>
        <w:jc w:val="both"/>
        <w:rPr>
          <w:rFonts w:ascii="Times New Roman" w:hAnsi="Times New Roman" w:cs="Times New Roman"/>
          <w:sz w:val="24"/>
          <w:szCs w:val="24"/>
        </w:rPr>
      </w:pPr>
    </w:p>
    <w:p w14:paraId="3F42889E" w14:textId="0426CB79" w:rsidR="00366FB0" w:rsidRPr="00A22E9D" w:rsidRDefault="00023D9D" w:rsidP="00CA4B8F">
      <w:pPr>
        <w:pStyle w:val="Heading3"/>
        <w:spacing w:line="480" w:lineRule="auto"/>
        <w:rPr>
          <w:rFonts w:cs="Times New Roman"/>
        </w:rPr>
      </w:pPr>
      <w:bookmarkStart w:id="47" w:name="_Toc145500395"/>
      <w:r w:rsidRPr="00A22E9D">
        <w:rPr>
          <w:rFonts w:cs="Times New Roman"/>
        </w:rPr>
        <w:t xml:space="preserve">5.2 </w:t>
      </w:r>
      <w:r w:rsidR="00366FB0" w:rsidRPr="00A22E9D">
        <w:rPr>
          <w:rFonts w:cs="Times New Roman"/>
        </w:rPr>
        <w:t>CONCLUSION</w:t>
      </w:r>
      <w:bookmarkEnd w:id="47"/>
    </w:p>
    <w:p w14:paraId="2CCCE5FB" w14:textId="6A589A50" w:rsidR="0025123C" w:rsidRPr="00A22E9D" w:rsidRDefault="0025123C"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 xml:space="preserve">Malaria continues to be a major global health concern, with the need for effective antimalarial drugs remaining a high priority. Arylidene </w:t>
      </w:r>
      <w:proofErr w:type="spellStart"/>
      <w:r w:rsidRPr="00A22E9D">
        <w:rPr>
          <w:rFonts w:ascii="Times New Roman" w:hAnsi="Times New Roman" w:cs="Times New Roman"/>
          <w:sz w:val="24"/>
          <w:szCs w:val="24"/>
        </w:rPr>
        <w:t>hydrazinyl</w:t>
      </w:r>
      <w:proofErr w:type="spellEnd"/>
      <w:r w:rsidRPr="00A22E9D">
        <w:rPr>
          <w:rFonts w:ascii="Times New Roman" w:hAnsi="Times New Roman" w:cs="Times New Roman"/>
          <w:sz w:val="24"/>
          <w:szCs w:val="24"/>
        </w:rPr>
        <w:t xml:space="preserve"> </w:t>
      </w:r>
      <w:proofErr w:type="spellStart"/>
      <w:r w:rsidRPr="00A22E9D">
        <w:rPr>
          <w:rFonts w:ascii="Times New Roman" w:hAnsi="Times New Roman" w:cs="Times New Roman"/>
          <w:sz w:val="24"/>
          <w:szCs w:val="24"/>
        </w:rPr>
        <w:t>indenoimidazoles</w:t>
      </w:r>
      <w:proofErr w:type="spellEnd"/>
      <w:r w:rsidRPr="00A22E9D">
        <w:rPr>
          <w:rFonts w:ascii="Times New Roman" w:hAnsi="Times New Roman" w:cs="Times New Roman"/>
          <w:sz w:val="24"/>
          <w:szCs w:val="24"/>
        </w:rPr>
        <w:t xml:space="preserve"> (AHIs) have emerged as potential candidates due to their demonstrated antimalarial activity in vitro.</w:t>
      </w:r>
    </w:p>
    <w:p w14:paraId="7678B374" w14:textId="5B365537" w:rsidR="00D35EF3" w:rsidRPr="00A22E9D" w:rsidRDefault="00E40622"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lastRenderedPageBreak/>
        <w:t xml:space="preserve">In conclusion, our comprehensive investigation combining in-vivo and in-silico studies sheds light on the potential of arylidene </w:t>
      </w:r>
      <w:proofErr w:type="spellStart"/>
      <w:r w:rsidRPr="00A22E9D">
        <w:rPr>
          <w:rFonts w:ascii="Times New Roman" w:hAnsi="Times New Roman" w:cs="Times New Roman"/>
          <w:sz w:val="24"/>
          <w:szCs w:val="24"/>
        </w:rPr>
        <w:t>hydrazinyl</w:t>
      </w:r>
      <w:proofErr w:type="spellEnd"/>
      <w:r w:rsidRPr="00A22E9D">
        <w:rPr>
          <w:rFonts w:ascii="Times New Roman" w:hAnsi="Times New Roman" w:cs="Times New Roman"/>
          <w:sz w:val="24"/>
          <w:szCs w:val="24"/>
        </w:rPr>
        <w:t xml:space="preserve"> </w:t>
      </w:r>
      <w:proofErr w:type="spellStart"/>
      <w:r w:rsidRPr="00A22E9D">
        <w:rPr>
          <w:rFonts w:ascii="Times New Roman" w:hAnsi="Times New Roman" w:cs="Times New Roman"/>
          <w:sz w:val="24"/>
          <w:szCs w:val="24"/>
        </w:rPr>
        <w:t>indenoimidazoles</w:t>
      </w:r>
      <w:proofErr w:type="spellEnd"/>
      <w:r w:rsidRPr="00A22E9D">
        <w:rPr>
          <w:rFonts w:ascii="Times New Roman" w:hAnsi="Times New Roman" w:cs="Times New Roman"/>
          <w:sz w:val="24"/>
          <w:szCs w:val="24"/>
        </w:rPr>
        <w:t xml:space="preserve"> (AHIs) as effective antimalarial agents against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-infected red blood cells (RBCs).</w:t>
      </w:r>
      <w:r w:rsidR="00AA6F35" w:rsidRPr="00A22E9D">
        <w:rPr>
          <w:rFonts w:ascii="Times New Roman" w:hAnsi="Times New Roman" w:cs="Times New Roman"/>
          <w:sz w:val="24"/>
          <w:szCs w:val="24"/>
        </w:rPr>
        <w:t xml:space="preserve"> </w:t>
      </w:r>
      <w:r w:rsidRPr="00A22E9D">
        <w:rPr>
          <w:rFonts w:ascii="Times New Roman" w:hAnsi="Times New Roman" w:cs="Times New Roman"/>
          <w:sz w:val="24"/>
          <w:szCs w:val="24"/>
        </w:rPr>
        <w:t xml:space="preserve">These findings highlight the therapeutic potential of AHIs in combating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 infections in an animal model of malaria</w:t>
      </w:r>
      <w:r w:rsidR="00D7691E" w:rsidRPr="00A22E9D">
        <w:rPr>
          <w:rFonts w:ascii="Times New Roman" w:hAnsi="Times New Roman" w:cs="Times New Roman"/>
          <w:sz w:val="24"/>
          <w:szCs w:val="24"/>
        </w:rPr>
        <w:t xml:space="preserve"> and the potential of the protein FANCJ-like </w:t>
      </w:r>
      <w:proofErr w:type="spellStart"/>
      <w:r w:rsidR="00D7691E" w:rsidRPr="00A22E9D">
        <w:rPr>
          <w:rFonts w:ascii="Times New Roman" w:hAnsi="Times New Roman" w:cs="Times New Roman"/>
          <w:sz w:val="24"/>
          <w:szCs w:val="24"/>
        </w:rPr>
        <w:t>Helicae</w:t>
      </w:r>
      <w:proofErr w:type="spellEnd"/>
      <w:r w:rsidR="00D7691E" w:rsidRPr="00A22E9D">
        <w:rPr>
          <w:rFonts w:ascii="Times New Roman" w:hAnsi="Times New Roman" w:cs="Times New Roman"/>
          <w:sz w:val="24"/>
          <w:szCs w:val="24"/>
        </w:rPr>
        <w:t xml:space="preserve"> as a drug target</w:t>
      </w:r>
      <w:r w:rsidRPr="00A22E9D">
        <w:rPr>
          <w:rFonts w:ascii="Times New Roman" w:hAnsi="Times New Roman" w:cs="Times New Roman"/>
          <w:sz w:val="24"/>
          <w:szCs w:val="24"/>
        </w:rPr>
        <w:t>.</w:t>
      </w:r>
      <w:r w:rsidR="00431F42" w:rsidRPr="00A22E9D">
        <w:rPr>
          <w:rFonts w:ascii="Times New Roman" w:hAnsi="Times New Roman" w:cs="Times New Roman"/>
          <w:sz w:val="24"/>
          <w:szCs w:val="24"/>
        </w:rPr>
        <w:t xml:space="preserve"> Overall, this study contributes to the field of malaria research by identifying differentially expressed genes, predicting potential inhibitory effects of AHI’s, and providing a foundation for future studies.</w:t>
      </w:r>
    </w:p>
    <w:p w14:paraId="273C2833" w14:textId="3A025271" w:rsidR="00CF577C" w:rsidRPr="00A22E9D" w:rsidRDefault="00690AB4" w:rsidP="00CA4B8F">
      <w:pPr>
        <w:spacing w:line="480" w:lineRule="auto"/>
        <w:ind w:firstLine="720"/>
        <w:jc w:val="both"/>
        <w:rPr>
          <w:rFonts w:ascii="Times New Roman" w:hAnsi="Times New Roman" w:cs="Times New Roman"/>
          <w:sz w:val="24"/>
          <w:szCs w:val="24"/>
        </w:rPr>
      </w:pPr>
      <w:r w:rsidRPr="00A22E9D">
        <w:rPr>
          <w:rFonts w:ascii="Times New Roman" w:hAnsi="Times New Roman" w:cs="Times New Roman"/>
          <w:sz w:val="24"/>
          <w:szCs w:val="24"/>
        </w:rPr>
        <w:t>While</w:t>
      </w:r>
      <w:r w:rsidR="00E40622" w:rsidRPr="00A22E9D">
        <w:rPr>
          <w:rFonts w:ascii="Times New Roman" w:hAnsi="Times New Roman" w:cs="Times New Roman"/>
          <w:sz w:val="24"/>
          <w:szCs w:val="24"/>
        </w:rPr>
        <w:t xml:space="preserve"> these</w:t>
      </w:r>
      <w:r w:rsidRPr="00A22E9D">
        <w:rPr>
          <w:rFonts w:ascii="Times New Roman" w:hAnsi="Times New Roman" w:cs="Times New Roman"/>
          <w:sz w:val="24"/>
          <w:szCs w:val="24"/>
        </w:rPr>
        <w:t xml:space="preserve"> findings are promising, several important considerations should be noted. Firstly, the in</w:t>
      </w:r>
      <w:r w:rsidR="00E40622" w:rsidRPr="00A22E9D">
        <w:rPr>
          <w:rFonts w:ascii="Times New Roman" w:hAnsi="Times New Roman" w:cs="Times New Roman"/>
          <w:sz w:val="24"/>
          <w:szCs w:val="24"/>
        </w:rPr>
        <w:t>-</w:t>
      </w:r>
      <w:r w:rsidRPr="00A22E9D">
        <w:rPr>
          <w:rFonts w:ascii="Times New Roman" w:hAnsi="Times New Roman" w:cs="Times New Roman"/>
          <w:sz w:val="24"/>
          <w:szCs w:val="24"/>
        </w:rPr>
        <w:t xml:space="preserve">vivo experiments were conducted in a mouse model of </w:t>
      </w:r>
      <w:r w:rsidR="00683FCF" w:rsidRPr="00683FCF">
        <w:rPr>
          <w:rFonts w:ascii="Times New Roman" w:hAnsi="Times New Roman" w:cs="Times New Roman"/>
          <w:i/>
          <w:sz w:val="24"/>
          <w:szCs w:val="24"/>
        </w:rPr>
        <w:t xml:space="preserve">Plasmodium </w:t>
      </w:r>
      <w:proofErr w:type="spellStart"/>
      <w:r w:rsidR="00683FCF" w:rsidRPr="00683FCF">
        <w:rPr>
          <w:rFonts w:ascii="Times New Roman" w:hAnsi="Times New Roman" w:cs="Times New Roman"/>
          <w:i/>
          <w:sz w:val="24"/>
          <w:szCs w:val="24"/>
        </w:rPr>
        <w:t>berghei</w:t>
      </w:r>
      <w:proofErr w:type="spellEnd"/>
      <w:r w:rsidRPr="00A22E9D">
        <w:rPr>
          <w:rFonts w:ascii="Times New Roman" w:hAnsi="Times New Roman" w:cs="Times New Roman"/>
          <w:sz w:val="24"/>
          <w:szCs w:val="24"/>
        </w:rPr>
        <w:t xml:space="preserve"> infection, and further studies are </w:t>
      </w:r>
      <w:r w:rsidR="00D7691E" w:rsidRPr="00A22E9D">
        <w:rPr>
          <w:rFonts w:ascii="Times New Roman" w:hAnsi="Times New Roman" w:cs="Times New Roman"/>
          <w:sz w:val="24"/>
          <w:szCs w:val="24"/>
        </w:rPr>
        <w:t xml:space="preserve">still </w:t>
      </w:r>
      <w:r w:rsidRPr="00A22E9D">
        <w:rPr>
          <w:rFonts w:ascii="Times New Roman" w:hAnsi="Times New Roman" w:cs="Times New Roman"/>
          <w:sz w:val="24"/>
          <w:szCs w:val="24"/>
        </w:rPr>
        <w:t>needed to evaluate the efficacy and safety of AHIs in other Plasmodium species and in humans. Additionally, the in-silico s</w:t>
      </w:r>
      <w:r w:rsidR="00E40622" w:rsidRPr="00A22E9D">
        <w:rPr>
          <w:rFonts w:ascii="Times New Roman" w:hAnsi="Times New Roman" w:cs="Times New Roman"/>
          <w:sz w:val="24"/>
          <w:szCs w:val="24"/>
        </w:rPr>
        <w:t>tudy</w:t>
      </w:r>
      <w:r w:rsidRPr="00A22E9D">
        <w:rPr>
          <w:rFonts w:ascii="Times New Roman" w:hAnsi="Times New Roman" w:cs="Times New Roman"/>
          <w:sz w:val="24"/>
          <w:szCs w:val="24"/>
        </w:rPr>
        <w:t xml:space="preserve"> </w:t>
      </w:r>
      <w:r w:rsidR="00D35EF3" w:rsidRPr="00A22E9D">
        <w:rPr>
          <w:rFonts w:ascii="Times New Roman" w:hAnsi="Times New Roman" w:cs="Times New Roman"/>
          <w:sz w:val="24"/>
          <w:szCs w:val="24"/>
        </w:rPr>
        <w:t>provides</w:t>
      </w:r>
      <w:r w:rsidRPr="00A22E9D">
        <w:rPr>
          <w:rFonts w:ascii="Times New Roman" w:hAnsi="Times New Roman" w:cs="Times New Roman"/>
          <w:sz w:val="24"/>
          <w:szCs w:val="24"/>
        </w:rPr>
        <w:t xml:space="preserve"> insights into the molecular interactions but are limited to a simulation time scale. Further experimental validation is crucial to confirm the observed effects and understand the precise mechanisms of action of</w:t>
      </w:r>
      <w:r w:rsidR="00E40622" w:rsidRPr="00A22E9D">
        <w:rPr>
          <w:rFonts w:ascii="Times New Roman" w:hAnsi="Times New Roman" w:cs="Times New Roman"/>
          <w:sz w:val="24"/>
          <w:szCs w:val="24"/>
        </w:rPr>
        <w:t xml:space="preserve"> the test compound</w:t>
      </w:r>
      <w:r w:rsidRPr="00A22E9D">
        <w:rPr>
          <w:rFonts w:ascii="Times New Roman" w:hAnsi="Times New Roman" w:cs="Times New Roman"/>
          <w:sz w:val="24"/>
          <w:szCs w:val="24"/>
        </w:rPr>
        <w:t>.</w:t>
      </w:r>
      <w:r w:rsidR="00CF577C" w:rsidRPr="00A22E9D">
        <w:rPr>
          <w:rFonts w:ascii="Times New Roman" w:hAnsi="Times New Roman" w:cs="Times New Roman"/>
          <w:sz w:val="24"/>
          <w:szCs w:val="24"/>
        </w:rPr>
        <w:br w:type="page"/>
      </w:r>
    </w:p>
    <w:p w14:paraId="0FDFD444" w14:textId="509CB798" w:rsidR="00971608" w:rsidRPr="00A22E9D" w:rsidRDefault="000735DA" w:rsidP="00CA4B8F">
      <w:pPr>
        <w:pStyle w:val="Heading2"/>
        <w:spacing w:line="480" w:lineRule="auto"/>
        <w:rPr>
          <w:rFonts w:cs="Times New Roman"/>
        </w:rPr>
      </w:pPr>
      <w:bookmarkStart w:id="48" w:name="_Toc145500396"/>
      <w:r w:rsidRPr="00A22E9D">
        <w:rPr>
          <w:rFonts w:cs="Times New Roman"/>
        </w:rPr>
        <w:lastRenderedPageBreak/>
        <w:t>REFERENCES</w:t>
      </w:r>
      <w:bookmarkEnd w:id="48"/>
    </w:p>
    <w:p w14:paraId="3EB1B3AA" w14:textId="77777777" w:rsidR="00A830BA" w:rsidRPr="00880718" w:rsidRDefault="00702767" w:rsidP="00880718">
      <w:pPr>
        <w:pStyle w:val="Bibliography"/>
        <w:spacing w:after="240" w:line="240" w:lineRule="auto"/>
        <w:jc w:val="both"/>
        <w:rPr>
          <w:rFonts w:ascii="Times New Roman" w:hAnsi="Times New Roman" w:cs="Times New Roman"/>
          <w:sz w:val="24"/>
          <w:szCs w:val="24"/>
        </w:rPr>
      </w:pPr>
      <w:r w:rsidRPr="00A22E9D">
        <w:rPr>
          <w:rFonts w:ascii="Times New Roman" w:hAnsi="Times New Roman" w:cs="Times New Roman"/>
        </w:rPr>
        <w:fldChar w:fldCharType="begin"/>
      </w:r>
      <w:r w:rsidR="007A743A" w:rsidRPr="00A22E9D">
        <w:rPr>
          <w:rFonts w:ascii="Times New Roman" w:hAnsi="Times New Roman" w:cs="Times New Roman"/>
        </w:rPr>
        <w:instrText xml:space="preserve"> ADDIN ZOTERO_BIBL {"uncited":[],"omitted":[],"custom":[]} CSL_BIBLIOGRAPHY </w:instrText>
      </w:r>
      <w:r w:rsidRPr="00A22E9D">
        <w:rPr>
          <w:rFonts w:ascii="Times New Roman" w:hAnsi="Times New Roman" w:cs="Times New Roman"/>
        </w:rPr>
        <w:fldChar w:fldCharType="separate"/>
      </w:r>
      <w:r w:rsidR="00A830BA" w:rsidRPr="00880718">
        <w:rPr>
          <w:rFonts w:ascii="Times New Roman" w:hAnsi="Times New Roman" w:cs="Times New Roman"/>
          <w:sz w:val="24"/>
          <w:szCs w:val="24"/>
        </w:rPr>
        <w:t xml:space="preserve">Achan, J., Talisuna, A. O., Erhart, A., Yeka, A., Tibenderana, J. K., Baliraine, F. N., Rosenthal, P. J., &amp; D’Alessandro, U. (2011). Quinine, an old anti-malarial drug in a modern world: Role in the treatment of malaria. </w:t>
      </w:r>
      <w:r w:rsidR="00A830BA" w:rsidRPr="00880718">
        <w:rPr>
          <w:rFonts w:ascii="Times New Roman" w:hAnsi="Times New Roman" w:cs="Times New Roman"/>
          <w:i/>
          <w:iCs/>
          <w:sz w:val="24"/>
          <w:szCs w:val="24"/>
        </w:rPr>
        <w:t>Malaria Journal</w:t>
      </w:r>
      <w:r w:rsidR="00A830BA" w:rsidRPr="00880718">
        <w:rPr>
          <w:rFonts w:ascii="Times New Roman" w:hAnsi="Times New Roman" w:cs="Times New Roman"/>
          <w:sz w:val="24"/>
          <w:szCs w:val="24"/>
        </w:rPr>
        <w:t xml:space="preserve">, </w:t>
      </w:r>
      <w:r w:rsidR="00A830BA" w:rsidRPr="00880718">
        <w:rPr>
          <w:rFonts w:ascii="Times New Roman" w:hAnsi="Times New Roman" w:cs="Times New Roman"/>
          <w:i/>
          <w:iCs/>
          <w:sz w:val="24"/>
          <w:szCs w:val="24"/>
        </w:rPr>
        <w:t>10</w:t>
      </w:r>
      <w:r w:rsidR="00A830BA" w:rsidRPr="00880718">
        <w:rPr>
          <w:rFonts w:ascii="Times New Roman" w:hAnsi="Times New Roman" w:cs="Times New Roman"/>
          <w:sz w:val="24"/>
          <w:szCs w:val="24"/>
        </w:rPr>
        <w:t>, 144. https://doi.org/10.1186/1475-2875-10-144</w:t>
      </w:r>
    </w:p>
    <w:p w14:paraId="42464C10"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Achan, J., Tibenderana, J. K., Kyabayinze, D., Wabwire Mangen, F., Kamya, M. R., Dorsey, G., D’Alessandro, U., Rosenthal, P. J., &amp; Talisuna, A. O. (2009). Effectiveness of quinine versus artemether-lumefantrine for treating uncomplicated falciparum malaria in Ugandan children: Randomised trial. </w:t>
      </w:r>
      <w:r w:rsidRPr="00880718">
        <w:rPr>
          <w:rFonts w:ascii="Times New Roman" w:hAnsi="Times New Roman" w:cs="Times New Roman"/>
          <w:i/>
          <w:iCs/>
          <w:sz w:val="24"/>
          <w:szCs w:val="24"/>
        </w:rPr>
        <w:t>The BMJ</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339</w:t>
      </w:r>
      <w:r w:rsidRPr="00880718">
        <w:rPr>
          <w:rFonts w:ascii="Times New Roman" w:hAnsi="Times New Roman" w:cs="Times New Roman"/>
          <w:sz w:val="24"/>
          <w:szCs w:val="24"/>
        </w:rPr>
        <w:t>, b2763. https://doi.org/10.1136/bmj.b2763</w:t>
      </w:r>
    </w:p>
    <w:p w14:paraId="1DE0CA58"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Acharya, P., Garg, M., Kumar, P., Munjal, A., &amp; Raja, K. D. (2017). Host–Parasite Interactions in Human Malaria: Clinical Implications of Basic Research. </w:t>
      </w:r>
      <w:r w:rsidRPr="00880718">
        <w:rPr>
          <w:rFonts w:ascii="Times New Roman" w:hAnsi="Times New Roman" w:cs="Times New Roman"/>
          <w:i/>
          <w:iCs/>
          <w:sz w:val="24"/>
          <w:szCs w:val="24"/>
        </w:rPr>
        <w:t>Frontiers in Microbiology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8</w:t>
      </w:r>
      <w:r w:rsidRPr="00880718">
        <w:rPr>
          <w:rFonts w:ascii="Times New Roman" w:hAnsi="Times New Roman" w:cs="Times New Roman"/>
          <w:sz w:val="24"/>
          <w:szCs w:val="24"/>
        </w:rPr>
        <w:t>, 889. https://doi.org/10.3389/fmicb.2017.00889</w:t>
      </w:r>
    </w:p>
    <w:p w14:paraId="53BF6537"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Aguiar, A. C. C., Rocha, E. M. da, Souza, N. B. de, França, T. C., &amp; Krettli, A. U. (2012). New approaches in antimalarial drug discovery and development: A review. </w:t>
      </w:r>
      <w:r w:rsidRPr="00880718">
        <w:rPr>
          <w:rFonts w:ascii="Times New Roman" w:hAnsi="Times New Roman" w:cs="Times New Roman"/>
          <w:i/>
          <w:iCs/>
          <w:sz w:val="24"/>
          <w:szCs w:val="24"/>
        </w:rPr>
        <w:t>Memórias Do Instituto Oswaldo Cruz</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107</w:t>
      </w:r>
      <w:r w:rsidRPr="00880718">
        <w:rPr>
          <w:rFonts w:ascii="Times New Roman" w:hAnsi="Times New Roman" w:cs="Times New Roman"/>
          <w:sz w:val="24"/>
          <w:szCs w:val="24"/>
        </w:rPr>
        <w:t>, 831–845. https://doi.org/10.1590/S0074-02762012000700001</w:t>
      </w:r>
    </w:p>
    <w:p w14:paraId="709AC140"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Akinosoglou, K.-A., &amp; Pasvol, G. (2011). The management of malaria in adults. </w:t>
      </w:r>
      <w:r w:rsidRPr="00880718">
        <w:rPr>
          <w:rFonts w:ascii="Times New Roman" w:hAnsi="Times New Roman" w:cs="Times New Roman"/>
          <w:i/>
          <w:iCs/>
          <w:sz w:val="24"/>
          <w:szCs w:val="24"/>
        </w:rPr>
        <w:t>Clinical Medicine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11</w:t>
      </w:r>
      <w:r w:rsidRPr="00880718">
        <w:rPr>
          <w:rFonts w:ascii="Times New Roman" w:hAnsi="Times New Roman" w:cs="Times New Roman"/>
          <w:sz w:val="24"/>
          <w:szCs w:val="24"/>
        </w:rPr>
        <w:t>(5), 497–501. https://doi.org/10.7861/clinmedicine.11-5-497</w:t>
      </w:r>
    </w:p>
    <w:p w14:paraId="7BF49F05"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Ashley, E. A., &amp; Phyo, A. P. (2018). Drugs in Development for Malaria. </w:t>
      </w:r>
      <w:r w:rsidRPr="00880718">
        <w:rPr>
          <w:rFonts w:ascii="Times New Roman" w:hAnsi="Times New Roman" w:cs="Times New Roman"/>
          <w:i/>
          <w:iCs/>
          <w:sz w:val="24"/>
          <w:szCs w:val="24"/>
        </w:rPr>
        <w:t>Drugs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78</w:t>
      </w:r>
      <w:r w:rsidRPr="00880718">
        <w:rPr>
          <w:rFonts w:ascii="Times New Roman" w:hAnsi="Times New Roman" w:cs="Times New Roman"/>
          <w:sz w:val="24"/>
          <w:szCs w:val="24"/>
        </w:rPr>
        <w:t>(9), 861–879. https://doi.org/10.1007/s40265-018-0911-9</w:t>
      </w:r>
    </w:p>
    <w:p w14:paraId="72857CDF"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Ashley, E. A., Recht, J., &amp; White, N. J. (2014). Primaquine: The risks and the benefits. </w:t>
      </w:r>
      <w:r w:rsidRPr="00880718">
        <w:rPr>
          <w:rFonts w:ascii="Times New Roman" w:hAnsi="Times New Roman" w:cs="Times New Roman"/>
          <w:i/>
          <w:iCs/>
          <w:sz w:val="24"/>
          <w:szCs w:val="24"/>
        </w:rPr>
        <w:t>Malaria Journal</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13</w:t>
      </w:r>
      <w:r w:rsidRPr="00880718">
        <w:rPr>
          <w:rFonts w:ascii="Times New Roman" w:hAnsi="Times New Roman" w:cs="Times New Roman"/>
          <w:sz w:val="24"/>
          <w:szCs w:val="24"/>
        </w:rPr>
        <w:t>(1), 418. https://doi.org/10.1186/1475-2875-13-418</w:t>
      </w:r>
    </w:p>
    <w:p w14:paraId="0614732C" w14:textId="7FE495E8"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Baptista, F. G., Pamplona, A., Pena, A. C., Mota, M. M., Pied, S., &amp; Vigário, A. M. (2010). Accumulation of </w:t>
      </w:r>
      <w:r w:rsidR="00683FCF" w:rsidRPr="00880718">
        <w:rPr>
          <w:rFonts w:ascii="Times New Roman" w:hAnsi="Times New Roman" w:cs="Times New Roman"/>
          <w:i/>
          <w:sz w:val="24"/>
          <w:szCs w:val="24"/>
        </w:rPr>
        <w:t>Plasmodium berghei</w:t>
      </w:r>
      <w:r w:rsidRPr="00880718">
        <w:rPr>
          <w:rFonts w:ascii="Times New Roman" w:hAnsi="Times New Roman" w:cs="Times New Roman"/>
          <w:sz w:val="24"/>
          <w:szCs w:val="24"/>
        </w:rPr>
        <w:t xml:space="preserve">-Infected Red Blood Cells in the Brain Is Crucial for the Development of Cerebral Malaria in Mice. </w:t>
      </w:r>
      <w:r w:rsidRPr="00880718">
        <w:rPr>
          <w:rFonts w:ascii="Times New Roman" w:hAnsi="Times New Roman" w:cs="Times New Roman"/>
          <w:i/>
          <w:iCs/>
          <w:sz w:val="24"/>
          <w:szCs w:val="24"/>
        </w:rPr>
        <w:t>Infection and Immunity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78</w:t>
      </w:r>
      <w:r w:rsidRPr="00880718">
        <w:rPr>
          <w:rFonts w:ascii="Times New Roman" w:hAnsi="Times New Roman" w:cs="Times New Roman"/>
          <w:sz w:val="24"/>
          <w:szCs w:val="24"/>
        </w:rPr>
        <w:t>(9), 4033–4039. https://doi.org/10.1128/IAI.00079-10</w:t>
      </w:r>
    </w:p>
    <w:p w14:paraId="599311B6"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Burgert, L., Zaloumis, S., Dini, S., Marquart, L., Cao, P., Cherkaoui, M., Gobeau, N., McCarthy, J., Simpson, J. A., Möhrle, J. J., &amp; Penny, M. A. (2021). Parasite-Host Dynamics throughout Antimalarial Drug Development Stages Complicate the Translation of Parasite Clearance. </w:t>
      </w:r>
      <w:r w:rsidRPr="00880718">
        <w:rPr>
          <w:rFonts w:ascii="Times New Roman" w:hAnsi="Times New Roman" w:cs="Times New Roman"/>
          <w:i/>
          <w:iCs/>
          <w:sz w:val="24"/>
          <w:szCs w:val="24"/>
        </w:rPr>
        <w:t>Antimicrobial Agents and Chemotherapy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65</w:t>
      </w:r>
      <w:r w:rsidRPr="00880718">
        <w:rPr>
          <w:rFonts w:ascii="Times New Roman" w:hAnsi="Times New Roman" w:cs="Times New Roman"/>
          <w:sz w:val="24"/>
          <w:szCs w:val="24"/>
        </w:rPr>
        <w:t>(4). https://doi.org/10.1128/AAC.01539-20</w:t>
      </w:r>
    </w:p>
    <w:p w14:paraId="7A1B4BD4"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Chu, X., Bleasby, K., &amp; Evers, R. (2013). Species differences in drug transporters and implications for translating preclinical findings to humans. </w:t>
      </w:r>
      <w:r w:rsidRPr="00880718">
        <w:rPr>
          <w:rFonts w:ascii="Times New Roman" w:hAnsi="Times New Roman" w:cs="Times New Roman"/>
          <w:i/>
          <w:iCs/>
          <w:sz w:val="24"/>
          <w:szCs w:val="24"/>
        </w:rPr>
        <w:t>Expert Opinion on Drug Metabolism &amp; Toxicology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9</w:t>
      </w:r>
      <w:r w:rsidRPr="00880718">
        <w:rPr>
          <w:rFonts w:ascii="Times New Roman" w:hAnsi="Times New Roman" w:cs="Times New Roman"/>
          <w:sz w:val="24"/>
          <w:szCs w:val="24"/>
        </w:rPr>
        <w:t>(3), 237–252. https://doi.org/10.1517/17425255.2013.741589</w:t>
      </w:r>
    </w:p>
    <w:p w14:paraId="0439069F"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Cobbold, S. A., V Tutor, M., Frasse, P., McHugh, E., Karnthaler, M., Creek, D. J., Odom John, A., Tilley, L., Ralph, S. A., &amp; McConville, M. J. (2021). Non‐canonical metabolic pathways in the malaria parasite detected by isotope‐tracing metabolomics. </w:t>
      </w:r>
      <w:r w:rsidRPr="00880718">
        <w:rPr>
          <w:rFonts w:ascii="Times New Roman" w:hAnsi="Times New Roman" w:cs="Times New Roman"/>
          <w:i/>
          <w:iCs/>
          <w:sz w:val="24"/>
          <w:szCs w:val="24"/>
        </w:rPr>
        <w:t>Molecular Systems Biology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17</w:t>
      </w:r>
      <w:r w:rsidRPr="00880718">
        <w:rPr>
          <w:rFonts w:ascii="Times New Roman" w:hAnsi="Times New Roman" w:cs="Times New Roman"/>
          <w:sz w:val="24"/>
          <w:szCs w:val="24"/>
        </w:rPr>
        <w:t>(4), e10023. https://doi.org/10.15252/msb.202010023</w:t>
      </w:r>
    </w:p>
    <w:p w14:paraId="1ABFA5F4"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lastRenderedPageBreak/>
        <w:t xml:space="preserve">Corbett, A. H. (2018). Post-transcriptional Regulation of Gene Expression and Human Disease. </w:t>
      </w:r>
      <w:r w:rsidRPr="00880718">
        <w:rPr>
          <w:rFonts w:ascii="Times New Roman" w:hAnsi="Times New Roman" w:cs="Times New Roman"/>
          <w:i/>
          <w:iCs/>
          <w:sz w:val="24"/>
          <w:szCs w:val="24"/>
        </w:rPr>
        <w:t>Current Opinion in Cell Biology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52</w:t>
      </w:r>
      <w:r w:rsidRPr="00880718">
        <w:rPr>
          <w:rFonts w:ascii="Times New Roman" w:hAnsi="Times New Roman" w:cs="Times New Roman"/>
          <w:sz w:val="24"/>
          <w:szCs w:val="24"/>
        </w:rPr>
        <w:t>, 96–104. https://doi.org/10.1016/j.ceb.2018.02.011</w:t>
      </w:r>
    </w:p>
    <w:p w14:paraId="454E5137"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Coulibaly, W. K., Paquin, L., Bénie, A., Bekro, Y.-A., Durieu, E., Meijer, L., &amp; Bazureau, J. P. (2012). Synthesis of N,N′-bis(5-arylidene-4-oxo-3,5-dihydro-4H-imidazol-2-yl)diamines bearing various linkers and biological evaluation as potential inhibitors of kinases. </w:t>
      </w:r>
      <w:r w:rsidRPr="00880718">
        <w:rPr>
          <w:rFonts w:ascii="Times New Roman" w:hAnsi="Times New Roman" w:cs="Times New Roman"/>
          <w:i/>
          <w:iCs/>
          <w:sz w:val="24"/>
          <w:szCs w:val="24"/>
        </w:rPr>
        <w:t>European Journal of Medicinal Chemistry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58</w:t>
      </w:r>
      <w:r w:rsidRPr="00880718">
        <w:rPr>
          <w:rFonts w:ascii="Times New Roman" w:hAnsi="Times New Roman" w:cs="Times New Roman"/>
          <w:sz w:val="24"/>
          <w:szCs w:val="24"/>
        </w:rPr>
        <w:t>, 581–590. https://doi.org/10.1016/j.ejmech.2012.08.044</w:t>
      </w:r>
    </w:p>
    <w:p w14:paraId="688E8112"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Cui, L., Mharakurwa, S., Ndiaye, D., Rathod, P. K., &amp; Rosenthal, P. J. (2015). Antimalarial Drug Resistance: Literature Review and Activities and Findings of the ICEMR Network. </w:t>
      </w:r>
      <w:r w:rsidRPr="00880718">
        <w:rPr>
          <w:rFonts w:ascii="Times New Roman" w:hAnsi="Times New Roman" w:cs="Times New Roman"/>
          <w:i/>
          <w:iCs/>
          <w:sz w:val="24"/>
          <w:szCs w:val="24"/>
        </w:rPr>
        <w:t>The American Journal of Tropical Medicine and Hygiene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93</w:t>
      </w:r>
      <w:r w:rsidRPr="00880718">
        <w:rPr>
          <w:rFonts w:ascii="Times New Roman" w:hAnsi="Times New Roman" w:cs="Times New Roman"/>
          <w:sz w:val="24"/>
          <w:szCs w:val="24"/>
        </w:rPr>
        <w:t>(3 Suppl), 57–68. https://doi.org/10.4269/ajtmh.15-0007</w:t>
      </w:r>
    </w:p>
    <w:p w14:paraId="3DFA846D"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De Vivo, M., Masetti, M., Bottegoni, G., &amp; Cavalli, A. (2016). Role of Molecular Dynamics and Related Methods in Drug Discovery. </w:t>
      </w:r>
      <w:r w:rsidRPr="00880718">
        <w:rPr>
          <w:rFonts w:ascii="Times New Roman" w:hAnsi="Times New Roman" w:cs="Times New Roman"/>
          <w:i/>
          <w:iCs/>
          <w:sz w:val="24"/>
          <w:szCs w:val="24"/>
        </w:rPr>
        <w:t>Journal of Medicinal Chemistry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59</w:t>
      </w:r>
      <w:r w:rsidRPr="00880718">
        <w:rPr>
          <w:rFonts w:ascii="Times New Roman" w:hAnsi="Times New Roman" w:cs="Times New Roman"/>
          <w:sz w:val="24"/>
          <w:szCs w:val="24"/>
        </w:rPr>
        <w:t>(9), 4035–4061. https://doi.org/10.1021/acs.jmedchem.5b01684</w:t>
      </w:r>
    </w:p>
    <w:p w14:paraId="4EB73139" w14:textId="69C69AE5"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DEHGHAN, H., OSHAGHI, M. A., MOSA-KAZEMI, S. H., ABAI, M. R., RAFIE, F., NATEGHPOUR, M., MOHAMMADZADEH, H., FARIVAR, L., &amp; MOHAMMADI BAVANI, M. (2018). Experimental Study on </w:t>
      </w:r>
      <w:r w:rsidR="00683FCF" w:rsidRPr="00880718">
        <w:rPr>
          <w:rFonts w:ascii="Times New Roman" w:hAnsi="Times New Roman" w:cs="Times New Roman"/>
          <w:i/>
          <w:sz w:val="24"/>
          <w:szCs w:val="24"/>
        </w:rPr>
        <w:t>Plasmodium berghei</w:t>
      </w:r>
      <w:r w:rsidRPr="00880718">
        <w:rPr>
          <w:rFonts w:ascii="Times New Roman" w:hAnsi="Times New Roman" w:cs="Times New Roman"/>
          <w:sz w:val="24"/>
          <w:szCs w:val="24"/>
        </w:rPr>
        <w:t xml:space="preserve">, Anopheles Stephensi, and BALB/c Mouse System: Implications for Malaria Transmission Blocking Assays. </w:t>
      </w:r>
      <w:r w:rsidRPr="00880718">
        <w:rPr>
          <w:rFonts w:ascii="Times New Roman" w:hAnsi="Times New Roman" w:cs="Times New Roman"/>
          <w:i/>
          <w:iCs/>
          <w:sz w:val="24"/>
          <w:szCs w:val="24"/>
        </w:rPr>
        <w:t>Iranian Journal of Parasitology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13</w:t>
      </w:r>
      <w:r w:rsidRPr="00880718">
        <w:rPr>
          <w:rFonts w:ascii="Times New Roman" w:hAnsi="Times New Roman" w:cs="Times New Roman"/>
          <w:sz w:val="24"/>
          <w:szCs w:val="24"/>
        </w:rPr>
        <w:t>(4), 549–559.</w:t>
      </w:r>
    </w:p>
    <w:p w14:paraId="64E83990"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Delves, M., Plouffe, D., Scheurer, C., Meister, S., Wittlin, S., Winzeler, E. A., Sinden, R. E., &amp; Leroy, D. (2012). The Activities of Current Antimalarial Drugs on the Life Cycle Stages of Plasmodium: A Comparative Study with Human and Rodent Parasites. </w:t>
      </w:r>
      <w:r w:rsidRPr="00880718">
        <w:rPr>
          <w:rFonts w:ascii="Times New Roman" w:hAnsi="Times New Roman" w:cs="Times New Roman"/>
          <w:i/>
          <w:iCs/>
          <w:sz w:val="24"/>
          <w:szCs w:val="24"/>
        </w:rPr>
        <w:t>PLOS Medicine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9</w:t>
      </w:r>
      <w:r w:rsidRPr="00880718">
        <w:rPr>
          <w:rFonts w:ascii="Times New Roman" w:hAnsi="Times New Roman" w:cs="Times New Roman"/>
          <w:sz w:val="24"/>
          <w:szCs w:val="24"/>
        </w:rPr>
        <w:t>(2), e1001169. https://doi.org/10.1371/journal.pmed.1001169</w:t>
      </w:r>
    </w:p>
    <w:p w14:paraId="3BF52BB2"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Denayer, T., Stöhr, T., &amp; Van Roy, M. (2014). Animal models in translational medicine: Validation and prediction. </w:t>
      </w:r>
      <w:r w:rsidRPr="00880718">
        <w:rPr>
          <w:rFonts w:ascii="Times New Roman" w:hAnsi="Times New Roman" w:cs="Times New Roman"/>
          <w:i/>
          <w:iCs/>
          <w:sz w:val="24"/>
          <w:szCs w:val="24"/>
        </w:rPr>
        <w:t>New Horizons in Translational Medicine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w:t>
      </w:r>
      <w:r w:rsidRPr="00880718">
        <w:rPr>
          <w:rFonts w:ascii="Times New Roman" w:hAnsi="Times New Roman" w:cs="Times New Roman"/>
          <w:sz w:val="24"/>
          <w:szCs w:val="24"/>
        </w:rPr>
        <w:t>(1), 5–11. https://doi.org/10.1016/j.nhtm.2014.08.001</w:t>
      </w:r>
    </w:p>
    <w:p w14:paraId="479A1219"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Ferreira, L. G., Dos Santos, R. N., Oliva, G., &amp; Andricopulo, A. D. (2015). Molecular Docking and Structure-Based Drug Design Strategies. </w:t>
      </w:r>
      <w:r w:rsidRPr="00880718">
        <w:rPr>
          <w:rFonts w:ascii="Times New Roman" w:hAnsi="Times New Roman" w:cs="Times New Roman"/>
          <w:i/>
          <w:iCs/>
          <w:sz w:val="24"/>
          <w:szCs w:val="24"/>
        </w:rPr>
        <w:t>Molecules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20</w:t>
      </w:r>
      <w:r w:rsidRPr="00880718">
        <w:rPr>
          <w:rFonts w:ascii="Times New Roman" w:hAnsi="Times New Roman" w:cs="Times New Roman"/>
          <w:sz w:val="24"/>
          <w:szCs w:val="24"/>
        </w:rPr>
        <w:t>(7), Article 7. https://doi.org/10.3390/molecules200713384</w:t>
      </w:r>
    </w:p>
    <w:p w14:paraId="7CB51907"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Forlemu, N., Watkins, P., &amp; Sloop, J. (2016). Molecular Docking of Selective Binding Affinity of Sulfonamide Derivatives as Potential Antimalarial Agents Targeting the Glycolytic Enzymes: GAPDH, Aldolase and TPI. </w:t>
      </w:r>
      <w:r w:rsidRPr="00880718">
        <w:rPr>
          <w:rFonts w:ascii="Times New Roman" w:hAnsi="Times New Roman" w:cs="Times New Roman"/>
          <w:i/>
          <w:iCs/>
          <w:sz w:val="24"/>
          <w:szCs w:val="24"/>
        </w:rPr>
        <w:t>Open Journal of Biophysics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7</w:t>
      </w:r>
      <w:r w:rsidRPr="00880718">
        <w:rPr>
          <w:rFonts w:ascii="Times New Roman" w:hAnsi="Times New Roman" w:cs="Times New Roman"/>
          <w:sz w:val="24"/>
          <w:szCs w:val="24"/>
        </w:rPr>
        <w:t>(1), Article 1. https://doi.org/10.4236/ojbiphy.2017.71004</w:t>
      </w:r>
    </w:p>
    <w:p w14:paraId="4A8E1A7A" w14:textId="4014EC50"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Gemma, S., Kukreja, G., Fattorusso, C., Persico, M., Romano, M. P., Altarelli, M., Savini, L., Campiani, G., Fattorusso, E., Basilico, N., Taramelli, D., Yardley, V., &amp; Butini, S. (2006). Synthesis of N1-arylidene-N2-quinolyl- and N2-acrydinylhydrazones as potent antimalarial agents active against CQ-resistant </w:t>
      </w:r>
      <w:r w:rsidR="00683FCF" w:rsidRPr="00880718">
        <w:rPr>
          <w:rFonts w:ascii="Times New Roman" w:hAnsi="Times New Roman" w:cs="Times New Roman"/>
          <w:i/>
          <w:sz w:val="24"/>
          <w:szCs w:val="24"/>
        </w:rPr>
        <w:t>P. falciparum</w:t>
      </w:r>
      <w:r w:rsidRPr="00880718">
        <w:rPr>
          <w:rFonts w:ascii="Times New Roman" w:hAnsi="Times New Roman" w:cs="Times New Roman"/>
          <w:sz w:val="24"/>
          <w:szCs w:val="24"/>
        </w:rPr>
        <w:t xml:space="preserve"> strains. </w:t>
      </w:r>
      <w:r w:rsidRPr="00880718">
        <w:rPr>
          <w:rFonts w:ascii="Times New Roman" w:hAnsi="Times New Roman" w:cs="Times New Roman"/>
          <w:i/>
          <w:iCs/>
          <w:sz w:val="24"/>
          <w:szCs w:val="24"/>
        </w:rPr>
        <w:t>Bioorganic &amp; Medicinal Chemistry Letters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16</w:t>
      </w:r>
      <w:r w:rsidRPr="00880718">
        <w:rPr>
          <w:rFonts w:ascii="Times New Roman" w:hAnsi="Times New Roman" w:cs="Times New Roman"/>
          <w:sz w:val="24"/>
          <w:szCs w:val="24"/>
        </w:rPr>
        <w:t>(20), 5384–5388. https://doi.org/10.1016/j.bmcl.2006.07.060</w:t>
      </w:r>
    </w:p>
    <w:p w14:paraId="489A9AC1"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Geng, H., Chen, F., Ye, J., &amp; Jiang, F. (2019). Applications of Molecular Dynamics Simulation in Structure Prediction of Peptides and Proteins. </w:t>
      </w:r>
      <w:r w:rsidRPr="00880718">
        <w:rPr>
          <w:rFonts w:ascii="Times New Roman" w:hAnsi="Times New Roman" w:cs="Times New Roman"/>
          <w:i/>
          <w:iCs/>
          <w:sz w:val="24"/>
          <w:szCs w:val="24"/>
        </w:rPr>
        <w:t>Computational and Structural Biotechnology Journal</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17</w:t>
      </w:r>
      <w:r w:rsidRPr="00880718">
        <w:rPr>
          <w:rFonts w:ascii="Times New Roman" w:hAnsi="Times New Roman" w:cs="Times New Roman"/>
          <w:sz w:val="24"/>
          <w:szCs w:val="24"/>
        </w:rPr>
        <w:t>, 1162–1170. https://doi.org/10.1016/j.csbj.2019.07.010</w:t>
      </w:r>
    </w:p>
    <w:p w14:paraId="6E2FAF2F"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lastRenderedPageBreak/>
        <w:t xml:space="preserve">Georgiadou, A., Dunican, C., Soro-Barrio, P., Lee, H. J., Kaforou, M., &amp; Cunnington, A. J. (2022). Comparative transcriptomic analysis reveals translationally relevant processes in mouse models of malaria. </w:t>
      </w:r>
      <w:r w:rsidRPr="00880718">
        <w:rPr>
          <w:rFonts w:ascii="Times New Roman" w:hAnsi="Times New Roman" w:cs="Times New Roman"/>
          <w:i/>
          <w:iCs/>
          <w:sz w:val="24"/>
          <w:szCs w:val="24"/>
        </w:rPr>
        <w:t>ELife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11</w:t>
      </w:r>
      <w:r w:rsidRPr="00880718">
        <w:rPr>
          <w:rFonts w:ascii="Times New Roman" w:hAnsi="Times New Roman" w:cs="Times New Roman"/>
          <w:sz w:val="24"/>
          <w:szCs w:val="24"/>
        </w:rPr>
        <w:t>, e70763. https://doi.org/10.7554/eLife.70763</w:t>
      </w:r>
    </w:p>
    <w:p w14:paraId="36608C72" w14:textId="12835BEC"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Goodman, A. L., Forbes, E. K., Williams, A. R., Douglas, A. D., de Cassan, S. C., Bauza, K., Biswas, S., Dicks, M. D. J., Llewellyn, D., Moore, A. C., Janse, C. J., Franke-Fayard, B. M., Gilbert, S. C., Hill, A. V. S., Pleass, R. J., &amp; Draper, S. J. (2013). The utility of </w:t>
      </w:r>
      <w:r w:rsidR="00683FCF" w:rsidRPr="00880718">
        <w:rPr>
          <w:rFonts w:ascii="Times New Roman" w:hAnsi="Times New Roman" w:cs="Times New Roman"/>
          <w:i/>
          <w:sz w:val="24"/>
          <w:szCs w:val="24"/>
        </w:rPr>
        <w:t>Plasmodium berghei</w:t>
      </w:r>
      <w:r w:rsidRPr="00880718">
        <w:rPr>
          <w:rFonts w:ascii="Times New Roman" w:hAnsi="Times New Roman" w:cs="Times New Roman"/>
          <w:sz w:val="24"/>
          <w:szCs w:val="24"/>
        </w:rPr>
        <w:t xml:space="preserve"> as a rodent model for anti-merozoite malaria vaccine assessment. </w:t>
      </w:r>
      <w:r w:rsidRPr="00880718">
        <w:rPr>
          <w:rFonts w:ascii="Times New Roman" w:hAnsi="Times New Roman" w:cs="Times New Roman"/>
          <w:i/>
          <w:iCs/>
          <w:sz w:val="24"/>
          <w:szCs w:val="24"/>
        </w:rPr>
        <w:t>Scientific Reports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3</w:t>
      </w:r>
      <w:r w:rsidRPr="00880718">
        <w:rPr>
          <w:rFonts w:ascii="Times New Roman" w:hAnsi="Times New Roman" w:cs="Times New Roman"/>
          <w:sz w:val="24"/>
          <w:szCs w:val="24"/>
        </w:rPr>
        <w:t>, 1706. https://doi.org/10.1038/srep01706</w:t>
      </w:r>
    </w:p>
    <w:p w14:paraId="30F8BA52"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Govindarajan, R., Duraiyan, J., Kaliyappan, K., &amp; Palanisamy, M. (2012). Microarray and its applications. </w:t>
      </w:r>
      <w:r w:rsidRPr="00880718">
        <w:rPr>
          <w:rFonts w:ascii="Times New Roman" w:hAnsi="Times New Roman" w:cs="Times New Roman"/>
          <w:i/>
          <w:iCs/>
          <w:sz w:val="24"/>
          <w:szCs w:val="24"/>
        </w:rPr>
        <w:t>Journal of Pharmacy &amp; Bioallied Sciences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4</w:t>
      </w:r>
      <w:r w:rsidRPr="00880718">
        <w:rPr>
          <w:rFonts w:ascii="Times New Roman" w:hAnsi="Times New Roman" w:cs="Times New Roman"/>
          <w:sz w:val="24"/>
          <w:szCs w:val="24"/>
        </w:rPr>
        <w:t>(Suppl 2), S310–S312. https://doi.org/10.4103/0975-7406.100283</w:t>
      </w:r>
    </w:p>
    <w:p w14:paraId="5110AB83"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Halliday, K. E., Witek-McManus, S. S., Opondo, C., Mtali, A., Allen, E., Bauleni, A., Ndau, S., Phondiwa, E., Ali, D., Kachigunda, V., Sande, J. H., Jawati, M., Verney, A., Chimuna, T., Melody, D., Moestue, H., Roschnik, N., Brooker, S. J., &amp; Mathanga, D. P. (2020). Impact of school-based malaria case management on school attendance, health and education outcomes: A cluster randomised trial in southern Malawi. </w:t>
      </w:r>
      <w:r w:rsidRPr="00880718">
        <w:rPr>
          <w:rFonts w:ascii="Times New Roman" w:hAnsi="Times New Roman" w:cs="Times New Roman"/>
          <w:i/>
          <w:iCs/>
          <w:sz w:val="24"/>
          <w:szCs w:val="24"/>
        </w:rPr>
        <w:t>BMJ Global Health</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w:t>
      </w:r>
      <w:r w:rsidRPr="00880718">
        <w:rPr>
          <w:rFonts w:ascii="Times New Roman" w:hAnsi="Times New Roman" w:cs="Times New Roman"/>
          <w:sz w:val="24"/>
          <w:szCs w:val="24"/>
        </w:rPr>
        <w:t>(1), e001666. https://doi.org/10.1136/bmjgh-2019-001666</w:t>
      </w:r>
    </w:p>
    <w:p w14:paraId="0790A49F"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Heath, M., Bowyer, K., Kopans, D., Kegelmeyer, P., Moore, R., Chang, K., &amp; Munishkumaran, S. (1998). Current Status of the Digital Database for Screening Mammography. In N. Karssemeijer, M. Thijssen, J. Hendriks, &amp; L. van Erning (Eds.), </w:t>
      </w:r>
      <w:r w:rsidRPr="00880718">
        <w:rPr>
          <w:rFonts w:ascii="Times New Roman" w:hAnsi="Times New Roman" w:cs="Times New Roman"/>
          <w:i/>
          <w:iCs/>
          <w:sz w:val="24"/>
          <w:szCs w:val="24"/>
        </w:rPr>
        <w:t>Digital Mammography: Nijmegen, 1998</w:t>
      </w:r>
      <w:r w:rsidRPr="00880718">
        <w:rPr>
          <w:rFonts w:ascii="Times New Roman" w:hAnsi="Times New Roman" w:cs="Times New Roman"/>
          <w:sz w:val="24"/>
          <w:szCs w:val="24"/>
        </w:rPr>
        <w:t xml:space="preserve"> (pp. 457–460). Springer Netherlands. https://doi.org/10.1007/978-94-011-5318-8_75</w:t>
      </w:r>
    </w:p>
    <w:p w14:paraId="53082E0B"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Hollingsworth, S. A., &amp; Dror, R. O. (2018). Molecular dynamics simulation for all. </w:t>
      </w:r>
      <w:r w:rsidRPr="00880718">
        <w:rPr>
          <w:rFonts w:ascii="Times New Roman" w:hAnsi="Times New Roman" w:cs="Times New Roman"/>
          <w:i/>
          <w:iCs/>
          <w:sz w:val="24"/>
          <w:szCs w:val="24"/>
        </w:rPr>
        <w:t>Neuron</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99</w:t>
      </w:r>
      <w:r w:rsidRPr="00880718">
        <w:rPr>
          <w:rFonts w:ascii="Times New Roman" w:hAnsi="Times New Roman" w:cs="Times New Roman"/>
          <w:sz w:val="24"/>
          <w:szCs w:val="24"/>
        </w:rPr>
        <w:t>(6), 1129–1143. https://doi.org/10.1016/j.neuron.2018.08.011</w:t>
      </w:r>
    </w:p>
    <w:p w14:paraId="7BDB445E"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Hospital, A., Goñi, J. R., Orozco, M., &amp; Gelpí, J. L. (2015). Molecular dynamics simulations: Advances and applications. </w:t>
      </w:r>
      <w:r w:rsidRPr="00880718">
        <w:rPr>
          <w:rFonts w:ascii="Times New Roman" w:hAnsi="Times New Roman" w:cs="Times New Roman"/>
          <w:i/>
          <w:iCs/>
          <w:sz w:val="24"/>
          <w:szCs w:val="24"/>
        </w:rPr>
        <w:t>Advances and Applications in Bioinformatics and Chemistry : AABC</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8</w:t>
      </w:r>
      <w:r w:rsidRPr="00880718">
        <w:rPr>
          <w:rFonts w:ascii="Times New Roman" w:hAnsi="Times New Roman" w:cs="Times New Roman"/>
          <w:sz w:val="24"/>
          <w:szCs w:val="24"/>
        </w:rPr>
        <w:t>, 37–47. https://doi.org/10.2147/AABC.S70333</w:t>
      </w:r>
    </w:p>
    <w:p w14:paraId="25DACB54"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Huang, B. W., Pearman, E., &amp; Kim, C. C. (2015). Mouse Models of Uncomplicated and Fatal Malaria. </w:t>
      </w:r>
      <w:r w:rsidRPr="00880718">
        <w:rPr>
          <w:rFonts w:ascii="Times New Roman" w:hAnsi="Times New Roman" w:cs="Times New Roman"/>
          <w:i/>
          <w:iCs/>
          <w:sz w:val="24"/>
          <w:szCs w:val="24"/>
        </w:rPr>
        <w:t>Bio-Protocol</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w:t>
      </w:r>
      <w:r w:rsidRPr="00880718">
        <w:rPr>
          <w:rFonts w:ascii="Times New Roman" w:hAnsi="Times New Roman" w:cs="Times New Roman"/>
          <w:sz w:val="24"/>
          <w:szCs w:val="24"/>
        </w:rPr>
        <w:t>(13), e1514.</w:t>
      </w:r>
    </w:p>
    <w:p w14:paraId="55B70EAF"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Jacquerioz, F. A., &amp; Croft, A. M. (2009). Drugs for preventing malaria in travellers. </w:t>
      </w:r>
      <w:r w:rsidRPr="00880718">
        <w:rPr>
          <w:rFonts w:ascii="Times New Roman" w:hAnsi="Times New Roman" w:cs="Times New Roman"/>
          <w:i/>
          <w:iCs/>
          <w:sz w:val="24"/>
          <w:szCs w:val="24"/>
        </w:rPr>
        <w:t>Cochrane Database of Systematic Reviews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4</w:t>
      </w:r>
      <w:r w:rsidRPr="00880718">
        <w:rPr>
          <w:rFonts w:ascii="Times New Roman" w:hAnsi="Times New Roman" w:cs="Times New Roman"/>
          <w:sz w:val="24"/>
          <w:szCs w:val="24"/>
        </w:rPr>
        <w:t>. https://doi.org/10.1002/14651858.CD006491.pub2</w:t>
      </w:r>
    </w:p>
    <w:p w14:paraId="6ABB401D"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Khaligh, N. G., Mihankhah, T., &amp; Johan, M. R. (2019). An alternative, practical, and ecological protocol for synthesis of arylidene analogues of Meldrum’s acid as useful intermediates. </w:t>
      </w:r>
      <w:r w:rsidRPr="00880718">
        <w:rPr>
          <w:rFonts w:ascii="Times New Roman" w:hAnsi="Times New Roman" w:cs="Times New Roman"/>
          <w:i/>
          <w:iCs/>
          <w:sz w:val="24"/>
          <w:szCs w:val="24"/>
        </w:rPr>
        <w:t>Research on Chemical Intermediates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45</w:t>
      </w:r>
      <w:r w:rsidRPr="00880718">
        <w:rPr>
          <w:rFonts w:ascii="Times New Roman" w:hAnsi="Times New Roman" w:cs="Times New Roman"/>
          <w:sz w:val="24"/>
          <w:szCs w:val="24"/>
        </w:rPr>
        <w:t>(5), 3291–3300. https://doi.org/10.1007/s11164-019-03796-2</w:t>
      </w:r>
    </w:p>
    <w:p w14:paraId="2C9791FF"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Kim, J., Koo, B.-K., &amp; Knoblich, J. A. (2020). Human organoids: Model systems for human biology and medicine. </w:t>
      </w:r>
      <w:r w:rsidRPr="00880718">
        <w:rPr>
          <w:rFonts w:ascii="Times New Roman" w:hAnsi="Times New Roman" w:cs="Times New Roman"/>
          <w:i/>
          <w:iCs/>
          <w:sz w:val="24"/>
          <w:szCs w:val="24"/>
        </w:rPr>
        <w:t>Nature Reviews Molecular Cell Biology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21</w:t>
      </w:r>
      <w:r w:rsidRPr="00880718">
        <w:rPr>
          <w:rFonts w:ascii="Times New Roman" w:hAnsi="Times New Roman" w:cs="Times New Roman"/>
          <w:sz w:val="24"/>
          <w:szCs w:val="24"/>
        </w:rPr>
        <w:t>(10), Article 10. https://doi.org/10.1038/s41580-020-0259-3</w:t>
      </w:r>
    </w:p>
    <w:p w14:paraId="4DC8A7F9"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Knobloch, J., Suhendro, D. K., Zieleniecki, J. L., Shapter, J. G., &amp; Köper, I. (2015). Membrane–drug interactions studied using model membrane systems. </w:t>
      </w:r>
      <w:r w:rsidRPr="00880718">
        <w:rPr>
          <w:rFonts w:ascii="Times New Roman" w:hAnsi="Times New Roman" w:cs="Times New Roman"/>
          <w:i/>
          <w:iCs/>
          <w:sz w:val="24"/>
          <w:szCs w:val="24"/>
        </w:rPr>
        <w:t>Saudi Journal of Biological Sciences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22</w:t>
      </w:r>
      <w:r w:rsidRPr="00880718">
        <w:rPr>
          <w:rFonts w:ascii="Times New Roman" w:hAnsi="Times New Roman" w:cs="Times New Roman"/>
          <w:sz w:val="24"/>
          <w:szCs w:val="24"/>
        </w:rPr>
        <w:t>(6), 714–718. https://doi.org/10.1016/j.sjbs.2015.03.007</w:t>
      </w:r>
    </w:p>
    <w:p w14:paraId="25E0C81C"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lastRenderedPageBreak/>
        <w:t xml:space="preserve">Kukurba, K. R., &amp; Montgomery, S. B. (2015). RNA Sequencing and Analysis. </w:t>
      </w:r>
      <w:r w:rsidRPr="00880718">
        <w:rPr>
          <w:rFonts w:ascii="Times New Roman" w:hAnsi="Times New Roman" w:cs="Times New Roman"/>
          <w:i/>
          <w:iCs/>
          <w:sz w:val="24"/>
          <w:szCs w:val="24"/>
        </w:rPr>
        <w:t>Cold Spring Harbor Protocols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2015</w:t>
      </w:r>
      <w:r w:rsidRPr="00880718">
        <w:rPr>
          <w:rFonts w:ascii="Times New Roman" w:hAnsi="Times New Roman" w:cs="Times New Roman"/>
          <w:sz w:val="24"/>
          <w:szCs w:val="24"/>
        </w:rPr>
        <w:t>(11), 951–969. https://doi.org/10.1101/pdb.top084970</w:t>
      </w:r>
    </w:p>
    <w:p w14:paraId="3B69AD0B"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Langhorne, J., Buffet, P., Galinski, M., Good, M., Harty, J., Leroy, D., Mota, M. M., Pasini, E., Renia, L., Riley, E., Stins, M., &amp; Duffy, P. (2011). The relevance of non-human primate and rodent malaria models for humans. </w:t>
      </w:r>
      <w:r w:rsidRPr="00880718">
        <w:rPr>
          <w:rFonts w:ascii="Times New Roman" w:hAnsi="Times New Roman" w:cs="Times New Roman"/>
          <w:i/>
          <w:iCs/>
          <w:sz w:val="24"/>
          <w:szCs w:val="24"/>
        </w:rPr>
        <w:t>Malaria Journal</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10</w:t>
      </w:r>
      <w:r w:rsidRPr="00880718">
        <w:rPr>
          <w:rFonts w:ascii="Times New Roman" w:hAnsi="Times New Roman" w:cs="Times New Roman"/>
          <w:sz w:val="24"/>
          <w:szCs w:val="24"/>
        </w:rPr>
        <w:t>(1), 23. https://doi.org/10.1186/1475-2875-10-23</w:t>
      </w:r>
    </w:p>
    <w:p w14:paraId="602054CA"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Lara, Z., &amp; Tariq, S. (2022, August 8). </w:t>
      </w:r>
      <w:r w:rsidRPr="00880718">
        <w:rPr>
          <w:rFonts w:ascii="Times New Roman" w:hAnsi="Times New Roman" w:cs="Times New Roman"/>
          <w:i/>
          <w:iCs/>
          <w:sz w:val="24"/>
          <w:szCs w:val="24"/>
        </w:rPr>
        <w:t>Plasmodium Falciparum Malaria—StatPearls—NCBI Bookshelf</w:t>
      </w:r>
      <w:r w:rsidRPr="00880718">
        <w:rPr>
          <w:rFonts w:ascii="Times New Roman" w:hAnsi="Times New Roman" w:cs="Times New Roman"/>
          <w:sz w:val="24"/>
          <w:szCs w:val="24"/>
        </w:rPr>
        <w:t>. https://www.ncbi.nlm.nih.gov/books/NBK555962/</w:t>
      </w:r>
    </w:p>
    <w:p w14:paraId="5361A266"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Larsen, A. H. (2022). Molecular Dynamics Simulations of Curved Lipid Membranes. </w:t>
      </w:r>
      <w:r w:rsidRPr="00880718">
        <w:rPr>
          <w:rFonts w:ascii="Times New Roman" w:hAnsi="Times New Roman" w:cs="Times New Roman"/>
          <w:i/>
          <w:iCs/>
          <w:sz w:val="24"/>
          <w:szCs w:val="24"/>
        </w:rPr>
        <w:t>International Journal of Molecular Sciences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23</w:t>
      </w:r>
      <w:r w:rsidRPr="00880718">
        <w:rPr>
          <w:rFonts w:ascii="Times New Roman" w:hAnsi="Times New Roman" w:cs="Times New Roman"/>
          <w:sz w:val="24"/>
          <w:szCs w:val="24"/>
        </w:rPr>
        <w:t>(15), 8098. https://doi.org/10.3390/ijms23158098</w:t>
      </w:r>
    </w:p>
    <w:p w14:paraId="639FF4CD"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Leann, T., Judith, S., Nina F, G., Stuart A, R., &amp; David A, F. (2016, June 8). </w:t>
      </w:r>
      <w:r w:rsidRPr="00880718">
        <w:rPr>
          <w:rFonts w:ascii="Times New Roman" w:hAnsi="Times New Roman" w:cs="Times New Roman"/>
          <w:i/>
          <w:iCs/>
          <w:sz w:val="24"/>
          <w:szCs w:val="24"/>
        </w:rPr>
        <w:t>Artemisinin Action and Resistance in Plasmodium falciparum: Trends in Parasitology</w:t>
      </w:r>
      <w:r w:rsidRPr="00880718">
        <w:rPr>
          <w:rFonts w:ascii="Times New Roman" w:hAnsi="Times New Roman" w:cs="Times New Roman"/>
          <w:sz w:val="24"/>
          <w:szCs w:val="24"/>
        </w:rPr>
        <w:t>. https://www.cell.com/trends/parasitology/fulltext/S1471-4922(16)30073-3?_returnURL=https%3A%2F%2Flinkinghub.elsevier.com%2Fretrieve%2Fpii%2FS1471492216300733%3Fshowall%3Dtrue</w:t>
      </w:r>
    </w:p>
    <w:p w14:paraId="0A7F3CD6"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Lee, H. J., Georgiadou, A., Walther, M., Nwakanma, D., Stewart, L. B., Levin, M., Otto, T. D., Conway, D. J., Coin, L. J., &amp; Cunnington, A. J. (2018). Integrated pathogen load and dual transcriptome analysis of systemic host-pathogen interactions in severe malaria. </w:t>
      </w:r>
      <w:r w:rsidRPr="00880718">
        <w:rPr>
          <w:rFonts w:ascii="Times New Roman" w:hAnsi="Times New Roman" w:cs="Times New Roman"/>
          <w:i/>
          <w:iCs/>
          <w:sz w:val="24"/>
          <w:szCs w:val="24"/>
        </w:rPr>
        <w:t>Science Translational Medicine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10</w:t>
      </w:r>
      <w:r w:rsidRPr="00880718">
        <w:rPr>
          <w:rFonts w:ascii="Times New Roman" w:hAnsi="Times New Roman" w:cs="Times New Roman"/>
          <w:sz w:val="24"/>
          <w:szCs w:val="24"/>
        </w:rPr>
        <w:t>(447), eaar3619. https://doi.org/10.1126/scitranslmed.aar3619</w:t>
      </w:r>
    </w:p>
    <w:p w14:paraId="4E4D817C"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Lei, Z.-N., Wu, Z.-X., Dong, S., Yang, D.-H., Zhang, L., Ke, Z., Zou, C., &amp; Chen, Z.-S. (2020). Chloroquine and hydroxychloroquine in the treatment of malaria and repurposing in treating COVID-19. </w:t>
      </w:r>
      <w:r w:rsidRPr="00880718">
        <w:rPr>
          <w:rFonts w:ascii="Times New Roman" w:hAnsi="Times New Roman" w:cs="Times New Roman"/>
          <w:i/>
          <w:iCs/>
          <w:sz w:val="24"/>
          <w:szCs w:val="24"/>
        </w:rPr>
        <w:t>Pharmacology &amp; Therapeutics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216</w:t>
      </w:r>
      <w:r w:rsidRPr="00880718">
        <w:rPr>
          <w:rFonts w:ascii="Times New Roman" w:hAnsi="Times New Roman" w:cs="Times New Roman"/>
          <w:sz w:val="24"/>
          <w:szCs w:val="24"/>
        </w:rPr>
        <w:t>, 107672. https://doi.org/10.1016/j.pharmthera.2020.107672</w:t>
      </w:r>
    </w:p>
    <w:p w14:paraId="0E6D3E2D"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Lorke, D. (1983). A new approach to practical acute toxicity testing. </w:t>
      </w:r>
      <w:r w:rsidRPr="00880718">
        <w:rPr>
          <w:rFonts w:ascii="Times New Roman" w:hAnsi="Times New Roman" w:cs="Times New Roman"/>
          <w:i/>
          <w:iCs/>
          <w:sz w:val="24"/>
          <w:szCs w:val="24"/>
        </w:rPr>
        <w:t>Archives of Toxicology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54</w:t>
      </w:r>
      <w:r w:rsidRPr="00880718">
        <w:rPr>
          <w:rFonts w:ascii="Times New Roman" w:hAnsi="Times New Roman" w:cs="Times New Roman"/>
          <w:sz w:val="24"/>
          <w:szCs w:val="24"/>
        </w:rPr>
        <w:t>(4), 275–287. https://doi.org/10.1007/BF01234480</w:t>
      </w:r>
    </w:p>
    <w:p w14:paraId="0FF70CCE"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Ludlow, J. T., Wilkerson, R. G., &amp; Nappe, T. M. (2022). Methemoglobinemia. In </w:t>
      </w:r>
      <w:r w:rsidRPr="00880718">
        <w:rPr>
          <w:rFonts w:ascii="Times New Roman" w:hAnsi="Times New Roman" w:cs="Times New Roman"/>
          <w:i/>
          <w:iCs/>
          <w:sz w:val="24"/>
          <w:szCs w:val="24"/>
        </w:rPr>
        <w:t>StatPearls [Internet]</w:t>
      </w:r>
      <w:r w:rsidRPr="00880718">
        <w:rPr>
          <w:rFonts w:ascii="Times New Roman" w:hAnsi="Times New Roman" w:cs="Times New Roman"/>
          <w:sz w:val="24"/>
          <w:szCs w:val="24"/>
        </w:rPr>
        <w:t>. StatPearls Publishing. https://www.ncbi.nlm.nih.gov/books/NBK537317/</w:t>
      </w:r>
    </w:p>
    <w:p w14:paraId="13B3071E" w14:textId="1196C0EF"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Maiga, F. O., Wele, M., Toure, S. M., Keita, M., Tangara, C. O., Refeld, R. R., Thiero, O., Kayentao, K., Diakite, M., Dara, A., Li, J., Toure, M., Sagara, I., Djimdé, A., Mather, F. J., Doumbia, S. O., &amp; Shaffer, J. G. (2021). Artemisinin-based combination therapy for uncomplicated </w:t>
      </w:r>
      <w:r w:rsidR="00F57D9D" w:rsidRPr="00880718">
        <w:rPr>
          <w:rFonts w:ascii="Times New Roman" w:hAnsi="Times New Roman" w:cs="Times New Roman"/>
          <w:i/>
          <w:sz w:val="24"/>
          <w:szCs w:val="24"/>
        </w:rPr>
        <w:t>Plasmodium faciparum</w:t>
      </w:r>
      <w:r w:rsidRPr="00880718">
        <w:rPr>
          <w:rFonts w:ascii="Times New Roman" w:hAnsi="Times New Roman" w:cs="Times New Roman"/>
          <w:sz w:val="24"/>
          <w:szCs w:val="24"/>
        </w:rPr>
        <w:t xml:space="preserve"> malaria in Mali: A systematic review and meta-analysis. </w:t>
      </w:r>
      <w:r w:rsidRPr="00880718">
        <w:rPr>
          <w:rFonts w:ascii="Times New Roman" w:hAnsi="Times New Roman" w:cs="Times New Roman"/>
          <w:i/>
          <w:iCs/>
          <w:sz w:val="24"/>
          <w:szCs w:val="24"/>
        </w:rPr>
        <w:t>Malaria Journal</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20</w:t>
      </w:r>
      <w:r w:rsidRPr="00880718">
        <w:rPr>
          <w:rFonts w:ascii="Times New Roman" w:hAnsi="Times New Roman" w:cs="Times New Roman"/>
          <w:sz w:val="24"/>
          <w:szCs w:val="24"/>
        </w:rPr>
        <w:t>(1), 356. https://doi.org/10.1186/s12936-021-03890-0</w:t>
      </w:r>
    </w:p>
    <w:p w14:paraId="5624B9ED"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Makam, P., Thakur, P. K., &amp; Kannan, T. (2014). In vitro and in silico antimalarial activity of 2-(2-hydrazinyl)thiazole derivatives. </w:t>
      </w:r>
      <w:r w:rsidRPr="00880718">
        <w:rPr>
          <w:rFonts w:ascii="Times New Roman" w:hAnsi="Times New Roman" w:cs="Times New Roman"/>
          <w:i/>
          <w:iCs/>
          <w:sz w:val="24"/>
          <w:szCs w:val="24"/>
        </w:rPr>
        <w:t>European Journal of Pharmaceutical Sciences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52</w:t>
      </w:r>
      <w:r w:rsidRPr="00880718">
        <w:rPr>
          <w:rFonts w:ascii="Times New Roman" w:hAnsi="Times New Roman" w:cs="Times New Roman"/>
          <w:sz w:val="24"/>
          <w:szCs w:val="24"/>
        </w:rPr>
        <w:t>, 138–145. https://doi.org/10.1016/j.ejps.2013.11.001</w:t>
      </w:r>
    </w:p>
    <w:p w14:paraId="59FDA37F"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Marshall, J. M., &amp; Taylor, C. E. (2009). Malaria Control with Transgenic Mosquitoes. </w:t>
      </w:r>
      <w:r w:rsidRPr="00880718">
        <w:rPr>
          <w:rFonts w:ascii="Times New Roman" w:hAnsi="Times New Roman" w:cs="Times New Roman"/>
          <w:i/>
          <w:iCs/>
          <w:sz w:val="24"/>
          <w:szCs w:val="24"/>
        </w:rPr>
        <w:t>PLoS Medicine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6</w:t>
      </w:r>
      <w:r w:rsidRPr="00880718">
        <w:rPr>
          <w:rFonts w:ascii="Times New Roman" w:hAnsi="Times New Roman" w:cs="Times New Roman"/>
          <w:sz w:val="24"/>
          <w:szCs w:val="24"/>
        </w:rPr>
        <w:t>(2), e1000020. https://doi.org/10.1371/journal.pmed.1000020</w:t>
      </w:r>
    </w:p>
    <w:p w14:paraId="72761647"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lastRenderedPageBreak/>
        <w:t xml:space="preserve">Masopust, D., Sivula, C. P., &amp; Jameson, S. C. (2017). Of Mice, Dirty Mice, and Men: Using Mice to Understand Human Immunology. </w:t>
      </w:r>
      <w:r w:rsidRPr="00880718">
        <w:rPr>
          <w:rFonts w:ascii="Times New Roman" w:hAnsi="Times New Roman" w:cs="Times New Roman"/>
          <w:i/>
          <w:iCs/>
          <w:sz w:val="24"/>
          <w:szCs w:val="24"/>
        </w:rPr>
        <w:t>Journal of Immunology (Baltimore, Md. : 1950)</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199</w:t>
      </w:r>
      <w:r w:rsidRPr="00880718">
        <w:rPr>
          <w:rFonts w:ascii="Times New Roman" w:hAnsi="Times New Roman" w:cs="Times New Roman"/>
          <w:sz w:val="24"/>
          <w:szCs w:val="24"/>
        </w:rPr>
        <w:t>(2), 383–388. https://doi.org/10.4049/jimmunol.1700453</w:t>
      </w:r>
    </w:p>
    <w:p w14:paraId="37418526"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Meng, X.-Y., Zhang, H.-X., Mezei, M., &amp; Cui, M. (2011). Molecular Docking: A powerful approach for structure-based drug discovery. </w:t>
      </w:r>
      <w:r w:rsidRPr="00880718">
        <w:rPr>
          <w:rFonts w:ascii="Times New Roman" w:hAnsi="Times New Roman" w:cs="Times New Roman"/>
          <w:i/>
          <w:iCs/>
          <w:sz w:val="24"/>
          <w:szCs w:val="24"/>
        </w:rPr>
        <w:t>Current Computer-Aided Drug Design</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7</w:t>
      </w:r>
      <w:r w:rsidRPr="00880718">
        <w:rPr>
          <w:rFonts w:ascii="Times New Roman" w:hAnsi="Times New Roman" w:cs="Times New Roman"/>
          <w:sz w:val="24"/>
          <w:szCs w:val="24"/>
        </w:rPr>
        <w:t>(2), 146–157.</w:t>
      </w:r>
    </w:p>
    <w:p w14:paraId="679DD73F" w14:textId="04E171A0"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Mengiste, B., Makonnen, E., &amp; Urga, K. (2012). Invivo Antimalarial Activity of Dodonaea Angustifolia Seed Extracts Against </w:t>
      </w:r>
      <w:r w:rsidR="00683FCF" w:rsidRPr="00880718">
        <w:rPr>
          <w:rFonts w:ascii="Times New Roman" w:hAnsi="Times New Roman" w:cs="Times New Roman"/>
          <w:i/>
          <w:sz w:val="24"/>
          <w:szCs w:val="24"/>
        </w:rPr>
        <w:t>Plasmodium berghei</w:t>
      </w:r>
      <w:r w:rsidRPr="00880718">
        <w:rPr>
          <w:rFonts w:ascii="Times New Roman" w:hAnsi="Times New Roman" w:cs="Times New Roman"/>
          <w:sz w:val="24"/>
          <w:szCs w:val="24"/>
        </w:rPr>
        <w:t xml:space="preserve"> in Mice Model. </w:t>
      </w:r>
      <w:r w:rsidRPr="00880718">
        <w:rPr>
          <w:rFonts w:ascii="Times New Roman" w:hAnsi="Times New Roman" w:cs="Times New Roman"/>
          <w:i/>
          <w:iCs/>
          <w:sz w:val="24"/>
          <w:szCs w:val="24"/>
        </w:rPr>
        <w:t>Momona Ethiopian Journal of Science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4</w:t>
      </w:r>
      <w:r w:rsidRPr="00880718">
        <w:rPr>
          <w:rFonts w:ascii="Times New Roman" w:hAnsi="Times New Roman" w:cs="Times New Roman"/>
          <w:sz w:val="24"/>
          <w:szCs w:val="24"/>
        </w:rPr>
        <w:t>(1), Article 1. https://doi.org/10.4314/mejs.v4i1.74056</w:t>
      </w:r>
    </w:p>
    <w:p w14:paraId="2D5780ED" w14:textId="09D1D6A2"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Mswahili, M. E., Martin, G. L., Woo, J., Choi, G. J., &amp; Jeong, Y.-S. (2021). Antimalarial Drug Predictions Using Molecular Descriptors and Machine Learning against </w:t>
      </w:r>
      <w:r w:rsidR="00F57D9D" w:rsidRPr="00880718">
        <w:rPr>
          <w:rFonts w:ascii="Times New Roman" w:hAnsi="Times New Roman" w:cs="Times New Roman"/>
          <w:i/>
          <w:sz w:val="24"/>
          <w:szCs w:val="24"/>
        </w:rPr>
        <w:t>Plasmodium faciparum</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Biomolecules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11</w:t>
      </w:r>
      <w:r w:rsidRPr="00880718">
        <w:rPr>
          <w:rFonts w:ascii="Times New Roman" w:hAnsi="Times New Roman" w:cs="Times New Roman"/>
          <w:sz w:val="24"/>
          <w:szCs w:val="24"/>
        </w:rPr>
        <w:t>(12), Article 12. https://doi.org/10.3390/biom11121750</w:t>
      </w:r>
    </w:p>
    <w:p w14:paraId="10F9D34D" w14:textId="7E6B0DEA"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Müller, K., Silvie, O., Mollenkopf, H.-J., &amp; Matuschewski, K. (2021). Pleiotropic Roles for the </w:t>
      </w:r>
      <w:r w:rsidR="00683FCF" w:rsidRPr="00880718">
        <w:rPr>
          <w:rFonts w:ascii="Times New Roman" w:hAnsi="Times New Roman" w:cs="Times New Roman"/>
          <w:i/>
          <w:sz w:val="24"/>
          <w:szCs w:val="24"/>
        </w:rPr>
        <w:t>Plasmodium berghei</w:t>
      </w:r>
      <w:r w:rsidRPr="00880718">
        <w:rPr>
          <w:rFonts w:ascii="Times New Roman" w:hAnsi="Times New Roman" w:cs="Times New Roman"/>
          <w:sz w:val="24"/>
          <w:szCs w:val="24"/>
        </w:rPr>
        <w:t xml:space="preserve"> RNA Binding Protein UIS12 in Transmission and Oocyst Maturation. </w:t>
      </w:r>
      <w:r w:rsidRPr="00880718">
        <w:rPr>
          <w:rFonts w:ascii="Times New Roman" w:hAnsi="Times New Roman" w:cs="Times New Roman"/>
          <w:i/>
          <w:iCs/>
          <w:sz w:val="24"/>
          <w:szCs w:val="24"/>
        </w:rPr>
        <w:t>Frontiers in Cellular and Infection Microbiology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11</w:t>
      </w:r>
      <w:r w:rsidRPr="00880718">
        <w:rPr>
          <w:rFonts w:ascii="Times New Roman" w:hAnsi="Times New Roman" w:cs="Times New Roman"/>
          <w:sz w:val="24"/>
          <w:szCs w:val="24"/>
        </w:rPr>
        <w:t>. https://www.frontiersin.org/articles/10.3389/fcimb.2021.624945</w:t>
      </w:r>
    </w:p>
    <w:p w14:paraId="5B2BE439"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Newton, C. R. J. C., &amp; Krishna, S. (1998). Severe Falciparum Malaria in Children: Current Understanding of Pathophysiology and Supportive Treatment. </w:t>
      </w:r>
      <w:r w:rsidRPr="00880718">
        <w:rPr>
          <w:rFonts w:ascii="Times New Roman" w:hAnsi="Times New Roman" w:cs="Times New Roman"/>
          <w:i/>
          <w:iCs/>
          <w:sz w:val="24"/>
          <w:szCs w:val="24"/>
        </w:rPr>
        <w:t>Pharmacology &amp; Therapeutics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79</w:t>
      </w:r>
      <w:r w:rsidRPr="00880718">
        <w:rPr>
          <w:rFonts w:ascii="Times New Roman" w:hAnsi="Times New Roman" w:cs="Times New Roman"/>
          <w:sz w:val="24"/>
          <w:szCs w:val="24"/>
        </w:rPr>
        <w:t>(1), 1–53. https://doi.org/10.1016/S0163-7258(98)00008-4</w:t>
      </w:r>
    </w:p>
    <w:p w14:paraId="3DDF41D6"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Okombo, J., Kanai, M., Deni, I., &amp; Fidock, D. A. (2021). Genomic and Genetic Approaches to Studying Antimalarial Drug Resistance and Plasmodium Biology. </w:t>
      </w:r>
      <w:r w:rsidRPr="00880718">
        <w:rPr>
          <w:rFonts w:ascii="Times New Roman" w:hAnsi="Times New Roman" w:cs="Times New Roman"/>
          <w:i/>
          <w:iCs/>
          <w:sz w:val="24"/>
          <w:szCs w:val="24"/>
        </w:rPr>
        <w:t>Trends in Parasitology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37</w:t>
      </w:r>
      <w:r w:rsidRPr="00880718">
        <w:rPr>
          <w:rFonts w:ascii="Times New Roman" w:hAnsi="Times New Roman" w:cs="Times New Roman"/>
          <w:sz w:val="24"/>
          <w:szCs w:val="24"/>
        </w:rPr>
        <w:t>(6), 476. https://doi.org/10.1016/j.pt.2021.02.007</w:t>
      </w:r>
    </w:p>
    <w:p w14:paraId="38ED947F"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Osei‐Akoto, A., Orton, L. C., &amp; Owusu‐Ofori, S. (2005). Atovaquone‐proguanil for treating uncomplicated malaria. </w:t>
      </w:r>
      <w:r w:rsidRPr="00880718">
        <w:rPr>
          <w:rFonts w:ascii="Times New Roman" w:hAnsi="Times New Roman" w:cs="Times New Roman"/>
          <w:i/>
          <w:iCs/>
          <w:sz w:val="24"/>
          <w:szCs w:val="24"/>
        </w:rPr>
        <w:t>The Cochrane Database of Systematic Reviews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2005</w:t>
      </w:r>
      <w:r w:rsidRPr="00880718">
        <w:rPr>
          <w:rFonts w:ascii="Times New Roman" w:hAnsi="Times New Roman" w:cs="Times New Roman"/>
          <w:sz w:val="24"/>
          <w:szCs w:val="24"/>
        </w:rPr>
        <w:t>(4). https://doi.org/10.1002/14651858.CD004529.pub2</w:t>
      </w:r>
    </w:p>
    <w:p w14:paraId="0D66993E"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Otto, T. D., Böhme, U., Jackson, A. P., Hunt, M., Franke-Fayard, B., Hoeijmakers, W. A. M., Religa, A. A., Robertson, L., Sanders, M., Ogun, S. A., Cunningham, D., Erhart, A., Billker, O., Khan, S. M., Stunnenberg, H. G., Langhorne, J., Holder, A. A., Waters, A. P., Newbold, C. I., … Janse, C. J. (2014). A comprehensive evaluation of rodent malaria parasite genomes and gene expression. </w:t>
      </w:r>
      <w:r w:rsidRPr="00880718">
        <w:rPr>
          <w:rFonts w:ascii="Times New Roman" w:hAnsi="Times New Roman" w:cs="Times New Roman"/>
          <w:i/>
          <w:iCs/>
          <w:sz w:val="24"/>
          <w:szCs w:val="24"/>
        </w:rPr>
        <w:t>BMC Biology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12</w:t>
      </w:r>
      <w:r w:rsidRPr="00880718">
        <w:rPr>
          <w:rFonts w:ascii="Times New Roman" w:hAnsi="Times New Roman" w:cs="Times New Roman"/>
          <w:sz w:val="24"/>
          <w:szCs w:val="24"/>
        </w:rPr>
        <w:t>, 86. https://doi.org/10.1186/s12915-014-0086-0</w:t>
      </w:r>
    </w:p>
    <w:p w14:paraId="34118F7B"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Otvos, L., &amp; Wade, J. D. (2014). Current challenges in peptide-based drug discovery. </w:t>
      </w:r>
      <w:r w:rsidRPr="00880718">
        <w:rPr>
          <w:rFonts w:ascii="Times New Roman" w:hAnsi="Times New Roman" w:cs="Times New Roman"/>
          <w:i/>
          <w:iCs/>
          <w:sz w:val="24"/>
          <w:szCs w:val="24"/>
        </w:rPr>
        <w:t>Frontiers in Chemistry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w:t>
      </w:r>
      <w:r w:rsidRPr="00880718">
        <w:rPr>
          <w:rFonts w:ascii="Times New Roman" w:hAnsi="Times New Roman" w:cs="Times New Roman"/>
          <w:sz w:val="24"/>
          <w:szCs w:val="24"/>
        </w:rPr>
        <w:t>, 62. https://doi.org/10.3389/fchem.2014.00062</w:t>
      </w:r>
    </w:p>
    <w:p w14:paraId="20BA1EC1"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Pagadala, N. S., Syed, K., &amp; Tuszynski, J. (2017). Software for molecular docking: A review. </w:t>
      </w:r>
      <w:r w:rsidRPr="00880718">
        <w:rPr>
          <w:rFonts w:ascii="Times New Roman" w:hAnsi="Times New Roman" w:cs="Times New Roman"/>
          <w:i/>
          <w:iCs/>
          <w:sz w:val="24"/>
          <w:szCs w:val="24"/>
        </w:rPr>
        <w:t>Biophysical Reviews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9</w:t>
      </w:r>
      <w:r w:rsidRPr="00880718">
        <w:rPr>
          <w:rFonts w:ascii="Times New Roman" w:hAnsi="Times New Roman" w:cs="Times New Roman"/>
          <w:sz w:val="24"/>
          <w:szCs w:val="24"/>
        </w:rPr>
        <w:t>(2), 91–102. https://doi.org/10.1007/s12551-016-0247-1</w:t>
      </w:r>
    </w:p>
    <w:p w14:paraId="1F3A8704"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Perozzo, R., Kuo, M., Sidhu, A. bir S., Valiyaveettil, J. T., Bittman, R., Jacobs, W. R., Fidock, D. A., &amp; Sacchettini, J. C. (2002). Structural Elucidation of the Specificity of the Antibacterial Agent Triclosan for Malarial Enoyl Acyl Carrier Protein Reductase </w:t>
      </w:r>
      <w:r w:rsidRPr="00880718">
        <w:rPr>
          <w:rFonts w:ascii="Cambria Math" w:hAnsi="Cambria Math" w:cs="Cambria Math"/>
          <w:sz w:val="24"/>
          <w:szCs w:val="24"/>
        </w:rPr>
        <w:t>∗</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Journal of Biological Chemistry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277</w:t>
      </w:r>
      <w:r w:rsidRPr="00880718">
        <w:rPr>
          <w:rFonts w:ascii="Times New Roman" w:hAnsi="Times New Roman" w:cs="Times New Roman"/>
          <w:sz w:val="24"/>
          <w:szCs w:val="24"/>
        </w:rPr>
        <w:t>(15), 13106–13114. https://doi.org/10.1074/jbc.M112000200</w:t>
      </w:r>
    </w:p>
    <w:p w14:paraId="235A6112"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i/>
          <w:iCs/>
          <w:sz w:val="24"/>
          <w:szCs w:val="24"/>
        </w:rPr>
        <w:lastRenderedPageBreak/>
        <w:t>Physiology of Mus musculus—Immune system</w:t>
      </w:r>
      <w:r w:rsidRPr="00880718">
        <w:rPr>
          <w:rFonts w:ascii="Times New Roman" w:hAnsi="Times New Roman" w:cs="Times New Roman"/>
          <w:sz w:val="24"/>
          <w:szCs w:val="24"/>
        </w:rPr>
        <w:t>. (n.d.). Retrieved 26 May 2023, from https://www.ufrgs.br/imunovet/molecular_immunology/immunitymusmusculus.html</w:t>
      </w:r>
    </w:p>
    <w:p w14:paraId="5D4AC75B"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Pinzi, L., &amp; Rastelli, G. (2019). Molecular Docking: Shifting Paradigms in Drug Discovery. </w:t>
      </w:r>
      <w:r w:rsidRPr="00880718">
        <w:rPr>
          <w:rFonts w:ascii="Times New Roman" w:hAnsi="Times New Roman" w:cs="Times New Roman"/>
          <w:i/>
          <w:iCs/>
          <w:sz w:val="24"/>
          <w:szCs w:val="24"/>
        </w:rPr>
        <w:t>International Journal of Molecular Sciences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20</w:t>
      </w:r>
      <w:r w:rsidRPr="00880718">
        <w:rPr>
          <w:rFonts w:ascii="Times New Roman" w:hAnsi="Times New Roman" w:cs="Times New Roman"/>
          <w:sz w:val="24"/>
          <w:szCs w:val="24"/>
        </w:rPr>
        <w:t>(18), 4331. https://doi.org/10.3390/ijms20184331</w:t>
      </w:r>
    </w:p>
    <w:p w14:paraId="18CEC368"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Plewes, K., Leopold, S. J., Kingston, H. W. F., &amp; Dondorp, A. M. (2019). Malaria: What’s New in the Management of Malaria? </w:t>
      </w:r>
      <w:r w:rsidRPr="00880718">
        <w:rPr>
          <w:rFonts w:ascii="Times New Roman" w:hAnsi="Times New Roman" w:cs="Times New Roman"/>
          <w:i/>
          <w:iCs/>
          <w:sz w:val="24"/>
          <w:szCs w:val="24"/>
        </w:rPr>
        <w:t>Infectious Disease Clinics of North America</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33</w:t>
      </w:r>
      <w:r w:rsidRPr="00880718">
        <w:rPr>
          <w:rFonts w:ascii="Times New Roman" w:hAnsi="Times New Roman" w:cs="Times New Roman"/>
          <w:sz w:val="24"/>
          <w:szCs w:val="24"/>
        </w:rPr>
        <w:t>(1), 39–60. https://doi.org/10.1016/j.idc.2018.10.002</w:t>
      </w:r>
    </w:p>
    <w:p w14:paraId="4F2B1BFC"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Prevention, C.-C. for D. C. and. (2021, December 16). </w:t>
      </w:r>
      <w:r w:rsidRPr="00880718">
        <w:rPr>
          <w:rFonts w:ascii="Times New Roman" w:hAnsi="Times New Roman" w:cs="Times New Roman"/>
          <w:i/>
          <w:iCs/>
          <w:sz w:val="24"/>
          <w:szCs w:val="24"/>
        </w:rPr>
        <w:t>CDC - Malaria—Malaria Worldwide—Impact of Malaria</w:t>
      </w:r>
      <w:r w:rsidRPr="00880718">
        <w:rPr>
          <w:rFonts w:ascii="Times New Roman" w:hAnsi="Times New Roman" w:cs="Times New Roman"/>
          <w:sz w:val="24"/>
          <w:szCs w:val="24"/>
        </w:rPr>
        <w:t>. https://www.cdc.gov/malaria/malaria_worldwide/impact.html</w:t>
      </w:r>
    </w:p>
    <w:p w14:paraId="43DD7D05"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Rodriguez-Esteban, R., &amp; Jiang, X. (2017). Differential gene expression in disease: A comparison between high-throughput studies and the literature. </w:t>
      </w:r>
      <w:r w:rsidRPr="00880718">
        <w:rPr>
          <w:rFonts w:ascii="Times New Roman" w:hAnsi="Times New Roman" w:cs="Times New Roman"/>
          <w:i/>
          <w:iCs/>
          <w:sz w:val="24"/>
          <w:szCs w:val="24"/>
        </w:rPr>
        <w:t>BMC Medical Genomics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10</w:t>
      </w:r>
      <w:r w:rsidRPr="00880718">
        <w:rPr>
          <w:rFonts w:ascii="Times New Roman" w:hAnsi="Times New Roman" w:cs="Times New Roman"/>
          <w:sz w:val="24"/>
          <w:szCs w:val="24"/>
        </w:rPr>
        <w:t>(1), 59. https://doi.org/10.1186/s12920-017-0293-y</w:t>
      </w:r>
    </w:p>
    <w:p w14:paraId="231206EE"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Róg, T., Girych, M., &amp; Bunker, A. (2021). Mechanistic Understanding from Molecular Dynamics in Pharmaceutical Research 2: Lipid Membrane in Drug Design. </w:t>
      </w:r>
      <w:r w:rsidRPr="00880718">
        <w:rPr>
          <w:rFonts w:ascii="Times New Roman" w:hAnsi="Times New Roman" w:cs="Times New Roman"/>
          <w:i/>
          <w:iCs/>
          <w:sz w:val="24"/>
          <w:szCs w:val="24"/>
        </w:rPr>
        <w:t>Pharmaceuticals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14</w:t>
      </w:r>
      <w:r w:rsidRPr="00880718">
        <w:rPr>
          <w:rFonts w:ascii="Times New Roman" w:hAnsi="Times New Roman" w:cs="Times New Roman"/>
          <w:sz w:val="24"/>
          <w:szCs w:val="24"/>
        </w:rPr>
        <w:t>(10), Article 10. https://doi.org/10.3390/ph14101062</w:t>
      </w:r>
    </w:p>
    <w:p w14:paraId="05A09156"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Roux, A. T., Maharaj, L., Oyegoke, O., Akoniyon, O. P., Adeleke, M. A., Maharaj, R., &amp; Okpeku, M. (2021). Chloroquine and Sulfadoxine–Pyrimethamine Resistance in Sub-Saharan Africa—A Review. </w:t>
      </w:r>
      <w:r w:rsidRPr="00880718">
        <w:rPr>
          <w:rFonts w:ascii="Times New Roman" w:hAnsi="Times New Roman" w:cs="Times New Roman"/>
          <w:i/>
          <w:iCs/>
          <w:sz w:val="24"/>
          <w:szCs w:val="24"/>
        </w:rPr>
        <w:t>Frontiers in Genetics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12</w:t>
      </w:r>
      <w:r w:rsidRPr="00880718">
        <w:rPr>
          <w:rFonts w:ascii="Times New Roman" w:hAnsi="Times New Roman" w:cs="Times New Roman"/>
          <w:sz w:val="24"/>
          <w:szCs w:val="24"/>
        </w:rPr>
        <w:t>. https://www.frontiersin.org/articles/10.3389/fgene.2021.668574</w:t>
      </w:r>
    </w:p>
    <w:p w14:paraId="7BF43E8B"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Sá, J. M., Chong, J. L., &amp; Wellems, T. E. (2011). Malaria drug resistance: New observations and developments. </w:t>
      </w:r>
      <w:r w:rsidRPr="00880718">
        <w:rPr>
          <w:rFonts w:ascii="Times New Roman" w:hAnsi="Times New Roman" w:cs="Times New Roman"/>
          <w:i/>
          <w:iCs/>
          <w:sz w:val="24"/>
          <w:szCs w:val="24"/>
        </w:rPr>
        <w:t>Essays in Biochemistry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51</w:t>
      </w:r>
      <w:r w:rsidRPr="00880718">
        <w:rPr>
          <w:rFonts w:ascii="Times New Roman" w:hAnsi="Times New Roman" w:cs="Times New Roman"/>
          <w:sz w:val="24"/>
          <w:szCs w:val="24"/>
        </w:rPr>
        <w:t>, 137–160. https://doi.org/10.1042/bse0510137</w:t>
      </w:r>
    </w:p>
    <w:p w14:paraId="64106470"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Shretta, R., Liu, J., Cotter, C., Cohen, J., Dolenz, C., Makomva, K., Newby, G., Ménard, D., Phillips, A., Tatarsky, A., Gosling, R., &amp; Feachem, R. (2017). Malaria Elimination and Eradication. In </w:t>
      </w:r>
      <w:r w:rsidRPr="00880718">
        <w:rPr>
          <w:rFonts w:ascii="Times New Roman" w:hAnsi="Times New Roman" w:cs="Times New Roman"/>
          <w:i/>
          <w:iCs/>
          <w:sz w:val="24"/>
          <w:szCs w:val="24"/>
        </w:rPr>
        <w:t>Major Infectious Diseases. 3rd edition</w:t>
      </w:r>
      <w:r w:rsidRPr="00880718">
        <w:rPr>
          <w:rFonts w:ascii="Times New Roman" w:hAnsi="Times New Roman" w:cs="Times New Roman"/>
          <w:sz w:val="24"/>
          <w:szCs w:val="24"/>
        </w:rPr>
        <w:t>. The International Bank for Reconstruction and Development / The World Bank. https://doi.org/10.1596/978-1-4648-0524-0_ch12</w:t>
      </w:r>
    </w:p>
    <w:p w14:paraId="63EA05F6"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Silva, H. B. da, Fonseca, R., Cassado, A. dos A., Salles, É. M. de, Menezes, M. N. de, Langhorne, J., Perez, K. R., Cuccovia, I. M., Ryffel, B., Barreto, V. M., Marinho, C. R. F., Boscardin, S. B., Álvarez, J. M., D’Império-Lima, M. R., &amp; Tadokoro, C. E. (2015). In Vivo Approaches Reveal a Key Role for DCs in CD4+ T Cell Activation and Parasite Clearance during the Acute Phase of Experimental Blood-Stage Malaria. </w:t>
      </w:r>
      <w:r w:rsidRPr="00880718">
        <w:rPr>
          <w:rFonts w:ascii="Times New Roman" w:hAnsi="Times New Roman" w:cs="Times New Roman"/>
          <w:i/>
          <w:iCs/>
          <w:sz w:val="24"/>
          <w:szCs w:val="24"/>
        </w:rPr>
        <w:t>PLOS Pathogens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11</w:t>
      </w:r>
      <w:r w:rsidRPr="00880718">
        <w:rPr>
          <w:rFonts w:ascii="Times New Roman" w:hAnsi="Times New Roman" w:cs="Times New Roman"/>
          <w:sz w:val="24"/>
          <w:szCs w:val="24"/>
        </w:rPr>
        <w:t>(2), e1004598. https://doi.org/10.1371/journal.ppat.1004598</w:t>
      </w:r>
    </w:p>
    <w:p w14:paraId="23F39013"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Smith, M., &amp; Flodman, P. L. (2018). Expanded Insights Into Mechanisms of Gene Expression and Disease Related Disruptions. </w:t>
      </w:r>
      <w:r w:rsidRPr="00880718">
        <w:rPr>
          <w:rFonts w:ascii="Times New Roman" w:hAnsi="Times New Roman" w:cs="Times New Roman"/>
          <w:i/>
          <w:iCs/>
          <w:sz w:val="24"/>
          <w:szCs w:val="24"/>
        </w:rPr>
        <w:t>Frontiers in Molecular Biosciences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w:t>
      </w:r>
      <w:r w:rsidRPr="00880718">
        <w:rPr>
          <w:rFonts w:ascii="Times New Roman" w:hAnsi="Times New Roman" w:cs="Times New Roman"/>
          <w:sz w:val="24"/>
          <w:szCs w:val="24"/>
        </w:rPr>
        <w:t>. https://doi.org/10.3389/fmolb.2018.00101</w:t>
      </w:r>
    </w:p>
    <w:p w14:paraId="51EAFD59"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Snow, R. W., &amp; Omumbo, J. A. (2006). Malaria. In </w:t>
      </w:r>
      <w:r w:rsidRPr="00880718">
        <w:rPr>
          <w:rFonts w:ascii="Times New Roman" w:hAnsi="Times New Roman" w:cs="Times New Roman"/>
          <w:i/>
          <w:iCs/>
          <w:sz w:val="24"/>
          <w:szCs w:val="24"/>
        </w:rPr>
        <w:t>Disease and Mortality in Sub-Saharan Africa. 2nd edition</w:t>
      </w:r>
      <w:r w:rsidRPr="00880718">
        <w:rPr>
          <w:rFonts w:ascii="Times New Roman" w:hAnsi="Times New Roman" w:cs="Times New Roman"/>
          <w:sz w:val="24"/>
          <w:szCs w:val="24"/>
        </w:rPr>
        <w:t>. The International Bank for Reconstruction and Development / The World Bank. https://www.ncbi.nlm.nih.gov/books/NBK2286/</w:t>
      </w:r>
    </w:p>
    <w:p w14:paraId="3F060E02"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lastRenderedPageBreak/>
        <w:t xml:space="preserve">Šponer, J., Banáš, P., Jurečka, P., Zgarbová, M., Kührová, P., Havrila, M., Krepl, M., Stadlbauer, P., &amp; Otyepka, M. (2014). Molecular Dynamics Simulations of Nucleic Acids. From Tetranucleotides to the Ribosome. </w:t>
      </w:r>
      <w:r w:rsidRPr="00880718">
        <w:rPr>
          <w:rFonts w:ascii="Times New Roman" w:hAnsi="Times New Roman" w:cs="Times New Roman"/>
          <w:i/>
          <w:iCs/>
          <w:sz w:val="24"/>
          <w:szCs w:val="24"/>
        </w:rPr>
        <w:t>The Journal of Physical Chemistry Letters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5</w:t>
      </w:r>
      <w:r w:rsidRPr="00880718">
        <w:rPr>
          <w:rFonts w:ascii="Times New Roman" w:hAnsi="Times New Roman" w:cs="Times New Roman"/>
          <w:sz w:val="24"/>
          <w:szCs w:val="24"/>
        </w:rPr>
        <w:t>(10), 1771–1782. https://doi.org/10.1021/jz500557y</w:t>
      </w:r>
    </w:p>
    <w:p w14:paraId="665431EC"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Staines, H., &amp; Krishna, S. (2012). Treatment and prevention of Malaria: Antimalarial drug chemistry, action and use. In </w:t>
      </w:r>
      <w:r w:rsidRPr="00880718">
        <w:rPr>
          <w:rFonts w:ascii="Times New Roman" w:hAnsi="Times New Roman" w:cs="Times New Roman"/>
          <w:i/>
          <w:iCs/>
          <w:sz w:val="24"/>
          <w:szCs w:val="24"/>
        </w:rPr>
        <w:t>Treatment and Prevention of Malaria: Antimalarial Drug Chemistry, Action and Use</w:t>
      </w:r>
      <w:r w:rsidRPr="00880718">
        <w:rPr>
          <w:rFonts w:ascii="Times New Roman" w:hAnsi="Times New Roman" w:cs="Times New Roman"/>
          <w:sz w:val="24"/>
          <w:szCs w:val="24"/>
        </w:rPr>
        <w:t xml:space="preserve"> (p. 315). https://doi.org/10.1007/978-3-0346-0480-2</w:t>
      </w:r>
    </w:p>
    <w:p w14:paraId="470C2AB6"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Su, X., Lane, K. D., Xia, L., Sá, J. M., &amp; Wellems, T. E. (2019). Plasmodium Genomics and Genetics: New Insights into Malaria Pathogenesis, Drug Resistance, Epidemiology, and Evolution. </w:t>
      </w:r>
      <w:r w:rsidRPr="00880718">
        <w:rPr>
          <w:rFonts w:ascii="Times New Roman" w:hAnsi="Times New Roman" w:cs="Times New Roman"/>
          <w:i/>
          <w:iCs/>
          <w:sz w:val="24"/>
          <w:szCs w:val="24"/>
        </w:rPr>
        <w:t>Clinical Microbiology Reviews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32</w:t>
      </w:r>
      <w:r w:rsidRPr="00880718">
        <w:rPr>
          <w:rFonts w:ascii="Times New Roman" w:hAnsi="Times New Roman" w:cs="Times New Roman"/>
          <w:sz w:val="24"/>
          <w:szCs w:val="24"/>
        </w:rPr>
        <w:t>(4), e00019-19. https://doi.org/10.1128/CMR.00019-19</w:t>
      </w:r>
    </w:p>
    <w:p w14:paraId="38CF6B40" w14:textId="3E2CCE28"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Surolia, N., &amp; Surolia, A. (2001). Triclosan offers protection against blood stages of malaria by inhibiting enoyl-ACP reductase of </w:t>
      </w:r>
      <w:r w:rsidR="00F57D9D" w:rsidRPr="00880718">
        <w:rPr>
          <w:rFonts w:ascii="Times New Roman" w:hAnsi="Times New Roman" w:cs="Times New Roman"/>
          <w:i/>
          <w:sz w:val="24"/>
          <w:szCs w:val="24"/>
        </w:rPr>
        <w:t>Plasmodium faciparum</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Nature Medicine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7</w:t>
      </w:r>
      <w:r w:rsidRPr="00880718">
        <w:rPr>
          <w:rFonts w:ascii="Times New Roman" w:hAnsi="Times New Roman" w:cs="Times New Roman"/>
          <w:sz w:val="24"/>
          <w:szCs w:val="24"/>
        </w:rPr>
        <w:t>(2), 167–173. https://doi.org/10.1038/84612</w:t>
      </w:r>
    </w:p>
    <w:p w14:paraId="085235A5"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Talapko, J., Škrlec, I., Alebić, T., Jukić, M., &amp; Včev, A. (2019). Malaria: The Past and the Present. </w:t>
      </w:r>
      <w:r w:rsidRPr="00880718">
        <w:rPr>
          <w:rFonts w:ascii="Times New Roman" w:hAnsi="Times New Roman" w:cs="Times New Roman"/>
          <w:i/>
          <w:iCs/>
          <w:sz w:val="24"/>
          <w:szCs w:val="24"/>
        </w:rPr>
        <w:t>Microorganisms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7</w:t>
      </w:r>
      <w:r w:rsidRPr="00880718">
        <w:rPr>
          <w:rFonts w:ascii="Times New Roman" w:hAnsi="Times New Roman" w:cs="Times New Roman"/>
          <w:sz w:val="24"/>
          <w:szCs w:val="24"/>
        </w:rPr>
        <w:t>(6), 179. https://doi.org/10.3390/microorganisms7060179</w:t>
      </w:r>
    </w:p>
    <w:p w14:paraId="54E0A1AE"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Tan, K. R., Magill, A. J., Parise, M. E., &amp; Arguin, P. M. (2011). Doxycycline for Malaria Chemoprophylaxis and Treatment: Report from the CDC Expert Meeting on Malaria Chemoprophylaxis. </w:t>
      </w:r>
      <w:r w:rsidRPr="00880718">
        <w:rPr>
          <w:rFonts w:ascii="Times New Roman" w:hAnsi="Times New Roman" w:cs="Times New Roman"/>
          <w:i/>
          <w:iCs/>
          <w:sz w:val="24"/>
          <w:szCs w:val="24"/>
        </w:rPr>
        <w:t>The American Journal of Tropical Medicine and Hygiene</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84</w:t>
      </w:r>
      <w:r w:rsidRPr="00880718">
        <w:rPr>
          <w:rFonts w:ascii="Times New Roman" w:hAnsi="Times New Roman" w:cs="Times New Roman"/>
          <w:sz w:val="24"/>
          <w:szCs w:val="24"/>
        </w:rPr>
        <w:t>(4), 517–531. https://doi.org/10.4269/ajtmh.2011.10-0285</w:t>
      </w:r>
    </w:p>
    <w:p w14:paraId="48A76687"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Tran, T. M., &amp; Crompton, P. D. (2020). Decoding the complexities of human malaria through systems immunology. </w:t>
      </w:r>
      <w:r w:rsidRPr="00880718">
        <w:rPr>
          <w:rFonts w:ascii="Times New Roman" w:hAnsi="Times New Roman" w:cs="Times New Roman"/>
          <w:i/>
          <w:iCs/>
          <w:sz w:val="24"/>
          <w:szCs w:val="24"/>
        </w:rPr>
        <w:t>Immunological Reviews</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293</w:t>
      </w:r>
      <w:r w:rsidRPr="00880718">
        <w:rPr>
          <w:rFonts w:ascii="Times New Roman" w:hAnsi="Times New Roman" w:cs="Times New Roman"/>
          <w:sz w:val="24"/>
          <w:szCs w:val="24"/>
        </w:rPr>
        <w:t>(1), 144–162. https://doi.org/10.1111/imr.12817</w:t>
      </w:r>
    </w:p>
    <w:p w14:paraId="59152C79"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Tse, E. G., Korsik, M., &amp; Todd, M. H. (2019). The past, present and future of anti-malarial medicines. </w:t>
      </w:r>
      <w:r w:rsidRPr="00880718">
        <w:rPr>
          <w:rFonts w:ascii="Times New Roman" w:hAnsi="Times New Roman" w:cs="Times New Roman"/>
          <w:i/>
          <w:iCs/>
          <w:sz w:val="24"/>
          <w:szCs w:val="24"/>
        </w:rPr>
        <w:t>Malaria Journal</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18</w:t>
      </w:r>
      <w:r w:rsidRPr="00880718">
        <w:rPr>
          <w:rFonts w:ascii="Times New Roman" w:hAnsi="Times New Roman" w:cs="Times New Roman"/>
          <w:sz w:val="24"/>
          <w:szCs w:val="24"/>
        </w:rPr>
        <w:t>(1), 93. https://doi.org/10.1186/s12936-019-2724-z</w:t>
      </w:r>
    </w:p>
    <w:p w14:paraId="1C57F939"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Venugopal, K., Hentzschel, F., Valkiūnas, G., &amp; Marti, M. (2020). Plasmodium asexual growth and sexual development in the haematopoietic niche of the host. </w:t>
      </w:r>
      <w:r w:rsidRPr="00880718">
        <w:rPr>
          <w:rFonts w:ascii="Times New Roman" w:hAnsi="Times New Roman" w:cs="Times New Roman"/>
          <w:i/>
          <w:iCs/>
          <w:sz w:val="24"/>
          <w:szCs w:val="24"/>
        </w:rPr>
        <w:t>Nature Reviews Microbiology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18</w:t>
      </w:r>
      <w:r w:rsidRPr="00880718">
        <w:rPr>
          <w:rFonts w:ascii="Times New Roman" w:hAnsi="Times New Roman" w:cs="Times New Roman"/>
          <w:sz w:val="24"/>
          <w:szCs w:val="24"/>
        </w:rPr>
        <w:t>(3), Article 3. https://doi.org/10.1038/s41579-019-0306-2</w:t>
      </w:r>
    </w:p>
    <w:p w14:paraId="7600BC52"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Vishwakarma, Dr. N., Patel, S., Prabhumay, Mr. N., Kumar, R., &amp; DVN, S. (2010). Molecular Docking Studies of Antimalarial Drugs for Malaria. </w:t>
      </w:r>
      <w:r w:rsidRPr="00880718">
        <w:rPr>
          <w:rFonts w:ascii="Times New Roman" w:hAnsi="Times New Roman" w:cs="Times New Roman"/>
          <w:i/>
          <w:iCs/>
          <w:sz w:val="24"/>
          <w:szCs w:val="24"/>
        </w:rPr>
        <w:t>Journal of Computer Science &amp; Systems Biology</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03</w:t>
      </w:r>
      <w:r w:rsidRPr="00880718">
        <w:rPr>
          <w:rFonts w:ascii="Times New Roman" w:hAnsi="Times New Roman" w:cs="Times New Roman"/>
          <w:sz w:val="24"/>
          <w:szCs w:val="24"/>
        </w:rPr>
        <w:t>. https://doi.org/10.4172/jcsb.1000059</w:t>
      </w:r>
    </w:p>
    <w:p w14:paraId="154593F9"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White, N. J. (2004). Antimalarial drug resistance. </w:t>
      </w:r>
      <w:r w:rsidRPr="00880718">
        <w:rPr>
          <w:rFonts w:ascii="Times New Roman" w:hAnsi="Times New Roman" w:cs="Times New Roman"/>
          <w:i/>
          <w:iCs/>
          <w:sz w:val="24"/>
          <w:szCs w:val="24"/>
        </w:rPr>
        <w:t>Journal of Clinical Investigation</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113</w:t>
      </w:r>
      <w:r w:rsidRPr="00880718">
        <w:rPr>
          <w:rFonts w:ascii="Times New Roman" w:hAnsi="Times New Roman" w:cs="Times New Roman"/>
          <w:sz w:val="24"/>
          <w:szCs w:val="24"/>
        </w:rPr>
        <w:t>(8), 1084–1092. https://doi.org/10.1172/JCI200421682</w:t>
      </w:r>
    </w:p>
    <w:p w14:paraId="294A6670"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i/>
          <w:iCs/>
          <w:sz w:val="24"/>
          <w:szCs w:val="24"/>
        </w:rPr>
        <w:t>World malaria report 2020</w:t>
      </w:r>
      <w:r w:rsidRPr="00880718">
        <w:rPr>
          <w:rFonts w:ascii="Times New Roman" w:hAnsi="Times New Roman" w:cs="Times New Roman"/>
          <w:sz w:val="24"/>
          <w:szCs w:val="24"/>
        </w:rPr>
        <w:t>. (n.d.). Retrieved 1 February 2023, from https://www.who.int/publications-detail-redirect/9789240015791</w:t>
      </w:r>
    </w:p>
    <w:p w14:paraId="2648AC42" w14:textId="77777777" w:rsidR="00A830BA" w:rsidRPr="00880718" w:rsidRDefault="00A830BA" w:rsidP="00880718">
      <w:pPr>
        <w:pStyle w:val="Bibliography"/>
        <w:spacing w:after="240" w:line="240" w:lineRule="auto"/>
        <w:jc w:val="both"/>
        <w:rPr>
          <w:rFonts w:ascii="Times New Roman" w:hAnsi="Times New Roman" w:cs="Times New Roman"/>
          <w:sz w:val="24"/>
          <w:szCs w:val="24"/>
        </w:rPr>
      </w:pPr>
      <w:r w:rsidRPr="00880718">
        <w:rPr>
          <w:rFonts w:ascii="Times New Roman" w:hAnsi="Times New Roman" w:cs="Times New Roman"/>
          <w:sz w:val="24"/>
          <w:szCs w:val="24"/>
        </w:rPr>
        <w:t xml:space="preserve">Ya’u Ibrahim, Z., Uzairu, A., Shallangwa, G., &amp; Abechi, S. (2020). Molecular docking studies, drug-likeness and in-silico ADMET prediction of some novel β-Amino alcohol grafted 1,4,5-trisubstituted 1,2,3-triazoles derivatives as elevators of p53 protein levels. </w:t>
      </w:r>
      <w:r w:rsidRPr="00880718">
        <w:rPr>
          <w:rFonts w:ascii="Times New Roman" w:hAnsi="Times New Roman" w:cs="Times New Roman"/>
          <w:i/>
          <w:iCs/>
          <w:sz w:val="24"/>
          <w:szCs w:val="24"/>
        </w:rPr>
        <w:t>Scientific African</w:t>
      </w:r>
      <w:r w:rsidRPr="00880718">
        <w:rPr>
          <w:rFonts w:ascii="Times New Roman" w:hAnsi="Times New Roman" w:cs="Times New Roman"/>
          <w:sz w:val="24"/>
          <w:szCs w:val="24"/>
        </w:rPr>
        <w:t xml:space="preserve">, </w:t>
      </w:r>
      <w:r w:rsidRPr="00880718">
        <w:rPr>
          <w:rFonts w:ascii="Times New Roman" w:hAnsi="Times New Roman" w:cs="Times New Roman"/>
          <w:i/>
          <w:iCs/>
          <w:sz w:val="24"/>
          <w:szCs w:val="24"/>
        </w:rPr>
        <w:t>10</w:t>
      </w:r>
      <w:r w:rsidRPr="00880718">
        <w:rPr>
          <w:rFonts w:ascii="Times New Roman" w:hAnsi="Times New Roman" w:cs="Times New Roman"/>
          <w:sz w:val="24"/>
          <w:szCs w:val="24"/>
        </w:rPr>
        <w:t>, e00570. https://doi.org/10.1016/j.sciaf.2020.e00570</w:t>
      </w:r>
    </w:p>
    <w:p w14:paraId="02C59E67" w14:textId="690ECEDC" w:rsidR="00232115" w:rsidRDefault="00702767" w:rsidP="00FD67C8">
      <w:pPr>
        <w:spacing w:line="480" w:lineRule="auto"/>
        <w:jc w:val="both"/>
        <w:rPr>
          <w:rFonts w:ascii="Times New Roman" w:hAnsi="Times New Roman" w:cs="Times New Roman"/>
          <w:sz w:val="24"/>
          <w:szCs w:val="24"/>
        </w:rPr>
      </w:pPr>
      <w:r w:rsidRPr="00A22E9D">
        <w:rPr>
          <w:rFonts w:ascii="Times New Roman" w:hAnsi="Times New Roman" w:cs="Times New Roman"/>
          <w:sz w:val="24"/>
          <w:szCs w:val="24"/>
        </w:rPr>
        <w:fldChar w:fldCharType="end"/>
      </w:r>
    </w:p>
    <w:p w14:paraId="105F71E1" w14:textId="10F5AAC3" w:rsidR="00702767" w:rsidRDefault="00232115" w:rsidP="00232115">
      <w:pPr>
        <w:pStyle w:val="Heading1"/>
      </w:pPr>
      <w:bookmarkStart w:id="49" w:name="_Toc145500397"/>
      <w:r>
        <w:lastRenderedPageBreak/>
        <w:t>APPENDICES</w:t>
      </w:r>
      <w:bookmarkEnd w:id="49"/>
    </w:p>
    <w:p w14:paraId="3BA4B236" w14:textId="6E09A4EE" w:rsidR="00232115" w:rsidRDefault="00232115" w:rsidP="00232115">
      <w:pPr>
        <w:pStyle w:val="Heading2"/>
      </w:pPr>
      <w:bookmarkStart w:id="50" w:name="_Toc145500398"/>
      <w:r>
        <w:t>APPENDIX I: ADMET STUDY RESULTS</w:t>
      </w:r>
      <w:bookmarkEnd w:id="50"/>
    </w:p>
    <w:p w14:paraId="7F010B0E" w14:textId="0795E9D1" w:rsidR="002F7C0E" w:rsidRDefault="002F7C0E" w:rsidP="002F7C0E">
      <w:pPr>
        <w:pStyle w:val="BodyText"/>
        <w:rPr>
          <w:rFonts w:ascii="Times New Roman"/>
          <w:b w:val="0"/>
          <w:sz w:val="20"/>
        </w:rPr>
      </w:pPr>
    </w:p>
    <w:p w14:paraId="661203D5" w14:textId="77777777" w:rsidR="002F7C0E" w:rsidRDefault="002F7C0E" w:rsidP="002F7C0E">
      <w:pPr>
        <w:pStyle w:val="BodyText"/>
        <w:spacing w:before="4"/>
        <w:rPr>
          <w:rFonts w:ascii="Times New Roman"/>
          <w:b w:val="0"/>
          <w:sz w:val="29"/>
        </w:rPr>
      </w:pPr>
    </w:p>
    <w:p w14:paraId="5C29E402" w14:textId="476D9585" w:rsidR="002F7C0E" w:rsidRDefault="002F7C0E" w:rsidP="002F7C0E">
      <w:pPr>
        <w:spacing w:before="90"/>
        <w:ind w:left="2779"/>
        <w:rPr>
          <w:rFonts w:ascii="Times New Roman"/>
          <w:sz w:val="24"/>
        </w:rPr>
      </w:pPr>
      <w:r>
        <w:rPr>
          <w:rFonts w:ascii="Arial MT"/>
          <w:noProof/>
        </w:rPr>
        <mc:AlternateContent>
          <mc:Choice Requires="wps">
            <w:drawing>
              <wp:anchor distT="0" distB="0" distL="0" distR="0" simplePos="0" relativeHeight="251679744" behindDoc="1" locked="0" layoutInCell="1" allowOverlap="1" wp14:anchorId="7DE641E8" wp14:editId="2E387858">
                <wp:simplePos x="0" y="0"/>
                <wp:positionH relativeFrom="page">
                  <wp:posOffset>914400</wp:posOffset>
                </wp:positionH>
                <wp:positionV relativeFrom="paragraph">
                  <wp:posOffset>326390</wp:posOffset>
                </wp:positionV>
                <wp:extent cx="5731510" cy="1270"/>
                <wp:effectExtent l="9525" t="12065" r="12065" b="5715"/>
                <wp:wrapTopAndBottom/>
                <wp:docPr id="1446738024"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custGeom>
                          <a:avLst/>
                          <a:gdLst>
                            <a:gd name="T0" fmla="+- 0 1440 1440"/>
                            <a:gd name="T1" fmla="*/ T0 w 9026"/>
                            <a:gd name="T2" fmla="+- 0 10466 1440"/>
                            <a:gd name="T3" fmla="*/ T2 w 9026"/>
                          </a:gdLst>
                          <a:ahLst/>
                          <a:cxnLst>
                            <a:cxn ang="0">
                              <a:pos x="T1" y="0"/>
                            </a:cxn>
                            <a:cxn ang="0">
                              <a:pos x="T3" y="0"/>
                            </a:cxn>
                          </a:cxnLst>
                          <a:rect l="0" t="0" r="r" b="b"/>
                          <a:pathLst>
                            <a:path w="9026">
                              <a:moveTo>
                                <a:pt x="0" y="0"/>
                              </a:moveTo>
                              <a:lnTo>
                                <a:pt x="9026"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BAF72B" id="Freeform: Shape 8" o:spid="_x0000_s1026" style="position:absolute;margin-left:1in;margin-top:25.7pt;width:451.3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2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" path="m,l9026,e" filled="f" strokeweight="1pt">
                <v:path arrowok="t" o:connecttype="custom" o:connectlocs="0,0;5731510,0" o:connectangles="0,0"/>
                <w10:wrap type="topAndBottom" anchorx="page"/>
              </v:shape>
            </w:pict>
          </mc:Fallback>
        </mc:AlternateContent>
      </w:r>
      <w:r>
        <w:rPr>
          <w:rFonts w:ascii="Arial MT"/>
          <w:noProof/>
        </w:rPr>
        <w:drawing>
          <wp:anchor distT="0" distB="0" distL="0" distR="0" simplePos="0" relativeHeight="251672576" behindDoc="1" locked="0" layoutInCell="1" allowOverlap="1" wp14:anchorId="057B5D84" wp14:editId="03F7867E">
            <wp:simplePos x="0" y="0"/>
            <wp:positionH relativeFrom="page">
              <wp:posOffset>914400</wp:posOffset>
            </wp:positionH>
            <wp:positionV relativeFrom="paragraph">
              <wp:posOffset>-359410</wp:posOffset>
            </wp:positionV>
            <wp:extent cx="2032000" cy="533400"/>
            <wp:effectExtent l="0" t="0" r="0" b="0"/>
            <wp:wrapNone/>
            <wp:docPr id="13795757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2000" cy="5334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sz w:val="24"/>
        </w:rPr>
        <w:t>O=C1c2ccccc2[C@]2(O)N(N=Cc3ccc(O)cc3</w:t>
      </w:r>
      <w:proofErr w:type="gramStart"/>
      <w:r>
        <w:rPr>
          <w:rFonts w:ascii="Times New Roman"/>
          <w:sz w:val="24"/>
        </w:rPr>
        <w:t>O)C</w:t>
      </w:r>
      <w:proofErr w:type="gramEnd"/>
      <w:r>
        <w:rPr>
          <w:rFonts w:ascii="Times New Roman"/>
          <w:sz w:val="24"/>
        </w:rPr>
        <w:t>(=S)N[C@]12O</w:t>
      </w:r>
    </w:p>
    <w:p w14:paraId="4E1D1491" w14:textId="77777777" w:rsidR="002F7C0E" w:rsidRDefault="002F7C0E" w:rsidP="002F7C0E">
      <w:pPr>
        <w:pStyle w:val="BodyText"/>
        <w:spacing w:before="7"/>
        <w:rPr>
          <w:rFonts w:ascii="Times New Roman"/>
          <w:b w:val="0"/>
          <w:sz w:val="7"/>
        </w:rPr>
      </w:pPr>
    </w:p>
    <w:p w14:paraId="4CAAD179" w14:textId="77777777" w:rsidR="002F7C0E" w:rsidRDefault="002F7C0E">
      <w:pPr>
        <w:pStyle w:val="ListParagraph"/>
        <w:widowControl w:val="0"/>
        <w:numPr>
          <w:ilvl w:val="0"/>
          <w:numId w:val="4"/>
        </w:numPr>
        <w:tabs>
          <w:tab w:val="left" w:pos="552"/>
        </w:tabs>
        <w:autoSpaceDE w:val="0"/>
        <w:autoSpaceDN w:val="0"/>
        <w:spacing w:before="91" w:after="0" w:line="240" w:lineRule="auto"/>
        <w:contextualSpacing w:val="0"/>
        <w:rPr>
          <w:rFonts w:ascii="Arial"/>
          <w:b/>
          <w:sz w:val="28"/>
        </w:rPr>
      </w:pPr>
      <w:r>
        <w:rPr>
          <w:b/>
          <w:sz w:val="28"/>
        </w:rPr>
        <w:t>Physicochemical Property</w:t>
      </w:r>
    </w:p>
    <w:p w14:paraId="5032DDC8" w14:textId="77777777" w:rsidR="002F7C0E" w:rsidRDefault="002F7C0E" w:rsidP="002F7C0E">
      <w:pPr>
        <w:pStyle w:val="BodyText"/>
        <w:rPr>
          <w:sz w:val="12"/>
        </w:r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05"/>
        <w:gridCol w:w="1805"/>
        <w:gridCol w:w="5415"/>
      </w:tblGrid>
      <w:tr w:rsidR="002F7C0E" w14:paraId="66B2C600"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4A731ECB" w14:textId="77777777" w:rsidR="002F7C0E" w:rsidRDefault="002F7C0E">
            <w:pPr>
              <w:pStyle w:val="TableParagraph"/>
              <w:spacing w:before="71"/>
              <w:ind w:left="120"/>
              <w:rPr>
                <w:rFonts w:ascii="Arial"/>
                <w:b/>
              </w:rPr>
            </w:pPr>
            <w:r>
              <w:rPr>
                <w:rFonts w:ascii="Arial"/>
                <w:b/>
              </w:rPr>
              <w:t>Property</w:t>
            </w:r>
          </w:p>
        </w:tc>
        <w:tc>
          <w:tcPr>
            <w:tcW w:w="1805" w:type="dxa"/>
            <w:tcBorders>
              <w:top w:val="single" w:sz="2" w:space="0" w:color="000000"/>
              <w:left w:val="single" w:sz="2" w:space="0" w:color="000000"/>
              <w:bottom w:val="single" w:sz="2" w:space="0" w:color="000000"/>
              <w:right w:val="single" w:sz="2" w:space="0" w:color="000000"/>
            </w:tcBorders>
            <w:hideMark/>
          </w:tcPr>
          <w:p w14:paraId="3D71231E" w14:textId="77777777" w:rsidR="002F7C0E" w:rsidRDefault="002F7C0E">
            <w:pPr>
              <w:pStyle w:val="TableParagraph"/>
              <w:spacing w:before="71"/>
              <w:ind w:right="601"/>
              <w:jc w:val="right"/>
              <w:rPr>
                <w:rFonts w:ascii="Arial"/>
                <w:b/>
              </w:rPr>
            </w:pPr>
            <w:r>
              <w:rPr>
                <w:rFonts w:ascii="Arial"/>
                <w:b/>
              </w:rPr>
              <w:t>Value</w:t>
            </w:r>
          </w:p>
        </w:tc>
        <w:tc>
          <w:tcPr>
            <w:tcW w:w="5415" w:type="dxa"/>
            <w:tcBorders>
              <w:top w:val="single" w:sz="2" w:space="0" w:color="000000"/>
              <w:left w:val="single" w:sz="2" w:space="0" w:color="000000"/>
              <w:bottom w:val="single" w:sz="2" w:space="0" w:color="000000"/>
              <w:right w:val="single" w:sz="2" w:space="0" w:color="000000"/>
            </w:tcBorders>
            <w:hideMark/>
          </w:tcPr>
          <w:p w14:paraId="385D19C7" w14:textId="77777777" w:rsidR="002F7C0E" w:rsidRDefault="002F7C0E">
            <w:pPr>
              <w:pStyle w:val="TableParagraph"/>
              <w:spacing w:before="71"/>
              <w:ind w:left="120"/>
              <w:rPr>
                <w:rFonts w:ascii="Arial"/>
                <w:b/>
              </w:rPr>
            </w:pPr>
            <w:r>
              <w:rPr>
                <w:rFonts w:ascii="Arial"/>
                <w:b/>
              </w:rPr>
              <w:t>Comment</w:t>
            </w:r>
          </w:p>
        </w:tc>
      </w:tr>
      <w:tr w:rsidR="002F7C0E" w14:paraId="7815182E"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7362DE9D" w14:textId="77777777" w:rsidR="002F7C0E" w:rsidRDefault="002F7C0E">
            <w:pPr>
              <w:pStyle w:val="TableParagraph"/>
              <w:spacing w:before="70"/>
              <w:ind w:left="120"/>
              <w:rPr>
                <w:sz w:val="20"/>
              </w:rPr>
            </w:pPr>
            <w:r>
              <w:rPr>
                <w:sz w:val="20"/>
              </w:rPr>
              <w:t>Molecular Weight</w:t>
            </w:r>
          </w:p>
        </w:tc>
        <w:tc>
          <w:tcPr>
            <w:tcW w:w="1805" w:type="dxa"/>
            <w:tcBorders>
              <w:top w:val="single" w:sz="2" w:space="0" w:color="000000"/>
              <w:left w:val="single" w:sz="2" w:space="0" w:color="000000"/>
              <w:bottom w:val="single" w:sz="2" w:space="0" w:color="000000"/>
              <w:right w:val="single" w:sz="2" w:space="0" w:color="000000"/>
            </w:tcBorders>
            <w:hideMark/>
          </w:tcPr>
          <w:p w14:paraId="33032D77" w14:textId="77777777" w:rsidR="002F7C0E" w:rsidRDefault="002F7C0E">
            <w:pPr>
              <w:pStyle w:val="TableParagraph"/>
              <w:spacing w:before="70"/>
              <w:ind w:right="589"/>
              <w:jc w:val="right"/>
              <w:rPr>
                <w:sz w:val="20"/>
              </w:rPr>
            </w:pPr>
            <w:r>
              <w:rPr>
                <w:sz w:val="20"/>
              </w:rPr>
              <w:t>371.06</w:t>
            </w:r>
          </w:p>
        </w:tc>
        <w:tc>
          <w:tcPr>
            <w:tcW w:w="5415" w:type="dxa"/>
            <w:tcBorders>
              <w:top w:val="single" w:sz="2" w:space="0" w:color="000000"/>
              <w:left w:val="single" w:sz="2" w:space="0" w:color="000000"/>
              <w:bottom w:val="single" w:sz="2" w:space="0" w:color="000000"/>
              <w:right w:val="single" w:sz="2" w:space="0" w:color="000000"/>
            </w:tcBorders>
            <w:hideMark/>
          </w:tcPr>
          <w:p w14:paraId="1BF3EE99" w14:textId="77777777" w:rsidR="002F7C0E" w:rsidRDefault="002F7C0E">
            <w:pPr>
              <w:pStyle w:val="TableParagraph"/>
              <w:spacing w:before="70"/>
              <w:ind w:left="120"/>
              <w:rPr>
                <w:sz w:val="20"/>
              </w:rPr>
            </w:pPr>
            <w:r>
              <w:rPr>
                <w:sz w:val="20"/>
              </w:rPr>
              <w:t>Contain hydrogen atoms. Optimal:100~600</w:t>
            </w:r>
          </w:p>
        </w:tc>
      </w:tr>
      <w:tr w:rsidR="002F7C0E" w14:paraId="48E6335F"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5C4D8A2E" w14:textId="77777777" w:rsidR="002F7C0E" w:rsidRDefault="002F7C0E">
            <w:pPr>
              <w:pStyle w:val="TableParagraph"/>
              <w:spacing w:before="70"/>
              <w:ind w:left="120"/>
              <w:rPr>
                <w:sz w:val="20"/>
              </w:rPr>
            </w:pPr>
            <w:r>
              <w:rPr>
                <w:sz w:val="20"/>
              </w:rPr>
              <w:t>Volume</w:t>
            </w:r>
          </w:p>
        </w:tc>
        <w:tc>
          <w:tcPr>
            <w:tcW w:w="1805" w:type="dxa"/>
            <w:tcBorders>
              <w:top w:val="single" w:sz="2" w:space="0" w:color="000000"/>
              <w:left w:val="single" w:sz="2" w:space="0" w:color="000000"/>
              <w:bottom w:val="single" w:sz="2" w:space="0" w:color="000000"/>
              <w:right w:val="single" w:sz="2" w:space="0" w:color="000000"/>
            </w:tcBorders>
            <w:hideMark/>
          </w:tcPr>
          <w:p w14:paraId="25BAEF17" w14:textId="77777777" w:rsidR="002F7C0E" w:rsidRDefault="002F7C0E">
            <w:pPr>
              <w:pStyle w:val="TableParagraph"/>
              <w:spacing w:before="70"/>
              <w:ind w:right="533"/>
              <w:jc w:val="right"/>
              <w:rPr>
                <w:sz w:val="20"/>
              </w:rPr>
            </w:pPr>
            <w:r>
              <w:rPr>
                <w:sz w:val="20"/>
              </w:rPr>
              <w:t>340.085</w:t>
            </w:r>
          </w:p>
        </w:tc>
        <w:tc>
          <w:tcPr>
            <w:tcW w:w="5415" w:type="dxa"/>
            <w:tcBorders>
              <w:top w:val="single" w:sz="2" w:space="0" w:color="000000"/>
              <w:left w:val="single" w:sz="2" w:space="0" w:color="000000"/>
              <w:bottom w:val="single" w:sz="2" w:space="0" w:color="000000"/>
              <w:right w:val="single" w:sz="2" w:space="0" w:color="000000"/>
            </w:tcBorders>
            <w:hideMark/>
          </w:tcPr>
          <w:p w14:paraId="0F72F9CF" w14:textId="77777777" w:rsidR="002F7C0E" w:rsidRDefault="002F7C0E">
            <w:pPr>
              <w:pStyle w:val="TableParagraph"/>
              <w:spacing w:before="70"/>
              <w:ind w:left="120"/>
              <w:rPr>
                <w:sz w:val="20"/>
              </w:rPr>
            </w:pPr>
            <w:r>
              <w:rPr>
                <w:sz w:val="20"/>
              </w:rPr>
              <w:t>Van der Waals volume</w:t>
            </w:r>
          </w:p>
        </w:tc>
      </w:tr>
      <w:tr w:rsidR="002F7C0E" w14:paraId="7C8023FA"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424D8DB1" w14:textId="77777777" w:rsidR="002F7C0E" w:rsidRDefault="002F7C0E">
            <w:pPr>
              <w:pStyle w:val="TableParagraph"/>
              <w:spacing w:before="70"/>
              <w:ind w:left="120"/>
              <w:rPr>
                <w:sz w:val="20"/>
              </w:rPr>
            </w:pPr>
            <w:r>
              <w:rPr>
                <w:sz w:val="20"/>
              </w:rPr>
              <w:t>Density</w:t>
            </w:r>
          </w:p>
        </w:tc>
        <w:tc>
          <w:tcPr>
            <w:tcW w:w="1805" w:type="dxa"/>
            <w:tcBorders>
              <w:top w:val="single" w:sz="2" w:space="0" w:color="000000"/>
              <w:left w:val="single" w:sz="2" w:space="0" w:color="000000"/>
              <w:bottom w:val="single" w:sz="2" w:space="0" w:color="000000"/>
              <w:right w:val="single" w:sz="2" w:space="0" w:color="000000"/>
            </w:tcBorders>
            <w:hideMark/>
          </w:tcPr>
          <w:p w14:paraId="34419266" w14:textId="77777777" w:rsidR="002F7C0E" w:rsidRDefault="002F7C0E">
            <w:pPr>
              <w:pStyle w:val="TableParagraph"/>
              <w:spacing w:before="70"/>
              <w:ind w:left="589" w:right="584"/>
              <w:jc w:val="center"/>
              <w:rPr>
                <w:sz w:val="20"/>
              </w:rPr>
            </w:pPr>
            <w:r>
              <w:rPr>
                <w:sz w:val="20"/>
              </w:rPr>
              <w:t>1.091</w:t>
            </w:r>
          </w:p>
        </w:tc>
        <w:tc>
          <w:tcPr>
            <w:tcW w:w="5415" w:type="dxa"/>
            <w:tcBorders>
              <w:top w:val="single" w:sz="2" w:space="0" w:color="000000"/>
              <w:left w:val="single" w:sz="2" w:space="0" w:color="000000"/>
              <w:bottom w:val="single" w:sz="2" w:space="0" w:color="000000"/>
              <w:right w:val="single" w:sz="2" w:space="0" w:color="000000"/>
            </w:tcBorders>
            <w:hideMark/>
          </w:tcPr>
          <w:p w14:paraId="529A1763" w14:textId="77777777" w:rsidR="002F7C0E" w:rsidRDefault="002F7C0E">
            <w:pPr>
              <w:pStyle w:val="TableParagraph"/>
              <w:spacing w:before="70"/>
              <w:ind w:left="120"/>
              <w:rPr>
                <w:sz w:val="20"/>
              </w:rPr>
            </w:pPr>
            <w:r>
              <w:rPr>
                <w:sz w:val="20"/>
              </w:rPr>
              <w:t>Density = MW / Volume</w:t>
            </w:r>
          </w:p>
        </w:tc>
      </w:tr>
      <w:tr w:rsidR="002F7C0E" w14:paraId="699D82CA"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5AF1270E" w14:textId="77777777" w:rsidR="002F7C0E" w:rsidRDefault="002F7C0E">
            <w:pPr>
              <w:pStyle w:val="TableParagraph"/>
              <w:spacing w:before="70"/>
              <w:ind w:left="120"/>
              <w:rPr>
                <w:sz w:val="20"/>
              </w:rPr>
            </w:pPr>
            <w:proofErr w:type="spellStart"/>
            <w:r>
              <w:rPr>
                <w:sz w:val="20"/>
              </w:rPr>
              <w:t>nHA</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70741A07" w14:textId="77777777" w:rsidR="002F7C0E" w:rsidRDefault="002F7C0E">
            <w:pPr>
              <w:pStyle w:val="TableParagraph"/>
              <w:spacing w:before="70"/>
              <w:ind w:left="5"/>
              <w:jc w:val="center"/>
              <w:rPr>
                <w:sz w:val="20"/>
              </w:rPr>
            </w:pPr>
            <w:r>
              <w:rPr>
                <w:sz w:val="20"/>
              </w:rPr>
              <w:t>8</w:t>
            </w:r>
          </w:p>
        </w:tc>
        <w:tc>
          <w:tcPr>
            <w:tcW w:w="5415" w:type="dxa"/>
            <w:tcBorders>
              <w:top w:val="single" w:sz="2" w:space="0" w:color="000000"/>
              <w:left w:val="single" w:sz="2" w:space="0" w:color="000000"/>
              <w:bottom w:val="single" w:sz="2" w:space="0" w:color="000000"/>
              <w:right w:val="single" w:sz="2" w:space="0" w:color="000000"/>
            </w:tcBorders>
            <w:hideMark/>
          </w:tcPr>
          <w:p w14:paraId="3117657F" w14:textId="77777777" w:rsidR="002F7C0E" w:rsidRDefault="002F7C0E">
            <w:pPr>
              <w:pStyle w:val="TableParagraph"/>
              <w:spacing w:before="70"/>
              <w:ind w:left="120"/>
              <w:rPr>
                <w:sz w:val="20"/>
              </w:rPr>
            </w:pPr>
            <w:r>
              <w:rPr>
                <w:sz w:val="20"/>
              </w:rPr>
              <w:t>Number of hydrogen bond acceptors. Optimal:0~12</w:t>
            </w:r>
          </w:p>
        </w:tc>
      </w:tr>
      <w:tr w:rsidR="002F7C0E" w14:paraId="74A62B18"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5AAF6E6D" w14:textId="77777777" w:rsidR="002F7C0E" w:rsidRDefault="002F7C0E">
            <w:pPr>
              <w:pStyle w:val="TableParagraph"/>
              <w:spacing w:before="70"/>
              <w:ind w:left="120"/>
              <w:rPr>
                <w:sz w:val="20"/>
              </w:rPr>
            </w:pPr>
            <w:proofErr w:type="spellStart"/>
            <w:r>
              <w:rPr>
                <w:sz w:val="20"/>
              </w:rPr>
              <w:t>nHD</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172C2CC8" w14:textId="77777777" w:rsidR="002F7C0E" w:rsidRDefault="002F7C0E">
            <w:pPr>
              <w:pStyle w:val="TableParagraph"/>
              <w:spacing w:before="70"/>
              <w:ind w:left="5"/>
              <w:jc w:val="center"/>
              <w:rPr>
                <w:sz w:val="20"/>
              </w:rPr>
            </w:pPr>
            <w:r>
              <w:rPr>
                <w:sz w:val="20"/>
              </w:rPr>
              <w:t>5</w:t>
            </w:r>
          </w:p>
        </w:tc>
        <w:tc>
          <w:tcPr>
            <w:tcW w:w="5415" w:type="dxa"/>
            <w:tcBorders>
              <w:top w:val="single" w:sz="2" w:space="0" w:color="000000"/>
              <w:left w:val="single" w:sz="2" w:space="0" w:color="000000"/>
              <w:bottom w:val="single" w:sz="2" w:space="0" w:color="000000"/>
              <w:right w:val="single" w:sz="2" w:space="0" w:color="000000"/>
            </w:tcBorders>
            <w:hideMark/>
          </w:tcPr>
          <w:p w14:paraId="14BEBEB0" w14:textId="77777777" w:rsidR="002F7C0E" w:rsidRDefault="002F7C0E">
            <w:pPr>
              <w:pStyle w:val="TableParagraph"/>
              <w:spacing w:before="70"/>
              <w:ind w:left="120"/>
              <w:rPr>
                <w:sz w:val="20"/>
              </w:rPr>
            </w:pPr>
            <w:r>
              <w:rPr>
                <w:sz w:val="20"/>
              </w:rPr>
              <w:t>Number of hydrogen bond donors. Optimal:0~7</w:t>
            </w:r>
          </w:p>
        </w:tc>
      </w:tr>
      <w:tr w:rsidR="002F7C0E" w14:paraId="7B3C1319"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25D02AA9" w14:textId="77777777" w:rsidR="002F7C0E" w:rsidRDefault="002F7C0E">
            <w:pPr>
              <w:pStyle w:val="TableParagraph"/>
              <w:spacing w:before="70"/>
              <w:ind w:left="120"/>
              <w:rPr>
                <w:sz w:val="20"/>
              </w:rPr>
            </w:pPr>
            <w:proofErr w:type="spellStart"/>
            <w:r>
              <w:rPr>
                <w:sz w:val="20"/>
              </w:rPr>
              <w:t>nRot</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3E016172" w14:textId="77777777" w:rsidR="002F7C0E" w:rsidRDefault="002F7C0E">
            <w:pPr>
              <w:pStyle w:val="TableParagraph"/>
              <w:spacing w:before="70"/>
              <w:ind w:left="5"/>
              <w:jc w:val="center"/>
              <w:rPr>
                <w:sz w:val="20"/>
              </w:rPr>
            </w:pPr>
            <w:r>
              <w:rPr>
                <w:sz w:val="20"/>
              </w:rPr>
              <w:t>2</w:t>
            </w:r>
          </w:p>
        </w:tc>
        <w:tc>
          <w:tcPr>
            <w:tcW w:w="5415" w:type="dxa"/>
            <w:tcBorders>
              <w:top w:val="single" w:sz="2" w:space="0" w:color="000000"/>
              <w:left w:val="single" w:sz="2" w:space="0" w:color="000000"/>
              <w:bottom w:val="single" w:sz="2" w:space="0" w:color="000000"/>
              <w:right w:val="single" w:sz="2" w:space="0" w:color="000000"/>
            </w:tcBorders>
            <w:hideMark/>
          </w:tcPr>
          <w:p w14:paraId="56043A43" w14:textId="77777777" w:rsidR="002F7C0E" w:rsidRDefault="002F7C0E">
            <w:pPr>
              <w:pStyle w:val="TableParagraph"/>
              <w:spacing w:before="70"/>
              <w:ind w:left="120"/>
              <w:rPr>
                <w:sz w:val="20"/>
              </w:rPr>
            </w:pPr>
            <w:r>
              <w:rPr>
                <w:sz w:val="20"/>
              </w:rPr>
              <w:t>Number of rotatable bonds. Optimal:0~11</w:t>
            </w:r>
          </w:p>
        </w:tc>
      </w:tr>
      <w:tr w:rsidR="002F7C0E" w14:paraId="079988B0"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4AB5A276" w14:textId="77777777" w:rsidR="002F7C0E" w:rsidRDefault="002F7C0E">
            <w:pPr>
              <w:pStyle w:val="TableParagraph"/>
              <w:spacing w:before="70"/>
              <w:ind w:left="120"/>
              <w:rPr>
                <w:sz w:val="20"/>
              </w:rPr>
            </w:pPr>
            <w:proofErr w:type="spellStart"/>
            <w:r>
              <w:rPr>
                <w:sz w:val="20"/>
              </w:rPr>
              <w:t>nRing</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352676CA" w14:textId="77777777" w:rsidR="002F7C0E" w:rsidRDefault="002F7C0E">
            <w:pPr>
              <w:pStyle w:val="TableParagraph"/>
              <w:spacing w:before="70"/>
              <w:ind w:left="5"/>
              <w:jc w:val="center"/>
              <w:rPr>
                <w:sz w:val="20"/>
              </w:rPr>
            </w:pPr>
            <w:r>
              <w:rPr>
                <w:sz w:val="20"/>
              </w:rPr>
              <w:t>4</w:t>
            </w:r>
          </w:p>
        </w:tc>
        <w:tc>
          <w:tcPr>
            <w:tcW w:w="5415" w:type="dxa"/>
            <w:tcBorders>
              <w:top w:val="single" w:sz="2" w:space="0" w:color="000000"/>
              <w:left w:val="single" w:sz="2" w:space="0" w:color="000000"/>
              <w:bottom w:val="single" w:sz="2" w:space="0" w:color="000000"/>
              <w:right w:val="single" w:sz="2" w:space="0" w:color="000000"/>
            </w:tcBorders>
            <w:hideMark/>
          </w:tcPr>
          <w:p w14:paraId="1FA7E8C5" w14:textId="77777777" w:rsidR="002F7C0E" w:rsidRDefault="002F7C0E">
            <w:pPr>
              <w:pStyle w:val="TableParagraph"/>
              <w:spacing w:before="70"/>
              <w:ind w:left="120"/>
              <w:rPr>
                <w:sz w:val="20"/>
              </w:rPr>
            </w:pPr>
            <w:r>
              <w:rPr>
                <w:sz w:val="20"/>
              </w:rPr>
              <w:t>Number of rings. Optimal:0~6</w:t>
            </w:r>
          </w:p>
        </w:tc>
      </w:tr>
      <w:tr w:rsidR="002F7C0E" w14:paraId="6A87E550"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281D877A" w14:textId="77777777" w:rsidR="002F7C0E" w:rsidRDefault="002F7C0E">
            <w:pPr>
              <w:pStyle w:val="TableParagraph"/>
              <w:spacing w:before="70"/>
              <w:ind w:left="120"/>
              <w:rPr>
                <w:sz w:val="20"/>
              </w:rPr>
            </w:pPr>
            <w:proofErr w:type="spellStart"/>
            <w:r>
              <w:rPr>
                <w:sz w:val="20"/>
              </w:rPr>
              <w:t>MaxRing</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0FE32E5D" w14:textId="77777777" w:rsidR="002F7C0E" w:rsidRDefault="002F7C0E">
            <w:pPr>
              <w:pStyle w:val="TableParagraph"/>
              <w:spacing w:before="70"/>
              <w:ind w:left="589" w:right="584"/>
              <w:jc w:val="center"/>
              <w:rPr>
                <w:sz w:val="20"/>
              </w:rPr>
            </w:pPr>
            <w:r>
              <w:rPr>
                <w:sz w:val="20"/>
              </w:rPr>
              <w:t>12</w:t>
            </w:r>
          </w:p>
        </w:tc>
        <w:tc>
          <w:tcPr>
            <w:tcW w:w="5415" w:type="dxa"/>
            <w:tcBorders>
              <w:top w:val="single" w:sz="2" w:space="0" w:color="000000"/>
              <w:left w:val="single" w:sz="2" w:space="0" w:color="000000"/>
              <w:bottom w:val="single" w:sz="2" w:space="0" w:color="000000"/>
              <w:right w:val="single" w:sz="2" w:space="0" w:color="000000"/>
            </w:tcBorders>
            <w:hideMark/>
          </w:tcPr>
          <w:p w14:paraId="19764D80" w14:textId="77777777" w:rsidR="002F7C0E" w:rsidRDefault="002F7C0E">
            <w:pPr>
              <w:pStyle w:val="TableParagraph"/>
              <w:spacing w:before="70"/>
              <w:ind w:left="120"/>
              <w:rPr>
                <w:sz w:val="20"/>
              </w:rPr>
            </w:pPr>
            <w:r>
              <w:rPr>
                <w:sz w:val="20"/>
              </w:rPr>
              <w:t>Number of atoms in the biggest ring. Optimal:0~18</w:t>
            </w:r>
          </w:p>
        </w:tc>
      </w:tr>
      <w:tr w:rsidR="002F7C0E" w14:paraId="214FA3AB"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7A7528A4" w14:textId="77777777" w:rsidR="002F7C0E" w:rsidRDefault="002F7C0E">
            <w:pPr>
              <w:pStyle w:val="TableParagraph"/>
              <w:spacing w:before="70"/>
              <w:ind w:left="120"/>
              <w:rPr>
                <w:sz w:val="20"/>
              </w:rPr>
            </w:pPr>
            <w:proofErr w:type="spellStart"/>
            <w:r>
              <w:rPr>
                <w:sz w:val="20"/>
              </w:rPr>
              <w:t>nHet</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7BA52212" w14:textId="77777777" w:rsidR="002F7C0E" w:rsidRDefault="002F7C0E">
            <w:pPr>
              <w:pStyle w:val="TableParagraph"/>
              <w:spacing w:before="70"/>
              <w:ind w:left="5"/>
              <w:jc w:val="center"/>
              <w:rPr>
                <w:sz w:val="20"/>
              </w:rPr>
            </w:pPr>
            <w:r>
              <w:rPr>
                <w:sz w:val="20"/>
              </w:rPr>
              <w:t>9</w:t>
            </w:r>
          </w:p>
        </w:tc>
        <w:tc>
          <w:tcPr>
            <w:tcW w:w="5415" w:type="dxa"/>
            <w:tcBorders>
              <w:top w:val="single" w:sz="2" w:space="0" w:color="000000"/>
              <w:left w:val="single" w:sz="2" w:space="0" w:color="000000"/>
              <w:bottom w:val="single" w:sz="2" w:space="0" w:color="000000"/>
              <w:right w:val="single" w:sz="2" w:space="0" w:color="000000"/>
            </w:tcBorders>
            <w:hideMark/>
          </w:tcPr>
          <w:p w14:paraId="09190E8B" w14:textId="77777777" w:rsidR="002F7C0E" w:rsidRDefault="002F7C0E">
            <w:pPr>
              <w:pStyle w:val="TableParagraph"/>
              <w:spacing w:before="70"/>
              <w:ind w:left="120"/>
              <w:rPr>
                <w:sz w:val="20"/>
              </w:rPr>
            </w:pPr>
            <w:r>
              <w:rPr>
                <w:sz w:val="20"/>
              </w:rPr>
              <w:t>Number of heteroatoms. Optimal:1~15</w:t>
            </w:r>
          </w:p>
        </w:tc>
      </w:tr>
      <w:tr w:rsidR="002F7C0E" w14:paraId="66436606"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0746A14E" w14:textId="77777777" w:rsidR="002F7C0E" w:rsidRDefault="002F7C0E">
            <w:pPr>
              <w:pStyle w:val="TableParagraph"/>
              <w:spacing w:before="70"/>
              <w:ind w:left="120"/>
              <w:rPr>
                <w:sz w:val="20"/>
              </w:rPr>
            </w:pPr>
            <w:proofErr w:type="spellStart"/>
            <w:r>
              <w:rPr>
                <w:sz w:val="20"/>
              </w:rPr>
              <w:t>fChar</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3BA6DA12" w14:textId="77777777" w:rsidR="002F7C0E" w:rsidRDefault="002F7C0E">
            <w:pPr>
              <w:pStyle w:val="TableParagraph"/>
              <w:spacing w:before="70"/>
              <w:ind w:left="5"/>
              <w:jc w:val="center"/>
              <w:rPr>
                <w:sz w:val="20"/>
              </w:rPr>
            </w:pPr>
            <w:r>
              <w:rPr>
                <w:sz w:val="20"/>
              </w:rPr>
              <w:t>0</w:t>
            </w:r>
          </w:p>
        </w:tc>
        <w:tc>
          <w:tcPr>
            <w:tcW w:w="5415" w:type="dxa"/>
            <w:tcBorders>
              <w:top w:val="single" w:sz="2" w:space="0" w:color="000000"/>
              <w:left w:val="single" w:sz="2" w:space="0" w:color="000000"/>
              <w:bottom w:val="single" w:sz="2" w:space="0" w:color="000000"/>
              <w:right w:val="single" w:sz="2" w:space="0" w:color="000000"/>
            </w:tcBorders>
            <w:hideMark/>
          </w:tcPr>
          <w:p w14:paraId="0B08A8E1" w14:textId="77777777" w:rsidR="002F7C0E" w:rsidRDefault="002F7C0E">
            <w:pPr>
              <w:pStyle w:val="TableParagraph"/>
              <w:spacing w:before="70"/>
              <w:ind w:left="120"/>
              <w:rPr>
                <w:sz w:val="20"/>
              </w:rPr>
            </w:pPr>
            <w:r>
              <w:rPr>
                <w:sz w:val="20"/>
              </w:rPr>
              <w:t xml:space="preserve">Formal charge. </w:t>
            </w:r>
            <w:proofErr w:type="gramStart"/>
            <w:r>
              <w:rPr>
                <w:sz w:val="20"/>
              </w:rPr>
              <w:t>Optimal:-</w:t>
            </w:r>
            <w:proofErr w:type="gramEnd"/>
            <w:r>
              <w:rPr>
                <w:sz w:val="20"/>
              </w:rPr>
              <w:t>4 ~4</w:t>
            </w:r>
          </w:p>
        </w:tc>
      </w:tr>
      <w:tr w:rsidR="002F7C0E" w14:paraId="5C8C6EA8"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42ADED6A" w14:textId="77777777" w:rsidR="002F7C0E" w:rsidRDefault="002F7C0E">
            <w:pPr>
              <w:pStyle w:val="TableParagraph"/>
              <w:spacing w:before="70"/>
              <w:ind w:left="120"/>
              <w:rPr>
                <w:sz w:val="20"/>
              </w:rPr>
            </w:pPr>
            <w:proofErr w:type="spellStart"/>
            <w:r>
              <w:rPr>
                <w:sz w:val="20"/>
              </w:rPr>
              <w:t>nRig</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2579D14D" w14:textId="77777777" w:rsidR="002F7C0E" w:rsidRDefault="002F7C0E">
            <w:pPr>
              <w:pStyle w:val="TableParagraph"/>
              <w:spacing w:before="70"/>
              <w:ind w:left="589" w:right="584"/>
              <w:jc w:val="center"/>
              <w:rPr>
                <w:sz w:val="20"/>
              </w:rPr>
            </w:pPr>
            <w:r>
              <w:rPr>
                <w:sz w:val="20"/>
              </w:rPr>
              <w:t>23</w:t>
            </w:r>
          </w:p>
        </w:tc>
        <w:tc>
          <w:tcPr>
            <w:tcW w:w="5415" w:type="dxa"/>
            <w:tcBorders>
              <w:top w:val="single" w:sz="2" w:space="0" w:color="000000"/>
              <w:left w:val="single" w:sz="2" w:space="0" w:color="000000"/>
              <w:bottom w:val="single" w:sz="2" w:space="0" w:color="000000"/>
              <w:right w:val="single" w:sz="2" w:space="0" w:color="000000"/>
            </w:tcBorders>
            <w:hideMark/>
          </w:tcPr>
          <w:p w14:paraId="4D5F4FFD" w14:textId="77777777" w:rsidR="002F7C0E" w:rsidRDefault="002F7C0E">
            <w:pPr>
              <w:pStyle w:val="TableParagraph"/>
              <w:spacing w:before="70"/>
              <w:ind w:left="120"/>
              <w:rPr>
                <w:sz w:val="20"/>
              </w:rPr>
            </w:pPr>
            <w:r>
              <w:rPr>
                <w:sz w:val="20"/>
              </w:rPr>
              <w:t>Number of rigid bonds. Optimal:0~30</w:t>
            </w:r>
          </w:p>
        </w:tc>
      </w:tr>
      <w:tr w:rsidR="002F7C0E" w14:paraId="1EEDA599"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127E0364" w14:textId="77777777" w:rsidR="002F7C0E" w:rsidRDefault="002F7C0E">
            <w:pPr>
              <w:pStyle w:val="TableParagraph"/>
              <w:spacing w:before="70"/>
              <w:ind w:left="120"/>
              <w:rPr>
                <w:sz w:val="20"/>
              </w:rPr>
            </w:pPr>
            <w:r>
              <w:rPr>
                <w:sz w:val="20"/>
              </w:rPr>
              <w:t>Flexibility</w:t>
            </w:r>
          </w:p>
        </w:tc>
        <w:tc>
          <w:tcPr>
            <w:tcW w:w="1805" w:type="dxa"/>
            <w:tcBorders>
              <w:top w:val="single" w:sz="2" w:space="0" w:color="000000"/>
              <w:left w:val="single" w:sz="2" w:space="0" w:color="000000"/>
              <w:bottom w:val="single" w:sz="2" w:space="0" w:color="000000"/>
              <w:right w:val="single" w:sz="2" w:space="0" w:color="000000"/>
            </w:tcBorders>
            <w:hideMark/>
          </w:tcPr>
          <w:p w14:paraId="0754DD70" w14:textId="77777777" w:rsidR="002F7C0E" w:rsidRDefault="002F7C0E">
            <w:pPr>
              <w:pStyle w:val="TableParagraph"/>
              <w:spacing w:before="70"/>
              <w:ind w:left="589" w:right="584"/>
              <w:jc w:val="center"/>
              <w:rPr>
                <w:sz w:val="20"/>
              </w:rPr>
            </w:pPr>
            <w:r>
              <w:rPr>
                <w:sz w:val="20"/>
              </w:rPr>
              <w:t>0.087</w:t>
            </w:r>
          </w:p>
        </w:tc>
        <w:tc>
          <w:tcPr>
            <w:tcW w:w="5415" w:type="dxa"/>
            <w:tcBorders>
              <w:top w:val="single" w:sz="2" w:space="0" w:color="000000"/>
              <w:left w:val="single" w:sz="2" w:space="0" w:color="000000"/>
              <w:bottom w:val="single" w:sz="2" w:space="0" w:color="000000"/>
              <w:right w:val="single" w:sz="2" w:space="0" w:color="000000"/>
            </w:tcBorders>
            <w:hideMark/>
          </w:tcPr>
          <w:p w14:paraId="5DBFB773" w14:textId="77777777" w:rsidR="002F7C0E" w:rsidRDefault="002F7C0E">
            <w:pPr>
              <w:pStyle w:val="TableParagraph"/>
              <w:spacing w:before="70"/>
              <w:ind w:left="120"/>
              <w:rPr>
                <w:sz w:val="20"/>
              </w:rPr>
            </w:pPr>
            <w:r>
              <w:rPr>
                <w:sz w:val="20"/>
              </w:rPr>
              <w:t xml:space="preserve">Flexibility = </w:t>
            </w:r>
            <w:proofErr w:type="spellStart"/>
            <w:r>
              <w:rPr>
                <w:sz w:val="20"/>
              </w:rPr>
              <w:t>nRot</w:t>
            </w:r>
            <w:proofErr w:type="spellEnd"/>
            <w:r>
              <w:rPr>
                <w:sz w:val="20"/>
              </w:rPr>
              <w:t xml:space="preserve"> /</w:t>
            </w:r>
            <w:proofErr w:type="spellStart"/>
            <w:r>
              <w:rPr>
                <w:sz w:val="20"/>
              </w:rPr>
              <w:t>nRig</w:t>
            </w:r>
            <w:proofErr w:type="spellEnd"/>
          </w:p>
        </w:tc>
      </w:tr>
      <w:tr w:rsidR="002F7C0E" w14:paraId="68228102"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1DF6AADD" w14:textId="77777777" w:rsidR="002F7C0E" w:rsidRDefault="002F7C0E">
            <w:pPr>
              <w:pStyle w:val="TableParagraph"/>
              <w:spacing w:before="70"/>
              <w:ind w:left="120"/>
              <w:rPr>
                <w:sz w:val="20"/>
              </w:rPr>
            </w:pPr>
            <w:r>
              <w:rPr>
                <w:sz w:val="20"/>
              </w:rPr>
              <w:t>Stereo Centers</w:t>
            </w:r>
          </w:p>
        </w:tc>
        <w:tc>
          <w:tcPr>
            <w:tcW w:w="1805" w:type="dxa"/>
            <w:tcBorders>
              <w:top w:val="single" w:sz="2" w:space="0" w:color="000000"/>
              <w:left w:val="single" w:sz="2" w:space="0" w:color="000000"/>
              <w:bottom w:val="single" w:sz="2" w:space="0" w:color="000000"/>
              <w:right w:val="single" w:sz="2" w:space="0" w:color="000000"/>
            </w:tcBorders>
            <w:hideMark/>
          </w:tcPr>
          <w:p w14:paraId="1B059051" w14:textId="77777777" w:rsidR="002F7C0E" w:rsidRDefault="002F7C0E">
            <w:pPr>
              <w:pStyle w:val="TableParagraph"/>
              <w:spacing w:before="70"/>
              <w:ind w:left="5"/>
              <w:jc w:val="center"/>
              <w:rPr>
                <w:sz w:val="20"/>
              </w:rPr>
            </w:pPr>
            <w:r>
              <w:rPr>
                <w:sz w:val="20"/>
              </w:rPr>
              <w:t>2</w:t>
            </w:r>
          </w:p>
        </w:tc>
        <w:tc>
          <w:tcPr>
            <w:tcW w:w="5415" w:type="dxa"/>
            <w:tcBorders>
              <w:top w:val="single" w:sz="2" w:space="0" w:color="000000"/>
              <w:left w:val="single" w:sz="2" w:space="0" w:color="000000"/>
              <w:bottom w:val="single" w:sz="2" w:space="0" w:color="000000"/>
              <w:right w:val="single" w:sz="2" w:space="0" w:color="000000"/>
            </w:tcBorders>
            <w:hideMark/>
          </w:tcPr>
          <w:p w14:paraId="3F7E3776" w14:textId="77777777" w:rsidR="002F7C0E" w:rsidRDefault="002F7C0E">
            <w:pPr>
              <w:pStyle w:val="TableParagraph"/>
              <w:spacing w:before="56"/>
              <w:ind w:left="120"/>
              <w:rPr>
                <w:sz w:val="20"/>
              </w:rPr>
            </w:pPr>
            <w:r>
              <w:rPr>
                <w:sz w:val="20"/>
              </w:rPr>
              <w:t xml:space="preserve">Optimal: </w:t>
            </w:r>
            <w:r>
              <w:rPr>
                <w:rFonts w:ascii="Symbol" w:hAnsi="Symbol"/>
                <w:sz w:val="20"/>
              </w:rPr>
              <w:t>£</w:t>
            </w:r>
            <w:r>
              <w:rPr>
                <w:rFonts w:ascii="Times New Roman" w:hAnsi="Times New Roman"/>
                <w:spacing w:val="5"/>
                <w:sz w:val="20"/>
              </w:rPr>
              <w:t xml:space="preserve"> </w:t>
            </w:r>
            <w:r>
              <w:rPr>
                <w:sz w:val="20"/>
              </w:rPr>
              <w:t>2</w:t>
            </w:r>
          </w:p>
        </w:tc>
      </w:tr>
      <w:tr w:rsidR="002F7C0E" w14:paraId="62015F2F"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0EBC0D16" w14:textId="77777777" w:rsidR="002F7C0E" w:rsidRDefault="002F7C0E">
            <w:pPr>
              <w:pStyle w:val="TableParagraph"/>
              <w:spacing w:before="70"/>
              <w:ind w:left="120"/>
              <w:rPr>
                <w:sz w:val="20"/>
              </w:rPr>
            </w:pPr>
            <w:r>
              <w:rPr>
                <w:sz w:val="20"/>
              </w:rPr>
              <w:t>TPSA</w:t>
            </w:r>
          </w:p>
        </w:tc>
        <w:tc>
          <w:tcPr>
            <w:tcW w:w="1805" w:type="dxa"/>
            <w:tcBorders>
              <w:top w:val="single" w:sz="2" w:space="0" w:color="000000"/>
              <w:left w:val="single" w:sz="2" w:space="0" w:color="000000"/>
              <w:bottom w:val="single" w:sz="2" w:space="0" w:color="000000"/>
              <w:right w:val="single" w:sz="2" w:space="0" w:color="000000"/>
            </w:tcBorders>
            <w:hideMark/>
          </w:tcPr>
          <w:p w14:paraId="5F4EB2EC" w14:textId="77777777" w:rsidR="002F7C0E" w:rsidRDefault="002F7C0E">
            <w:pPr>
              <w:pStyle w:val="TableParagraph"/>
              <w:spacing w:before="70"/>
              <w:ind w:right="589"/>
              <w:jc w:val="right"/>
              <w:rPr>
                <w:sz w:val="20"/>
              </w:rPr>
            </w:pPr>
            <w:r>
              <w:rPr>
                <w:sz w:val="20"/>
              </w:rPr>
              <w:t>125.62</w:t>
            </w:r>
          </w:p>
        </w:tc>
        <w:tc>
          <w:tcPr>
            <w:tcW w:w="5415" w:type="dxa"/>
            <w:tcBorders>
              <w:top w:val="single" w:sz="2" w:space="0" w:color="000000"/>
              <w:left w:val="single" w:sz="2" w:space="0" w:color="000000"/>
              <w:bottom w:val="single" w:sz="2" w:space="0" w:color="000000"/>
              <w:right w:val="single" w:sz="2" w:space="0" w:color="000000"/>
            </w:tcBorders>
            <w:hideMark/>
          </w:tcPr>
          <w:p w14:paraId="6932EED5" w14:textId="77777777" w:rsidR="002F7C0E" w:rsidRDefault="002F7C0E">
            <w:pPr>
              <w:pStyle w:val="TableParagraph"/>
              <w:spacing w:before="70"/>
              <w:ind w:left="120"/>
              <w:rPr>
                <w:sz w:val="20"/>
              </w:rPr>
            </w:pPr>
            <w:r>
              <w:rPr>
                <w:sz w:val="20"/>
              </w:rPr>
              <w:t>Topological Polar Surface Area. Optimal:0~140</w:t>
            </w:r>
          </w:p>
        </w:tc>
      </w:tr>
      <w:tr w:rsidR="002F7C0E" w14:paraId="52BD0089"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69AD66F0" w14:textId="77777777" w:rsidR="002F7C0E" w:rsidRDefault="002F7C0E">
            <w:pPr>
              <w:pStyle w:val="TableParagraph"/>
              <w:spacing w:before="70"/>
              <w:ind w:left="120"/>
              <w:rPr>
                <w:sz w:val="20"/>
              </w:rPr>
            </w:pPr>
            <w:proofErr w:type="spellStart"/>
            <w:r>
              <w:rPr>
                <w:sz w:val="20"/>
              </w:rPr>
              <w:t>logS</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3C52EF5D" w14:textId="77777777" w:rsidR="002F7C0E" w:rsidRDefault="002F7C0E">
            <w:pPr>
              <w:pStyle w:val="TableParagraph"/>
              <w:spacing w:before="70"/>
              <w:ind w:left="589" w:right="584"/>
              <w:jc w:val="center"/>
              <w:rPr>
                <w:sz w:val="20"/>
              </w:rPr>
            </w:pPr>
            <w:r>
              <w:rPr>
                <w:sz w:val="20"/>
              </w:rPr>
              <w:t>-2.921</w:t>
            </w:r>
          </w:p>
        </w:tc>
        <w:tc>
          <w:tcPr>
            <w:tcW w:w="5415" w:type="dxa"/>
            <w:tcBorders>
              <w:top w:val="single" w:sz="2" w:space="0" w:color="000000"/>
              <w:left w:val="single" w:sz="2" w:space="0" w:color="000000"/>
              <w:bottom w:val="single" w:sz="2" w:space="0" w:color="000000"/>
              <w:right w:val="single" w:sz="2" w:space="0" w:color="000000"/>
            </w:tcBorders>
            <w:hideMark/>
          </w:tcPr>
          <w:p w14:paraId="54B58505" w14:textId="77777777" w:rsidR="002F7C0E" w:rsidRDefault="002F7C0E">
            <w:pPr>
              <w:pStyle w:val="TableParagraph"/>
              <w:spacing w:before="70"/>
              <w:ind w:left="120"/>
              <w:rPr>
                <w:sz w:val="20"/>
              </w:rPr>
            </w:pPr>
            <w:r>
              <w:rPr>
                <w:sz w:val="20"/>
              </w:rPr>
              <w:t>Log of the aqueous solubility. Optimal: -4~0.5 log mol/L</w:t>
            </w:r>
          </w:p>
        </w:tc>
      </w:tr>
      <w:tr w:rsidR="002F7C0E" w14:paraId="276F219A"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37CA5AF1" w14:textId="77777777" w:rsidR="002F7C0E" w:rsidRDefault="002F7C0E">
            <w:pPr>
              <w:pStyle w:val="TableParagraph"/>
              <w:spacing w:before="70"/>
              <w:ind w:left="120"/>
              <w:rPr>
                <w:sz w:val="20"/>
              </w:rPr>
            </w:pPr>
            <w:proofErr w:type="spellStart"/>
            <w:r>
              <w:rPr>
                <w:sz w:val="20"/>
              </w:rPr>
              <w:t>logP</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690F9ADA" w14:textId="77777777" w:rsidR="002F7C0E" w:rsidRDefault="002F7C0E">
            <w:pPr>
              <w:pStyle w:val="TableParagraph"/>
              <w:spacing w:before="70"/>
              <w:ind w:left="589" w:right="584"/>
              <w:jc w:val="center"/>
              <w:rPr>
                <w:sz w:val="20"/>
              </w:rPr>
            </w:pPr>
            <w:r>
              <w:rPr>
                <w:sz w:val="20"/>
              </w:rPr>
              <w:t>1.658</w:t>
            </w:r>
          </w:p>
        </w:tc>
        <w:tc>
          <w:tcPr>
            <w:tcW w:w="5415" w:type="dxa"/>
            <w:tcBorders>
              <w:top w:val="single" w:sz="2" w:space="0" w:color="000000"/>
              <w:left w:val="single" w:sz="2" w:space="0" w:color="000000"/>
              <w:bottom w:val="single" w:sz="2" w:space="0" w:color="000000"/>
              <w:right w:val="single" w:sz="2" w:space="0" w:color="000000"/>
            </w:tcBorders>
            <w:hideMark/>
          </w:tcPr>
          <w:p w14:paraId="16B48C18" w14:textId="77777777" w:rsidR="002F7C0E" w:rsidRDefault="002F7C0E">
            <w:pPr>
              <w:pStyle w:val="TableParagraph"/>
              <w:spacing w:before="70"/>
              <w:ind w:left="120"/>
              <w:rPr>
                <w:sz w:val="20"/>
              </w:rPr>
            </w:pPr>
            <w:r>
              <w:rPr>
                <w:sz w:val="20"/>
              </w:rPr>
              <w:t>Log of the octanol/water partition coefficient. Optimal: 0~3</w:t>
            </w:r>
          </w:p>
        </w:tc>
      </w:tr>
      <w:tr w:rsidR="002F7C0E" w14:paraId="133914FF"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6D68E337" w14:textId="77777777" w:rsidR="002F7C0E" w:rsidRDefault="002F7C0E">
            <w:pPr>
              <w:pStyle w:val="TableParagraph"/>
              <w:spacing w:before="70"/>
              <w:ind w:left="120"/>
              <w:rPr>
                <w:sz w:val="20"/>
              </w:rPr>
            </w:pPr>
            <w:proofErr w:type="spellStart"/>
            <w:r>
              <w:rPr>
                <w:sz w:val="20"/>
              </w:rPr>
              <w:t>logD</w:t>
            </w:r>
            <w:proofErr w:type="spellEnd"/>
          </w:p>
        </w:tc>
        <w:tc>
          <w:tcPr>
            <w:tcW w:w="1805" w:type="dxa"/>
            <w:tcBorders>
              <w:top w:val="single" w:sz="2" w:space="0" w:color="000000"/>
              <w:left w:val="single" w:sz="2" w:space="0" w:color="000000"/>
              <w:bottom w:val="single" w:sz="2" w:space="0" w:color="000000"/>
              <w:right w:val="single" w:sz="2" w:space="0" w:color="000000"/>
            </w:tcBorders>
            <w:hideMark/>
          </w:tcPr>
          <w:p w14:paraId="6BE19FC0" w14:textId="77777777" w:rsidR="002F7C0E" w:rsidRDefault="002F7C0E">
            <w:pPr>
              <w:pStyle w:val="TableParagraph"/>
              <w:spacing w:before="70"/>
              <w:ind w:left="589" w:right="584"/>
              <w:jc w:val="center"/>
              <w:rPr>
                <w:sz w:val="20"/>
              </w:rPr>
            </w:pPr>
            <w:r>
              <w:rPr>
                <w:sz w:val="20"/>
              </w:rPr>
              <w:t>1.298</w:t>
            </w:r>
          </w:p>
        </w:tc>
        <w:tc>
          <w:tcPr>
            <w:tcW w:w="5415" w:type="dxa"/>
            <w:tcBorders>
              <w:top w:val="single" w:sz="2" w:space="0" w:color="000000"/>
              <w:left w:val="single" w:sz="2" w:space="0" w:color="000000"/>
              <w:bottom w:val="single" w:sz="2" w:space="0" w:color="000000"/>
              <w:right w:val="single" w:sz="2" w:space="0" w:color="000000"/>
            </w:tcBorders>
            <w:hideMark/>
          </w:tcPr>
          <w:p w14:paraId="49BA82CF" w14:textId="77777777" w:rsidR="002F7C0E" w:rsidRDefault="002F7C0E">
            <w:pPr>
              <w:pStyle w:val="TableParagraph"/>
              <w:spacing w:before="70"/>
              <w:ind w:left="120"/>
              <w:rPr>
                <w:sz w:val="20"/>
              </w:rPr>
            </w:pPr>
            <w:proofErr w:type="spellStart"/>
            <w:r>
              <w:rPr>
                <w:sz w:val="20"/>
              </w:rPr>
              <w:t>logP</w:t>
            </w:r>
            <w:proofErr w:type="spellEnd"/>
            <w:r>
              <w:rPr>
                <w:sz w:val="20"/>
              </w:rPr>
              <w:t xml:space="preserve"> at physiological pH 7.4. Optimal: 1~3</w:t>
            </w:r>
          </w:p>
        </w:tc>
      </w:tr>
    </w:tbl>
    <w:p w14:paraId="0FE72D4B" w14:textId="77777777" w:rsidR="002F7C0E" w:rsidRDefault="002F7C0E">
      <w:pPr>
        <w:pStyle w:val="ListParagraph"/>
        <w:widowControl w:val="0"/>
        <w:numPr>
          <w:ilvl w:val="0"/>
          <w:numId w:val="4"/>
        </w:numPr>
        <w:tabs>
          <w:tab w:val="left" w:pos="552"/>
        </w:tabs>
        <w:autoSpaceDE w:val="0"/>
        <w:autoSpaceDN w:val="0"/>
        <w:spacing w:before="255" w:after="0" w:line="240" w:lineRule="auto"/>
        <w:contextualSpacing w:val="0"/>
        <w:rPr>
          <w:rFonts w:ascii="Arial" w:eastAsia="Arial" w:hAnsi="Arial" w:cs="Arial"/>
          <w:b/>
          <w:sz w:val="28"/>
          <w:lang w:val="en-US"/>
        </w:rPr>
      </w:pPr>
      <w:r>
        <w:rPr>
          <w:b/>
          <w:sz w:val="28"/>
        </w:rPr>
        <w:t>Medicinal Chemistry</w:t>
      </w:r>
    </w:p>
    <w:p w14:paraId="32C141A1" w14:textId="77777777" w:rsidR="002F7C0E" w:rsidRDefault="002F7C0E" w:rsidP="002F7C0E">
      <w:pPr>
        <w:pStyle w:val="BodyText"/>
        <w:rPr>
          <w:sz w:val="12"/>
        </w:rPr>
      </w:pPr>
    </w:p>
    <w:tbl>
      <w:tblPr>
        <w:tblW w:w="9428" w:type="dxa"/>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414"/>
        <w:gridCol w:w="1414"/>
        <w:gridCol w:w="1414"/>
        <w:gridCol w:w="5186"/>
      </w:tblGrid>
      <w:tr w:rsidR="002F7C0E" w14:paraId="560AD761" w14:textId="77777777" w:rsidTr="002E073E">
        <w:trPr>
          <w:trHeight w:val="275"/>
        </w:trPr>
        <w:tc>
          <w:tcPr>
            <w:tcW w:w="1414" w:type="dxa"/>
            <w:tcBorders>
              <w:top w:val="single" w:sz="2" w:space="0" w:color="000000"/>
              <w:left w:val="single" w:sz="2" w:space="0" w:color="000000"/>
              <w:bottom w:val="single" w:sz="2" w:space="0" w:color="000000"/>
              <w:right w:val="single" w:sz="2" w:space="0" w:color="000000"/>
            </w:tcBorders>
            <w:hideMark/>
          </w:tcPr>
          <w:p w14:paraId="3AFF9DD9" w14:textId="77777777" w:rsidR="002F7C0E" w:rsidRDefault="002F7C0E">
            <w:pPr>
              <w:pStyle w:val="TableParagraph"/>
              <w:spacing w:before="71"/>
              <w:ind w:left="120"/>
              <w:rPr>
                <w:rFonts w:ascii="Arial"/>
                <w:b/>
              </w:rPr>
            </w:pPr>
            <w:r>
              <w:rPr>
                <w:rFonts w:ascii="Arial"/>
                <w:b/>
              </w:rPr>
              <w:t>Property</w:t>
            </w:r>
          </w:p>
        </w:tc>
        <w:tc>
          <w:tcPr>
            <w:tcW w:w="1414" w:type="dxa"/>
            <w:tcBorders>
              <w:top w:val="single" w:sz="2" w:space="0" w:color="000000"/>
              <w:left w:val="single" w:sz="2" w:space="0" w:color="000000"/>
              <w:bottom w:val="single" w:sz="2" w:space="0" w:color="000000"/>
              <w:right w:val="single" w:sz="2" w:space="0" w:color="000000"/>
            </w:tcBorders>
            <w:hideMark/>
          </w:tcPr>
          <w:p w14:paraId="7B5757EF" w14:textId="77777777" w:rsidR="002F7C0E" w:rsidRDefault="002F7C0E">
            <w:pPr>
              <w:pStyle w:val="TableParagraph"/>
              <w:spacing w:before="71"/>
              <w:ind w:left="198" w:right="194"/>
              <w:jc w:val="center"/>
              <w:rPr>
                <w:rFonts w:ascii="Arial"/>
                <w:b/>
              </w:rPr>
            </w:pPr>
            <w:r>
              <w:rPr>
                <w:rFonts w:ascii="Arial"/>
                <w:b/>
              </w:rPr>
              <w:t>Value</w:t>
            </w:r>
          </w:p>
        </w:tc>
        <w:tc>
          <w:tcPr>
            <w:tcW w:w="1414" w:type="dxa"/>
            <w:tcBorders>
              <w:top w:val="single" w:sz="2" w:space="0" w:color="000000"/>
              <w:left w:val="single" w:sz="2" w:space="0" w:color="000000"/>
              <w:bottom w:val="single" w:sz="2" w:space="0" w:color="000000"/>
              <w:right w:val="single" w:sz="2" w:space="0" w:color="000000"/>
            </w:tcBorders>
            <w:hideMark/>
          </w:tcPr>
          <w:p w14:paraId="60D55E50" w14:textId="77777777" w:rsidR="002F7C0E" w:rsidRDefault="002F7C0E">
            <w:pPr>
              <w:pStyle w:val="TableParagraph"/>
              <w:spacing w:before="71"/>
              <w:ind w:left="198" w:right="194"/>
              <w:jc w:val="center"/>
              <w:rPr>
                <w:rFonts w:ascii="Arial"/>
                <w:b/>
              </w:rPr>
            </w:pPr>
            <w:r>
              <w:rPr>
                <w:rFonts w:ascii="Arial"/>
                <w:b/>
              </w:rPr>
              <w:t>Decision</w:t>
            </w:r>
          </w:p>
        </w:tc>
        <w:tc>
          <w:tcPr>
            <w:tcW w:w="5186" w:type="dxa"/>
            <w:tcBorders>
              <w:top w:val="single" w:sz="2" w:space="0" w:color="000000"/>
              <w:left w:val="single" w:sz="2" w:space="0" w:color="000000"/>
              <w:bottom w:val="single" w:sz="2" w:space="0" w:color="000000"/>
              <w:right w:val="single" w:sz="2" w:space="0" w:color="000000"/>
            </w:tcBorders>
            <w:hideMark/>
          </w:tcPr>
          <w:p w14:paraId="749011E1" w14:textId="77777777" w:rsidR="002F7C0E" w:rsidRDefault="002F7C0E">
            <w:pPr>
              <w:pStyle w:val="TableParagraph"/>
              <w:spacing w:before="71"/>
              <w:ind w:left="119"/>
              <w:rPr>
                <w:rFonts w:ascii="Arial"/>
                <w:b/>
              </w:rPr>
            </w:pPr>
            <w:r>
              <w:rPr>
                <w:rFonts w:ascii="Arial"/>
                <w:b/>
              </w:rPr>
              <w:t>Comment</w:t>
            </w:r>
          </w:p>
        </w:tc>
      </w:tr>
      <w:tr w:rsidR="002F7C0E" w14:paraId="5621B9AC" w14:textId="77777777" w:rsidTr="002E073E">
        <w:trPr>
          <w:trHeight w:val="835"/>
        </w:trPr>
        <w:tc>
          <w:tcPr>
            <w:tcW w:w="1414" w:type="dxa"/>
            <w:tcBorders>
              <w:top w:val="single" w:sz="2" w:space="0" w:color="000000"/>
              <w:left w:val="single" w:sz="2" w:space="0" w:color="000000"/>
              <w:bottom w:val="single" w:sz="2" w:space="0" w:color="000000"/>
              <w:right w:val="single" w:sz="2" w:space="0" w:color="000000"/>
            </w:tcBorders>
          </w:tcPr>
          <w:p w14:paraId="78F57AC7" w14:textId="77777777" w:rsidR="002F7C0E" w:rsidRDefault="002F7C0E">
            <w:pPr>
              <w:pStyle w:val="TableParagraph"/>
              <w:rPr>
                <w:rFonts w:ascii="Arial"/>
                <w:b/>
              </w:rPr>
            </w:pPr>
          </w:p>
          <w:p w14:paraId="7C741CA0" w14:textId="77777777" w:rsidR="002F7C0E" w:rsidRDefault="002F7C0E">
            <w:pPr>
              <w:pStyle w:val="TableParagraph"/>
              <w:spacing w:before="177"/>
              <w:ind w:left="120"/>
              <w:rPr>
                <w:sz w:val="20"/>
              </w:rPr>
            </w:pPr>
            <w:r>
              <w:rPr>
                <w:sz w:val="20"/>
              </w:rPr>
              <w:t>QED</w:t>
            </w:r>
          </w:p>
        </w:tc>
        <w:tc>
          <w:tcPr>
            <w:tcW w:w="1414" w:type="dxa"/>
            <w:tcBorders>
              <w:top w:val="single" w:sz="2" w:space="0" w:color="000000"/>
              <w:left w:val="single" w:sz="2" w:space="0" w:color="000000"/>
              <w:bottom w:val="single" w:sz="2" w:space="0" w:color="000000"/>
              <w:right w:val="single" w:sz="2" w:space="0" w:color="000000"/>
            </w:tcBorders>
          </w:tcPr>
          <w:p w14:paraId="0D7B1B8B" w14:textId="77777777" w:rsidR="002F7C0E" w:rsidRDefault="002F7C0E">
            <w:pPr>
              <w:pStyle w:val="TableParagraph"/>
              <w:rPr>
                <w:rFonts w:ascii="Arial"/>
                <w:b/>
              </w:rPr>
            </w:pPr>
          </w:p>
          <w:p w14:paraId="46DC48E3" w14:textId="77777777" w:rsidR="002F7C0E" w:rsidRDefault="002F7C0E">
            <w:pPr>
              <w:pStyle w:val="TableParagraph"/>
              <w:spacing w:before="177"/>
              <w:ind w:left="198" w:right="194"/>
              <w:jc w:val="center"/>
              <w:rPr>
                <w:sz w:val="20"/>
              </w:rPr>
            </w:pPr>
            <w:r>
              <w:rPr>
                <w:sz w:val="20"/>
              </w:rPr>
              <w:t>0.378</w:t>
            </w:r>
          </w:p>
        </w:tc>
        <w:tc>
          <w:tcPr>
            <w:tcW w:w="1414" w:type="dxa"/>
            <w:tcBorders>
              <w:top w:val="single" w:sz="2" w:space="0" w:color="000000"/>
              <w:left w:val="single" w:sz="2" w:space="0" w:color="000000"/>
              <w:bottom w:val="single" w:sz="2" w:space="0" w:color="000000"/>
              <w:right w:val="single" w:sz="2" w:space="0" w:color="000000"/>
            </w:tcBorders>
          </w:tcPr>
          <w:p w14:paraId="0BE4F872" w14:textId="77777777" w:rsidR="002F7C0E" w:rsidRDefault="002F7C0E">
            <w:pPr>
              <w:pStyle w:val="TableParagraph"/>
              <w:rPr>
                <w:rFonts w:ascii="Arial"/>
                <w:b/>
                <w:sz w:val="20"/>
              </w:rPr>
            </w:pPr>
          </w:p>
          <w:p w14:paraId="6A1BE7EE" w14:textId="77777777" w:rsidR="002F7C0E" w:rsidRDefault="002F7C0E">
            <w:pPr>
              <w:pStyle w:val="TableParagraph"/>
              <w:spacing w:before="3"/>
              <w:rPr>
                <w:rFonts w:ascii="Arial"/>
                <w:b/>
                <w:sz w:val="16"/>
              </w:rPr>
            </w:pPr>
          </w:p>
          <w:p w14:paraId="4B9D9058" w14:textId="77777777" w:rsidR="002F7C0E" w:rsidRDefault="002F7C0E">
            <w:pPr>
              <w:pStyle w:val="TableParagraph"/>
              <w:ind w:left="45"/>
              <w:jc w:val="center"/>
              <w:rPr>
                <w:rFonts w:ascii="MS UI Gothic" w:hAnsi="MS UI Gothic"/>
                <w:sz w:val="20"/>
              </w:rPr>
            </w:pPr>
            <w:r>
              <w:rPr>
                <w:rFonts w:ascii="MS UI Gothic" w:hAnsi="MS UI Gothic" w:hint="eastAsia"/>
                <w:color w:val="FF0000"/>
                <w:sz w:val="20"/>
              </w:rPr>
              <w:t>●</w:t>
            </w:r>
          </w:p>
        </w:tc>
        <w:tc>
          <w:tcPr>
            <w:tcW w:w="5186" w:type="dxa"/>
            <w:tcBorders>
              <w:top w:val="single" w:sz="2" w:space="0" w:color="000000"/>
              <w:left w:val="single" w:sz="2" w:space="0" w:color="000000"/>
              <w:bottom w:val="single" w:sz="2" w:space="0" w:color="000000"/>
              <w:right w:val="single" w:sz="2" w:space="0" w:color="000000"/>
            </w:tcBorders>
            <w:hideMark/>
          </w:tcPr>
          <w:p w14:paraId="76B7559C" w14:textId="77777777" w:rsidR="002F7C0E" w:rsidRDefault="002F7C0E">
            <w:pPr>
              <w:pStyle w:val="TableParagraph"/>
              <w:numPr>
                <w:ilvl w:val="0"/>
                <w:numId w:val="5"/>
              </w:numPr>
              <w:tabs>
                <w:tab w:val="left" w:pos="376"/>
              </w:tabs>
              <w:spacing w:before="61" w:line="232" w:lineRule="auto"/>
              <w:ind w:right="179" w:firstLine="0"/>
              <w:rPr>
                <w:sz w:val="20"/>
              </w:rPr>
            </w:pPr>
            <w:r>
              <w:rPr>
                <w:sz w:val="20"/>
              </w:rPr>
              <w:t>A measure of drug-likeness based on the concept</w:t>
            </w:r>
            <w:r>
              <w:rPr>
                <w:spacing w:val="-54"/>
                <w:sz w:val="20"/>
              </w:rPr>
              <w:t xml:space="preserve"> </w:t>
            </w:r>
            <w:r>
              <w:rPr>
                <w:sz w:val="20"/>
              </w:rPr>
              <w:t>of desirability;</w:t>
            </w:r>
          </w:p>
          <w:p w14:paraId="725C331C" w14:textId="77777777" w:rsidR="002F7C0E" w:rsidRDefault="002F7C0E">
            <w:pPr>
              <w:pStyle w:val="TableParagraph"/>
              <w:numPr>
                <w:ilvl w:val="0"/>
                <w:numId w:val="5"/>
              </w:numPr>
              <w:tabs>
                <w:tab w:val="left" w:pos="376"/>
              </w:tabs>
              <w:spacing w:before="4" w:line="232" w:lineRule="auto"/>
              <w:ind w:right="534" w:firstLine="0"/>
              <w:rPr>
                <w:sz w:val="20"/>
              </w:rPr>
            </w:pPr>
            <w:r>
              <w:rPr>
                <w:sz w:val="20"/>
              </w:rPr>
              <w:t>Attractive: &gt; 0.67; unattractive: 0.49~0.67; too</w:t>
            </w:r>
            <w:r>
              <w:rPr>
                <w:spacing w:val="-53"/>
                <w:sz w:val="20"/>
              </w:rPr>
              <w:t xml:space="preserve"> </w:t>
            </w:r>
            <w:r>
              <w:rPr>
                <w:sz w:val="20"/>
              </w:rPr>
              <w:t>complex: &lt; 0.34</w:t>
            </w:r>
          </w:p>
        </w:tc>
      </w:tr>
      <w:tr w:rsidR="002F7C0E" w14:paraId="08454EDE" w14:textId="77777777" w:rsidTr="002E073E">
        <w:trPr>
          <w:trHeight w:val="835"/>
        </w:trPr>
        <w:tc>
          <w:tcPr>
            <w:tcW w:w="1414" w:type="dxa"/>
            <w:tcBorders>
              <w:top w:val="single" w:sz="2" w:space="0" w:color="000000"/>
              <w:left w:val="single" w:sz="2" w:space="0" w:color="000000"/>
              <w:bottom w:val="single" w:sz="2" w:space="0" w:color="000000"/>
              <w:right w:val="single" w:sz="2" w:space="0" w:color="000000"/>
            </w:tcBorders>
          </w:tcPr>
          <w:p w14:paraId="66DCE91A" w14:textId="77777777" w:rsidR="002F7C0E" w:rsidRDefault="002F7C0E">
            <w:pPr>
              <w:pStyle w:val="TableParagraph"/>
              <w:rPr>
                <w:rFonts w:ascii="Arial"/>
                <w:b/>
              </w:rPr>
            </w:pPr>
          </w:p>
          <w:p w14:paraId="43E780AF" w14:textId="77777777" w:rsidR="002F7C0E" w:rsidRDefault="002F7C0E">
            <w:pPr>
              <w:pStyle w:val="TableParagraph"/>
              <w:spacing w:before="177"/>
              <w:ind w:left="120"/>
              <w:rPr>
                <w:sz w:val="20"/>
              </w:rPr>
            </w:pPr>
            <w:proofErr w:type="spellStart"/>
            <w:r>
              <w:rPr>
                <w:sz w:val="20"/>
              </w:rPr>
              <w:t>SAscore</w:t>
            </w:r>
            <w:proofErr w:type="spellEnd"/>
          </w:p>
        </w:tc>
        <w:tc>
          <w:tcPr>
            <w:tcW w:w="1414" w:type="dxa"/>
            <w:tcBorders>
              <w:top w:val="single" w:sz="2" w:space="0" w:color="000000"/>
              <w:left w:val="single" w:sz="2" w:space="0" w:color="000000"/>
              <w:bottom w:val="single" w:sz="2" w:space="0" w:color="000000"/>
              <w:right w:val="single" w:sz="2" w:space="0" w:color="000000"/>
            </w:tcBorders>
          </w:tcPr>
          <w:p w14:paraId="2340852E" w14:textId="77777777" w:rsidR="002F7C0E" w:rsidRDefault="002F7C0E">
            <w:pPr>
              <w:pStyle w:val="TableParagraph"/>
              <w:rPr>
                <w:rFonts w:ascii="Arial"/>
                <w:b/>
              </w:rPr>
            </w:pPr>
          </w:p>
          <w:p w14:paraId="7D41F3C0" w14:textId="77777777" w:rsidR="002F7C0E" w:rsidRDefault="002F7C0E">
            <w:pPr>
              <w:pStyle w:val="TableParagraph"/>
              <w:spacing w:before="177"/>
              <w:ind w:left="198" w:right="194"/>
              <w:jc w:val="center"/>
              <w:rPr>
                <w:sz w:val="20"/>
              </w:rPr>
            </w:pPr>
            <w:r>
              <w:rPr>
                <w:sz w:val="20"/>
              </w:rPr>
              <w:t>4.045</w:t>
            </w:r>
          </w:p>
        </w:tc>
        <w:tc>
          <w:tcPr>
            <w:tcW w:w="1414" w:type="dxa"/>
            <w:tcBorders>
              <w:top w:val="single" w:sz="2" w:space="0" w:color="000000"/>
              <w:left w:val="single" w:sz="2" w:space="0" w:color="000000"/>
              <w:bottom w:val="single" w:sz="2" w:space="0" w:color="000000"/>
              <w:right w:val="single" w:sz="2" w:space="0" w:color="000000"/>
            </w:tcBorders>
          </w:tcPr>
          <w:p w14:paraId="6630F5DF" w14:textId="77777777" w:rsidR="002F7C0E" w:rsidRDefault="002F7C0E">
            <w:pPr>
              <w:pStyle w:val="TableParagraph"/>
              <w:rPr>
                <w:rFonts w:ascii="Arial"/>
                <w:b/>
                <w:sz w:val="20"/>
              </w:rPr>
            </w:pPr>
          </w:p>
          <w:p w14:paraId="7F556637" w14:textId="77777777" w:rsidR="002F7C0E" w:rsidRDefault="002F7C0E">
            <w:pPr>
              <w:pStyle w:val="TableParagraph"/>
              <w:spacing w:before="3"/>
              <w:rPr>
                <w:rFonts w:ascii="Arial"/>
                <w:b/>
                <w:sz w:val="16"/>
              </w:rPr>
            </w:pPr>
          </w:p>
          <w:p w14:paraId="0A3F5601"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5186" w:type="dxa"/>
            <w:tcBorders>
              <w:top w:val="single" w:sz="2" w:space="0" w:color="000000"/>
              <w:left w:val="single" w:sz="2" w:space="0" w:color="000000"/>
              <w:bottom w:val="single" w:sz="2" w:space="0" w:color="000000"/>
              <w:right w:val="single" w:sz="2" w:space="0" w:color="000000"/>
            </w:tcBorders>
            <w:hideMark/>
          </w:tcPr>
          <w:p w14:paraId="3AD307F4" w14:textId="77777777" w:rsidR="002F7C0E" w:rsidRDefault="002F7C0E">
            <w:pPr>
              <w:pStyle w:val="TableParagraph"/>
              <w:numPr>
                <w:ilvl w:val="0"/>
                <w:numId w:val="6"/>
              </w:numPr>
              <w:tabs>
                <w:tab w:val="left" w:pos="376"/>
              </w:tabs>
              <w:spacing w:before="61" w:line="232" w:lineRule="auto"/>
              <w:ind w:right="424" w:firstLine="0"/>
              <w:rPr>
                <w:sz w:val="20"/>
              </w:rPr>
            </w:pPr>
            <w:r>
              <w:rPr>
                <w:sz w:val="20"/>
              </w:rPr>
              <w:t>Synthetic accessibility score is designed to</w:t>
            </w:r>
            <w:r>
              <w:rPr>
                <w:spacing w:val="1"/>
                <w:sz w:val="20"/>
              </w:rPr>
              <w:t xml:space="preserve"> </w:t>
            </w:r>
            <w:r>
              <w:rPr>
                <w:sz w:val="20"/>
              </w:rPr>
              <w:t>estimate</w:t>
            </w:r>
            <w:r>
              <w:rPr>
                <w:spacing w:val="-3"/>
                <w:sz w:val="20"/>
              </w:rPr>
              <w:t xml:space="preserve"> </w:t>
            </w:r>
            <w:r>
              <w:rPr>
                <w:sz w:val="20"/>
              </w:rPr>
              <w:t>ease</w:t>
            </w:r>
            <w:r>
              <w:rPr>
                <w:spacing w:val="-3"/>
                <w:sz w:val="20"/>
              </w:rPr>
              <w:t xml:space="preserve"> </w:t>
            </w:r>
            <w:r>
              <w:rPr>
                <w:sz w:val="20"/>
              </w:rPr>
              <w:t>of</w:t>
            </w:r>
            <w:r>
              <w:rPr>
                <w:spacing w:val="-3"/>
                <w:sz w:val="20"/>
              </w:rPr>
              <w:t xml:space="preserve"> </w:t>
            </w:r>
            <w:r>
              <w:rPr>
                <w:sz w:val="20"/>
              </w:rPr>
              <w:t>synthesis</w:t>
            </w:r>
            <w:r>
              <w:rPr>
                <w:spacing w:val="-2"/>
                <w:sz w:val="20"/>
              </w:rPr>
              <w:t xml:space="preserve"> </w:t>
            </w:r>
            <w:r>
              <w:rPr>
                <w:sz w:val="20"/>
              </w:rPr>
              <w:t>of</w:t>
            </w:r>
            <w:r>
              <w:rPr>
                <w:spacing w:val="-3"/>
                <w:sz w:val="20"/>
              </w:rPr>
              <w:t xml:space="preserve"> </w:t>
            </w:r>
            <w:r>
              <w:rPr>
                <w:sz w:val="20"/>
              </w:rPr>
              <w:t>drug-like</w:t>
            </w:r>
            <w:r>
              <w:rPr>
                <w:spacing w:val="-3"/>
                <w:sz w:val="20"/>
              </w:rPr>
              <w:t xml:space="preserve"> </w:t>
            </w:r>
            <w:r>
              <w:rPr>
                <w:sz w:val="20"/>
              </w:rPr>
              <w:t>molecules.</w:t>
            </w:r>
          </w:p>
          <w:p w14:paraId="4CE50032" w14:textId="77777777" w:rsidR="002F7C0E" w:rsidRDefault="002F7C0E">
            <w:pPr>
              <w:pStyle w:val="TableParagraph"/>
              <w:numPr>
                <w:ilvl w:val="0"/>
                <w:numId w:val="6"/>
              </w:numPr>
              <w:tabs>
                <w:tab w:val="left" w:pos="376"/>
              </w:tabs>
              <w:spacing w:before="3" w:line="232" w:lineRule="auto"/>
              <w:ind w:right="331" w:firstLine="0"/>
              <w:rPr>
                <w:sz w:val="20"/>
              </w:rPr>
            </w:pPr>
            <w:proofErr w:type="spellStart"/>
            <w:r>
              <w:rPr>
                <w:sz w:val="20"/>
              </w:rPr>
              <w:t>SAscore</w:t>
            </w:r>
            <w:proofErr w:type="spellEnd"/>
            <w:r>
              <w:rPr>
                <w:sz w:val="20"/>
              </w:rPr>
              <w:t xml:space="preserve"> </w:t>
            </w:r>
            <w:r>
              <w:rPr>
                <w:rFonts w:ascii="Symbol" w:hAnsi="Symbol"/>
                <w:sz w:val="20"/>
              </w:rPr>
              <w:t>³</w:t>
            </w:r>
            <w:r>
              <w:rPr>
                <w:rFonts w:ascii="Times New Roman" w:hAnsi="Times New Roman"/>
                <w:sz w:val="20"/>
              </w:rPr>
              <w:t xml:space="preserve"> </w:t>
            </w:r>
            <w:r>
              <w:rPr>
                <w:sz w:val="20"/>
              </w:rPr>
              <w:t xml:space="preserve">6, difficult to synthesize; </w:t>
            </w:r>
            <w:proofErr w:type="spellStart"/>
            <w:r>
              <w:rPr>
                <w:sz w:val="20"/>
              </w:rPr>
              <w:t>SAscore</w:t>
            </w:r>
            <w:proofErr w:type="spellEnd"/>
            <w:r>
              <w:rPr>
                <w:sz w:val="20"/>
              </w:rPr>
              <w:t xml:space="preserve"> &lt;6,</w:t>
            </w:r>
            <w:r>
              <w:rPr>
                <w:spacing w:val="-53"/>
                <w:sz w:val="20"/>
              </w:rPr>
              <w:t xml:space="preserve"> </w:t>
            </w:r>
            <w:r>
              <w:rPr>
                <w:sz w:val="20"/>
              </w:rPr>
              <w:t>easy to synthesize</w:t>
            </w:r>
          </w:p>
        </w:tc>
      </w:tr>
      <w:tr w:rsidR="002F7C0E" w14:paraId="1B2DE7EF" w14:textId="77777777" w:rsidTr="002E073E">
        <w:trPr>
          <w:trHeight w:val="835"/>
        </w:trPr>
        <w:tc>
          <w:tcPr>
            <w:tcW w:w="1414" w:type="dxa"/>
            <w:tcBorders>
              <w:top w:val="single" w:sz="2" w:space="0" w:color="000000"/>
              <w:left w:val="single" w:sz="2" w:space="0" w:color="000000"/>
              <w:bottom w:val="single" w:sz="2" w:space="0" w:color="000000"/>
              <w:right w:val="single" w:sz="2" w:space="0" w:color="000000"/>
            </w:tcBorders>
          </w:tcPr>
          <w:p w14:paraId="65EF3FD0" w14:textId="77777777" w:rsidR="002F7C0E" w:rsidRDefault="002F7C0E">
            <w:pPr>
              <w:pStyle w:val="TableParagraph"/>
              <w:rPr>
                <w:rFonts w:ascii="Arial"/>
                <w:b/>
              </w:rPr>
            </w:pPr>
          </w:p>
          <w:p w14:paraId="266FEC00" w14:textId="77777777" w:rsidR="002F7C0E" w:rsidRDefault="002F7C0E">
            <w:pPr>
              <w:pStyle w:val="TableParagraph"/>
              <w:spacing w:before="177"/>
              <w:ind w:left="120"/>
              <w:rPr>
                <w:sz w:val="20"/>
              </w:rPr>
            </w:pPr>
            <w:r>
              <w:rPr>
                <w:sz w:val="20"/>
              </w:rPr>
              <w:t>Fsp3</w:t>
            </w:r>
          </w:p>
        </w:tc>
        <w:tc>
          <w:tcPr>
            <w:tcW w:w="1414" w:type="dxa"/>
            <w:tcBorders>
              <w:top w:val="single" w:sz="2" w:space="0" w:color="000000"/>
              <w:left w:val="single" w:sz="2" w:space="0" w:color="000000"/>
              <w:bottom w:val="single" w:sz="2" w:space="0" w:color="000000"/>
              <w:right w:val="single" w:sz="2" w:space="0" w:color="000000"/>
            </w:tcBorders>
          </w:tcPr>
          <w:p w14:paraId="2EBD82E2" w14:textId="77777777" w:rsidR="002F7C0E" w:rsidRDefault="002F7C0E">
            <w:pPr>
              <w:pStyle w:val="TableParagraph"/>
              <w:rPr>
                <w:rFonts w:ascii="Arial"/>
                <w:b/>
              </w:rPr>
            </w:pPr>
          </w:p>
          <w:p w14:paraId="3752EB7F" w14:textId="77777777" w:rsidR="002F7C0E" w:rsidRDefault="002F7C0E">
            <w:pPr>
              <w:pStyle w:val="TableParagraph"/>
              <w:spacing w:before="177"/>
              <w:ind w:left="198" w:right="194"/>
              <w:jc w:val="center"/>
              <w:rPr>
                <w:sz w:val="20"/>
              </w:rPr>
            </w:pPr>
            <w:r>
              <w:rPr>
                <w:sz w:val="20"/>
              </w:rPr>
              <w:t>0.118</w:t>
            </w:r>
          </w:p>
        </w:tc>
        <w:tc>
          <w:tcPr>
            <w:tcW w:w="1414" w:type="dxa"/>
            <w:tcBorders>
              <w:top w:val="single" w:sz="2" w:space="0" w:color="000000"/>
              <w:left w:val="single" w:sz="2" w:space="0" w:color="000000"/>
              <w:bottom w:val="single" w:sz="2" w:space="0" w:color="000000"/>
              <w:right w:val="single" w:sz="2" w:space="0" w:color="000000"/>
            </w:tcBorders>
          </w:tcPr>
          <w:p w14:paraId="03214759" w14:textId="77777777" w:rsidR="002F7C0E" w:rsidRDefault="002F7C0E">
            <w:pPr>
              <w:pStyle w:val="TableParagraph"/>
              <w:rPr>
                <w:rFonts w:ascii="Arial"/>
                <w:b/>
                <w:sz w:val="20"/>
              </w:rPr>
            </w:pPr>
          </w:p>
          <w:p w14:paraId="2EBADD80" w14:textId="77777777" w:rsidR="002F7C0E" w:rsidRDefault="002F7C0E">
            <w:pPr>
              <w:pStyle w:val="TableParagraph"/>
              <w:spacing w:before="3"/>
              <w:rPr>
                <w:rFonts w:ascii="Arial"/>
                <w:b/>
                <w:sz w:val="16"/>
              </w:rPr>
            </w:pPr>
          </w:p>
          <w:p w14:paraId="51D04BDF" w14:textId="77777777" w:rsidR="002F7C0E" w:rsidRDefault="002F7C0E">
            <w:pPr>
              <w:pStyle w:val="TableParagraph"/>
              <w:ind w:left="45"/>
              <w:jc w:val="center"/>
              <w:rPr>
                <w:rFonts w:ascii="MS UI Gothic" w:hAnsi="MS UI Gothic"/>
                <w:sz w:val="20"/>
              </w:rPr>
            </w:pPr>
            <w:r>
              <w:rPr>
                <w:rFonts w:ascii="MS UI Gothic" w:hAnsi="MS UI Gothic" w:hint="eastAsia"/>
                <w:color w:val="FF0000"/>
                <w:sz w:val="20"/>
              </w:rPr>
              <w:t>●</w:t>
            </w:r>
          </w:p>
        </w:tc>
        <w:tc>
          <w:tcPr>
            <w:tcW w:w="5186" w:type="dxa"/>
            <w:tcBorders>
              <w:top w:val="single" w:sz="2" w:space="0" w:color="000000"/>
              <w:left w:val="single" w:sz="2" w:space="0" w:color="000000"/>
              <w:bottom w:val="single" w:sz="2" w:space="0" w:color="000000"/>
              <w:right w:val="single" w:sz="2" w:space="0" w:color="000000"/>
            </w:tcBorders>
            <w:hideMark/>
          </w:tcPr>
          <w:p w14:paraId="3EFB88B9" w14:textId="77777777" w:rsidR="002F7C0E" w:rsidRDefault="002F7C0E">
            <w:pPr>
              <w:pStyle w:val="TableParagraph"/>
              <w:numPr>
                <w:ilvl w:val="0"/>
                <w:numId w:val="7"/>
              </w:numPr>
              <w:tabs>
                <w:tab w:val="left" w:pos="376"/>
              </w:tabs>
              <w:spacing w:before="57"/>
              <w:ind w:right="624" w:firstLine="0"/>
              <w:jc w:val="both"/>
              <w:rPr>
                <w:sz w:val="20"/>
              </w:rPr>
            </w:pPr>
            <w:r>
              <w:rPr>
                <w:sz w:val="20"/>
              </w:rPr>
              <w:t>The number of sp3 hybridized carbons / total</w:t>
            </w:r>
            <w:r>
              <w:rPr>
                <w:spacing w:val="-54"/>
                <w:sz w:val="20"/>
              </w:rPr>
              <w:t xml:space="preserve"> </w:t>
            </w:r>
            <w:r>
              <w:rPr>
                <w:sz w:val="20"/>
              </w:rPr>
              <w:t>carbon count, correlating with melting point and</w:t>
            </w:r>
            <w:r>
              <w:rPr>
                <w:spacing w:val="-53"/>
                <w:sz w:val="20"/>
              </w:rPr>
              <w:t xml:space="preserve"> </w:t>
            </w:r>
            <w:r>
              <w:rPr>
                <w:sz w:val="20"/>
              </w:rPr>
              <w:t>solubility.</w:t>
            </w:r>
          </w:p>
          <w:p w14:paraId="52B8EB76" w14:textId="77777777" w:rsidR="002F7C0E" w:rsidRDefault="002F7C0E">
            <w:pPr>
              <w:pStyle w:val="TableParagraph"/>
              <w:numPr>
                <w:ilvl w:val="0"/>
                <w:numId w:val="7"/>
              </w:numPr>
              <w:tabs>
                <w:tab w:val="left" w:pos="376"/>
              </w:tabs>
              <w:spacing w:line="253" w:lineRule="exact"/>
              <w:ind w:left="375" w:hanging="257"/>
              <w:jc w:val="both"/>
              <w:rPr>
                <w:sz w:val="20"/>
              </w:rPr>
            </w:pPr>
            <w:r>
              <w:rPr>
                <w:sz w:val="20"/>
              </w:rPr>
              <w:t>Fsp</w:t>
            </w:r>
            <w:r>
              <w:rPr>
                <w:sz w:val="20"/>
                <w:vertAlign w:val="superscript"/>
              </w:rPr>
              <w:t>3</w:t>
            </w:r>
            <w:r>
              <w:rPr>
                <w:spacing w:val="2"/>
                <w:sz w:val="20"/>
              </w:rPr>
              <w:t xml:space="preserve"> </w:t>
            </w:r>
            <w:r>
              <w:rPr>
                <w:rFonts w:ascii="Symbol" w:hAnsi="Symbol"/>
                <w:sz w:val="20"/>
              </w:rPr>
              <w:t>³</w:t>
            </w:r>
            <w:r>
              <w:rPr>
                <w:sz w:val="20"/>
              </w:rPr>
              <w:t>0.42</w:t>
            </w:r>
            <w:r>
              <w:rPr>
                <w:spacing w:val="2"/>
                <w:sz w:val="20"/>
              </w:rPr>
              <w:t xml:space="preserve"> </w:t>
            </w:r>
            <w:r>
              <w:rPr>
                <w:sz w:val="20"/>
              </w:rPr>
              <w:t>is</w:t>
            </w:r>
            <w:r>
              <w:rPr>
                <w:spacing w:val="2"/>
                <w:sz w:val="20"/>
              </w:rPr>
              <w:t xml:space="preserve"> </w:t>
            </w:r>
            <w:r>
              <w:rPr>
                <w:sz w:val="20"/>
              </w:rPr>
              <w:t>considered</w:t>
            </w:r>
            <w:r>
              <w:rPr>
                <w:spacing w:val="3"/>
                <w:sz w:val="20"/>
              </w:rPr>
              <w:t xml:space="preserve"> </w:t>
            </w:r>
            <w:r>
              <w:rPr>
                <w:sz w:val="20"/>
              </w:rPr>
              <w:t>a</w:t>
            </w:r>
            <w:r>
              <w:rPr>
                <w:spacing w:val="2"/>
                <w:sz w:val="20"/>
              </w:rPr>
              <w:t xml:space="preserve"> </w:t>
            </w:r>
            <w:r>
              <w:rPr>
                <w:sz w:val="20"/>
              </w:rPr>
              <w:t>suitable</w:t>
            </w:r>
            <w:r>
              <w:rPr>
                <w:spacing w:val="2"/>
                <w:sz w:val="20"/>
              </w:rPr>
              <w:t xml:space="preserve"> </w:t>
            </w:r>
            <w:r>
              <w:rPr>
                <w:sz w:val="20"/>
              </w:rPr>
              <w:t>value.</w:t>
            </w:r>
          </w:p>
        </w:tc>
      </w:tr>
      <w:tr w:rsidR="002F7C0E" w14:paraId="2DD8F963" w14:textId="77777777" w:rsidTr="002E073E">
        <w:trPr>
          <w:trHeight w:val="462"/>
        </w:trPr>
        <w:tc>
          <w:tcPr>
            <w:tcW w:w="1414" w:type="dxa"/>
            <w:tcBorders>
              <w:top w:val="single" w:sz="2" w:space="0" w:color="000000"/>
              <w:left w:val="single" w:sz="2" w:space="0" w:color="000000"/>
              <w:bottom w:val="single" w:sz="2" w:space="0" w:color="000000"/>
              <w:right w:val="single" w:sz="2" w:space="0" w:color="000000"/>
            </w:tcBorders>
            <w:hideMark/>
          </w:tcPr>
          <w:p w14:paraId="4B277C0A" w14:textId="77777777" w:rsidR="002F7C0E" w:rsidRDefault="002F7C0E">
            <w:pPr>
              <w:pStyle w:val="TableParagraph"/>
              <w:spacing w:before="190"/>
              <w:ind w:left="120"/>
              <w:rPr>
                <w:sz w:val="20"/>
              </w:rPr>
            </w:pPr>
            <w:r>
              <w:rPr>
                <w:sz w:val="20"/>
              </w:rPr>
              <w:t>MCE-18</w:t>
            </w:r>
          </w:p>
        </w:tc>
        <w:tc>
          <w:tcPr>
            <w:tcW w:w="1414" w:type="dxa"/>
            <w:tcBorders>
              <w:top w:val="single" w:sz="2" w:space="0" w:color="000000"/>
              <w:left w:val="single" w:sz="2" w:space="0" w:color="000000"/>
              <w:bottom w:val="single" w:sz="2" w:space="0" w:color="000000"/>
              <w:right w:val="single" w:sz="2" w:space="0" w:color="000000"/>
            </w:tcBorders>
            <w:hideMark/>
          </w:tcPr>
          <w:p w14:paraId="44CE58A9" w14:textId="77777777" w:rsidR="002F7C0E" w:rsidRDefault="002F7C0E">
            <w:pPr>
              <w:pStyle w:val="TableParagraph"/>
              <w:spacing w:before="190"/>
              <w:ind w:left="198" w:right="194"/>
              <w:jc w:val="center"/>
              <w:rPr>
                <w:sz w:val="20"/>
              </w:rPr>
            </w:pPr>
            <w:r>
              <w:rPr>
                <w:sz w:val="20"/>
              </w:rPr>
              <w:t>83.474</w:t>
            </w:r>
          </w:p>
        </w:tc>
        <w:tc>
          <w:tcPr>
            <w:tcW w:w="1414" w:type="dxa"/>
            <w:tcBorders>
              <w:top w:val="single" w:sz="2" w:space="0" w:color="000000"/>
              <w:left w:val="single" w:sz="2" w:space="0" w:color="000000"/>
              <w:bottom w:val="single" w:sz="2" w:space="0" w:color="000000"/>
              <w:right w:val="single" w:sz="2" w:space="0" w:color="000000"/>
            </w:tcBorders>
            <w:hideMark/>
          </w:tcPr>
          <w:p w14:paraId="3B2C1ABF" w14:textId="77777777" w:rsidR="002F7C0E" w:rsidRDefault="002F7C0E">
            <w:pPr>
              <w:pStyle w:val="TableParagraph"/>
              <w:spacing w:before="177"/>
              <w:ind w:left="45"/>
              <w:jc w:val="center"/>
              <w:rPr>
                <w:rFonts w:ascii="MS UI Gothic" w:hAnsi="MS UI Gothic"/>
                <w:sz w:val="20"/>
              </w:rPr>
            </w:pPr>
            <w:r>
              <w:rPr>
                <w:rFonts w:ascii="MS UI Gothic" w:hAnsi="MS UI Gothic" w:hint="eastAsia"/>
                <w:color w:val="008000"/>
                <w:sz w:val="20"/>
              </w:rPr>
              <w:t>●</w:t>
            </w:r>
          </w:p>
        </w:tc>
        <w:tc>
          <w:tcPr>
            <w:tcW w:w="5186" w:type="dxa"/>
            <w:tcBorders>
              <w:top w:val="single" w:sz="2" w:space="0" w:color="000000"/>
              <w:left w:val="single" w:sz="2" w:space="0" w:color="000000"/>
              <w:bottom w:val="single" w:sz="2" w:space="0" w:color="000000"/>
              <w:right w:val="single" w:sz="2" w:space="0" w:color="000000"/>
            </w:tcBorders>
            <w:hideMark/>
          </w:tcPr>
          <w:p w14:paraId="260AD294" w14:textId="77777777" w:rsidR="002F7C0E" w:rsidRDefault="002F7C0E">
            <w:pPr>
              <w:pStyle w:val="TableParagraph"/>
              <w:numPr>
                <w:ilvl w:val="0"/>
                <w:numId w:val="8"/>
              </w:numPr>
              <w:tabs>
                <w:tab w:val="left" w:pos="376"/>
              </w:tabs>
              <w:spacing w:before="57" w:line="248" w:lineRule="exact"/>
              <w:ind w:hanging="257"/>
              <w:rPr>
                <w:sz w:val="20"/>
              </w:rPr>
            </w:pPr>
            <w:r>
              <w:rPr>
                <w:sz w:val="20"/>
              </w:rPr>
              <w:t>MCE-18 stands for medicinal chemistry evolution.</w:t>
            </w:r>
          </w:p>
          <w:p w14:paraId="083D2C4B" w14:textId="77777777" w:rsidR="002F7C0E" w:rsidRDefault="002F7C0E">
            <w:pPr>
              <w:pStyle w:val="TableParagraph"/>
              <w:numPr>
                <w:ilvl w:val="0"/>
                <w:numId w:val="8"/>
              </w:numPr>
              <w:tabs>
                <w:tab w:val="left" w:pos="376"/>
              </w:tabs>
              <w:spacing w:line="249" w:lineRule="exact"/>
              <w:ind w:hanging="257"/>
              <w:rPr>
                <w:sz w:val="20"/>
              </w:rPr>
            </w:pPr>
            <w:r>
              <w:rPr>
                <w:sz w:val="20"/>
              </w:rPr>
              <w:t>MCE-18</w:t>
            </w:r>
            <w:r>
              <w:rPr>
                <w:rFonts w:ascii="Symbol" w:hAnsi="Symbol"/>
                <w:sz w:val="20"/>
              </w:rPr>
              <w:t>³</w:t>
            </w:r>
            <w:r>
              <w:rPr>
                <w:sz w:val="20"/>
              </w:rPr>
              <w:t>45 is considered a suitable value.</w:t>
            </w:r>
          </w:p>
        </w:tc>
      </w:tr>
    </w:tbl>
    <w:p w14:paraId="77E41105" w14:textId="77777777" w:rsidR="002F7C0E" w:rsidRDefault="002F7C0E" w:rsidP="002F7C0E">
      <w:pPr>
        <w:rPr>
          <w:sz w:val="20"/>
        </w:rPr>
        <w:sectPr w:rsidR="002F7C0E">
          <w:pgSz w:w="11910" w:h="16840"/>
          <w:pgMar w:top="1100" w:right="1320" w:bottom="1240" w:left="1320" w:header="720" w:footer="1040" w:gutter="0"/>
          <w:pgNumType w:start="1"/>
          <w:cols w:space="720"/>
        </w:sect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54"/>
        <w:gridCol w:w="1354"/>
        <w:gridCol w:w="1354"/>
        <w:gridCol w:w="4964"/>
      </w:tblGrid>
      <w:tr w:rsidR="002F7C0E" w14:paraId="116F30BA" w14:textId="77777777" w:rsidTr="002F7C0E">
        <w:trPr>
          <w:trHeight w:val="1075"/>
        </w:trPr>
        <w:tc>
          <w:tcPr>
            <w:tcW w:w="1354" w:type="dxa"/>
            <w:tcBorders>
              <w:top w:val="single" w:sz="2" w:space="0" w:color="000000"/>
              <w:left w:val="single" w:sz="2" w:space="0" w:color="000000"/>
              <w:bottom w:val="single" w:sz="2" w:space="0" w:color="000000"/>
              <w:right w:val="single" w:sz="2" w:space="0" w:color="000000"/>
            </w:tcBorders>
          </w:tcPr>
          <w:p w14:paraId="036DE6A7" w14:textId="77777777" w:rsidR="002F7C0E" w:rsidRDefault="002F7C0E">
            <w:pPr>
              <w:pStyle w:val="TableParagraph"/>
              <w:rPr>
                <w:rFonts w:ascii="Arial"/>
                <w:b/>
              </w:rPr>
            </w:pPr>
          </w:p>
          <w:p w14:paraId="2A3655A2" w14:textId="77777777" w:rsidR="002F7C0E" w:rsidRDefault="002F7C0E">
            <w:pPr>
              <w:pStyle w:val="TableParagraph"/>
              <w:spacing w:before="177"/>
              <w:ind w:left="120"/>
              <w:rPr>
                <w:sz w:val="20"/>
              </w:rPr>
            </w:pPr>
            <w:proofErr w:type="spellStart"/>
            <w:r>
              <w:rPr>
                <w:sz w:val="20"/>
              </w:rPr>
              <w:t>NPscore</w:t>
            </w:r>
            <w:proofErr w:type="spellEnd"/>
          </w:p>
        </w:tc>
        <w:tc>
          <w:tcPr>
            <w:tcW w:w="1354" w:type="dxa"/>
            <w:tcBorders>
              <w:top w:val="single" w:sz="2" w:space="0" w:color="000000"/>
              <w:left w:val="single" w:sz="2" w:space="0" w:color="000000"/>
              <w:bottom w:val="single" w:sz="2" w:space="0" w:color="000000"/>
              <w:right w:val="single" w:sz="2" w:space="0" w:color="000000"/>
            </w:tcBorders>
          </w:tcPr>
          <w:p w14:paraId="017FEDD7" w14:textId="77777777" w:rsidR="002F7C0E" w:rsidRDefault="002F7C0E">
            <w:pPr>
              <w:pStyle w:val="TableParagraph"/>
              <w:rPr>
                <w:rFonts w:ascii="Arial"/>
                <w:b/>
              </w:rPr>
            </w:pPr>
          </w:p>
          <w:p w14:paraId="23D3F73F" w14:textId="77777777" w:rsidR="002F7C0E" w:rsidRDefault="002F7C0E">
            <w:pPr>
              <w:pStyle w:val="TableParagraph"/>
              <w:spacing w:before="177"/>
              <w:ind w:left="198" w:right="194"/>
              <w:jc w:val="center"/>
              <w:rPr>
                <w:sz w:val="20"/>
              </w:rPr>
            </w:pPr>
            <w:r>
              <w:rPr>
                <w:sz w:val="20"/>
              </w:rPr>
              <w:t>0.192</w:t>
            </w:r>
          </w:p>
        </w:tc>
        <w:tc>
          <w:tcPr>
            <w:tcW w:w="1354" w:type="dxa"/>
            <w:tcBorders>
              <w:top w:val="single" w:sz="2" w:space="0" w:color="000000"/>
              <w:left w:val="single" w:sz="2" w:space="0" w:color="000000"/>
              <w:bottom w:val="single" w:sz="2" w:space="0" w:color="000000"/>
              <w:right w:val="single" w:sz="2" w:space="0" w:color="000000"/>
            </w:tcBorders>
          </w:tcPr>
          <w:p w14:paraId="15C0F0D3" w14:textId="77777777" w:rsidR="002F7C0E" w:rsidRDefault="002F7C0E">
            <w:pPr>
              <w:pStyle w:val="TableParagraph"/>
              <w:rPr>
                <w:rFonts w:ascii="Arial"/>
                <w:b/>
              </w:rPr>
            </w:pPr>
          </w:p>
          <w:p w14:paraId="25E391D4" w14:textId="77777777" w:rsidR="002F7C0E" w:rsidRDefault="002F7C0E">
            <w:pPr>
              <w:pStyle w:val="TableParagraph"/>
              <w:spacing w:before="177"/>
              <w:ind w:left="4"/>
              <w:jc w:val="center"/>
              <w:rPr>
                <w:sz w:val="20"/>
              </w:rPr>
            </w:pPr>
            <w:r>
              <w:rPr>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265E3291" w14:textId="77777777" w:rsidR="002F7C0E" w:rsidRDefault="002F7C0E">
            <w:pPr>
              <w:pStyle w:val="TableParagraph"/>
              <w:numPr>
                <w:ilvl w:val="0"/>
                <w:numId w:val="9"/>
              </w:numPr>
              <w:tabs>
                <w:tab w:val="left" w:pos="376"/>
              </w:tabs>
              <w:spacing w:before="57" w:line="248" w:lineRule="exact"/>
              <w:ind w:left="375" w:hanging="257"/>
              <w:rPr>
                <w:sz w:val="20"/>
              </w:rPr>
            </w:pPr>
            <w:r>
              <w:rPr>
                <w:sz w:val="20"/>
              </w:rPr>
              <w:t>Natural product-likeness score.</w:t>
            </w:r>
          </w:p>
          <w:p w14:paraId="06C6BDE2" w14:textId="77777777" w:rsidR="002F7C0E" w:rsidRDefault="002F7C0E">
            <w:pPr>
              <w:pStyle w:val="TableParagraph"/>
              <w:numPr>
                <w:ilvl w:val="0"/>
                <w:numId w:val="9"/>
              </w:numPr>
              <w:tabs>
                <w:tab w:val="left" w:pos="376"/>
              </w:tabs>
              <w:ind w:right="301" w:firstLine="0"/>
              <w:rPr>
                <w:sz w:val="20"/>
              </w:rPr>
            </w:pPr>
            <w:r>
              <w:rPr>
                <w:sz w:val="20"/>
              </w:rPr>
              <w:t xml:space="preserve">This score is typically in the range from </w:t>
            </w:r>
            <w:r>
              <w:rPr>
                <w:rFonts w:ascii="Symbol" w:hAnsi="Symbol"/>
                <w:sz w:val="20"/>
              </w:rPr>
              <w:t>-</w:t>
            </w:r>
            <w:r>
              <w:rPr>
                <w:sz w:val="20"/>
              </w:rPr>
              <w:t>5 to 5.</w:t>
            </w:r>
            <w:r>
              <w:rPr>
                <w:spacing w:val="1"/>
                <w:sz w:val="20"/>
              </w:rPr>
              <w:t xml:space="preserve"> </w:t>
            </w:r>
            <w:r>
              <w:rPr>
                <w:sz w:val="20"/>
              </w:rPr>
              <w:t>The higher the score is, the higher the probability is</w:t>
            </w:r>
            <w:r>
              <w:rPr>
                <w:spacing w:val="-53"/>
                <w:sz w:val="20"/>
              </w:rPr>
              <w:t xml:space="preserve"> </w:t>
            </w:r>
            <w:r>
              <w:rPr>
                <w:sz w:val="20"/>
              </w:rPr>
              <w:t>that the molecule is a NP.</w:t>
            </w:r>
          </w:p>
        </w:tc>
      </w:tr>
      <w:tr w:rsidR="002F7C0E" w14:paraId="6E646BB1" w14:textId="77777777" w:rsidTr="002F7C0E">
        <w:trPr>
          <w:trHeight w:val="1075"/>
        </w:trPr>
        <w:tc>
          <w:tcPr>
            <w:tcW w:w="1354" w:type="dxa"/>
            <w:tcBorders>
              <w:top w:val="single" w:sz="2" w:space="0" w:color="000000"/>
              <w:left w:val="single" w:sz="2" w:space="0" w:color="000000"/>
              <w:bottom w:val="single" w:sz="2" w:space="0" w:color="000000"/>
              <w:right w:val="single" w:sz="2" w:space="0" w:color="000000"/>
            </w:tcBorders>
          </w:tcPr>
          <w:p w14:paraId="71AD1271" w14:textId="77777777" w:rsidR="002F7C0E" w:rsidRDefault="002F7C0E">
            <w:pPr>
              <w:pStyle w:val="TableParagraph"/>
              <w:spacing w:before="10"/>
              <w:rPr>
                <w:rFonts w:ascii="Arial"/>
                <w:b/>
                <w:sz w:val="26"/>
              </w:rPr>
            </w:pPr>
          </w:p>
          <w:p w14:paraId="17A96A75" w14:textId="77777777" w:rsidR="002F7C0E" w:rsidRDefault="002F7C0E">
            <w:pPr>
              <w:pStyle w:val="TableParagraph"/>
              <w:spacing w:before="1" w:line="247" w:lineRule="auto"/>
              <w:ind w:left="120" w:right="542"/>
              <w:rPr>
                <w:sz w:val="20"/>
              </w:rPr>
            </w:pPr>
            <w:r>
              <w:rPr>
                <w:sz w:val="20"/>
              </w:rPr>
              <w:t>Lipinski</w:t>
            </w:r>
            <w:r>
              <w:rPr>
                <w:spacing w:val="-54"/>
                <w:sz w:val="20"/>
              </w:rPr>
              <w:t xml:space="preserve"> </w:t>
            </w:r>
            <w:r>
              <w:rPr>
                <w:sz w:val="20"/>
              </w:rPr>
              <w:t>Rule</w:t>
            </w:r>
          </w:p>
        </w:tc>
        <w:tc>
          <w:tcPr>
            <w:tcW w:w="1354" w:type="dxa"/>
            <w:tcBorders>
              <w:top w:val="single" w:sz="2" w:space="0" w:color="000000"/>
              <w:left w:val="single" w:sz="2" w:space="0" w:color="000000"/>
              <w:bottom w:val="single" w:sz="2" w:space="0" w:color="000000"/>
              <w:right w:val="single" w:sz="2" w:space="0" w:color="000000"/>
            </w:tcBorders>
          </w:tcPr>
          <w:p w14:paraId="5965CDDD" w14:textId="77777777" w:rsidR="002F7C0E" w:rsidRDefault="002F7C0E">
            <w:pPr>
              <w:pStyle w:val="TableParagraph"/>
              <w:rPr>
                <w:rFonts w:ascii="Arial"/>
                <w:b/>
              </w:rPr>
            </w:pPr>
          </w:p>
          <w:p w14:paraId="31977C71" w14:textId="77777777" w:rsidR="002F7C0E" w:rsidRDefault="002F7C0E">
            <w:pPr>
              <w:pStyle w:val="TableParagraph"/>
              <w:spacing w:before="177"/>
              <w:ind w:left="198" w:right="194"/>
              <w:jc w:val="center"/>
              <w:rPr>
                <w:sz w:val="20"/>
              </w:rPr>
            </w:pPr>
            <w:r>
              <w:rPr>
                <w:sz w:val="20"/>
              </w:rPr>
              <w:t>Accepted</w:t>
            </w:r>
          </w:p>
        </w:tc>
        <w:tc>
          <w:tcPr>
            <w:tcW w:w="1354" w:type="dxa"/>
            <w:tcBorders>
              <w:top w:val="single" w:sz="2" w:space="0" w:color="000000"/>
              <w:left w:val="single" w:sz="2" w:space="0" w:color="000000"/>
              <w:bottom w:val="single" w:sz="2" w:space="0" w:color="000000"/>
              <w:right w:val="single" w:sz="2" w:space="0" w:color="000000"/>
            </w:tcBorders>
          </w:tcPr>
          <w:p w14:paraId="1B8DB6C5" w14:textId="77777777" w:rsidR="002F7C0E" w:rsidRDefault="002F7C0E">
            <w:pPr>
              <w:pStyle w:val="TableParagraph"/>
              <w:rPr>
                <w:rFonts w:ascii="Arial"/>
                <w:b/>
                <w:sz w:val="20"/>
              </w:rPr>
            </w:pPr>
          </w:p>
          <w:p w14:paraId="26A9747E" w14:textId="77777777" w:rsidR="002F7C0E" w:rsidRDefault="002F7C0E">
            <w:pPr>
              <w:pStyle w:val="TableParagraph"/>
              <w:spacing w:before="3"/>
              <w:rPr>
                <w:rFonts w:ascii="Arial"/>
                <w:b/>
                <w:sz w:val="16"/>
              </w:rPr>
            </w:pPr>
          </w:p>
          <w:p w14:paraId="4DE6BFD8"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285A928B" w14:textId="77777777" w:rsidR="002F7C0E" w:rsidRDefault="002F7C0E">
            <w:pPr>
              <w:pStyle w:val="TableParagraph"/>
              <w:numPr>
                <w:ilvl w:val="0"/>
                <w:numId w:val="10"/>
              </w:numPr>
              <w:tabs>
                <w:tab w:val="left" w:pos="376"/>
              </w:tabs>
              <w:spacing w:before="56" w:line="249" w:lineRule="exact"/>
              <w:ind w:left="375" w:hanging="257"/>
              <w:rPr>
                <w:sz w:val="20"/>
              </w:rPr>
            </w:pPr>
            <w:r>
              <w:rPr>
                <w:sz w:val="20"/>
              </w:rPr>
              <w:t xml:space="preserve">MW </w:t>
            </w:r>
            <w:r>
              <w:rPr>
                <w:rFonts w:ascii="Symbol" w:hAnsi="Symbol"/>
                <w:sz w:val="20"/>
              </w:rPr>
              <w:t>£</w:t>
            </w:r>
            <w:r>
              <w:rPr>
                <w:rFonts w:ascii="Times New Roman" w:hAnsi="Times New Roman"/>
                <w:spacing w:val="5"/>
                <w:sz w:val="20"/>
              </w:rPr>
              <w:t xml:space="preserve"> </w:t>
            </w:r>
            <w:r>
              <w:rPr>
                <w:sz w:val="20"/>
              </w:rPr>
              <w:t xml:space="preserve">500; </w:t>
            </w:r>
            <w:proofErr w:type="spellStart"/>
            <w:r>
              <w:rPr>
                <w:sz w:val="20"/>
              </w:rPr>
              <w:t>logP</w:t>
            </w:r>
            <w:proofErr w:type="spellEnd"/>
            <w:r>
              <w:rPr>
                <w:sz w:val="20"/>
              </w:rPr>
              <w:t xml:space="preserve"> </w:t>
            </w:r>
            <w:r>
              <w:rPr>
                <w:rFonts w:ascii="Symbol" w:hAnsi="Symbol"/>
                <w:sz w:val="20"/>
              </w:rPr>
              <w:t>£</w:t>
            </w:r>
            <w:r>
              <w:rPr>
                <w:rFonts w:ascii="Times New Roman" w:hAnsi="Times New Roman"/>
                <w:spacing w:val="5"/>
                <w:sz w:val="20"/>
              </w:rPr>
              <w:t xml:space="preserve"> </w:t>
            </w:r>
            <w:r>
              <w:rPr>
                <w:sz w:val="20"/>
              </w:rPr>
              <w:t xml:space="preserve">5; </w:t>
            </w:r>
            <w:proofErr w:type="spellStart"/>
            <w:r>
              <w:rPr>
                <w:sz w:val="20"/>
              </w:rPr>
              <w:t>Hacc</w:t>
            </w:r>
            <w:proofErr w:type="spellEnd"/>
            <w:r>
              <w:rPr>
                <w:sz w:val="20"/>
              </w:rPr>
              <w:t xml:space="preserve"> </w:t>
            </w:r>
            <w:r>
              <w:rPr>
                <w:rFonts w:ascii="Symbol" w:hAnsi="Symbol"/>
                <w:sz w:val="20"/>
              </w:rPr>
              <w:t>£</w:t>
            </w:r>
            <w:r>
              <w:rPr>
                <w:rFonts w:ascii="Times New Roman" w:hAnsi="Times New Roman"/>
                <w:spacing w:val="5"/>
                <w:sz w:val="20"/>
              </w:rPr>
              <w:t xml:space="preserve"> </w:t>
            </w:r>
            <w:r>
              <w:rPr>
                <w:sz w:val="20"/>
              </w:rPr>
              <w:t xml:space="preserve">10; </w:t>
            </w:r>
            <w:proofErr w:type="spellStart"/>
            <w:r>
              <w:rPr>
                <w:sz w:val="20"/>
              </w:rPr>
              <w:t>Hdon</w:t>
            </w:r>
            <w:proofErr w:type="spellEnd"/>
            <w:r>
              <w:rPr>
                <w:sz w:val="20"/>
              </w:rPr>
              <w:t xml:space="preserve"> </w:t>
            </w:r>
            <w:r>
              <w:rPr>
                <w:rFonts w:ascii="Symbol" w:hAnsi="Symbol"/>
                <w:sz w:val="20"/>
              </w:rPr>
              <w:t>£</w:t>
            </w:r>
            <w:r>
              <w:rPr>
                <w:rFonts w:ascii="Times New Roman" w:hAnsi="Times New Roman"/>
                <w:spacing w:val="5"/>
                <w:sz w:val="20"/>
              </w:rPr>
              <w:t xml:space="preserve"> </w:t>
            </w:r>
            <w:r>
              <w:rPr>
                <w:sz w:val="20"/>
              </w:rPr>
              <w:t>5</w:t>
            </w:r>
          </w:p>
          <w:p w14:paraId="35B4A681" w14:textId="77777777" w:rsidR="002F7C0E" w:rsidRDefault="002F7C0E">
            <w:pPr>
              <w:pStyle w:val="TableParagraph"/>
              <w:numPr>
                <w:ilvl w:val="0"/>
                <w:numId w:val="10"/>
              </w:numPr>
              <w:tabs>
                <w:tab w:val="left" w:pos="376"/>
              </w:tabs>
              <w:ind w:right="902" w:firstLine="0"/>
              <w:rPr>
                <w:sz w:val="20"/>
              </w:rPr>
            </w:pPr>
            <w:r>
              <w:rPr>
                <w:sz w:val="20"/>
              </w:rPr>
              <w:t>If two properties are out of range, a poor</w:t>
            </w:r>
            <w:r>
              <w:rPr>
                <w:spacing w:val="1"/>
                <w:sz w:val="20"/>
              </w:rPr>
              <w:t xml:space="preserve"> </w:t>
            </w:r>
            <w:r>
              <w:rPr>
                <w:sz w:val="20"/>
              </w:rPr>
              <w:t>absorption or permeability is possible, one is</w:t>
            </w:r>
            <w:r>
              <w:rPr>
                <w:spacing w:val="-54"/>
                <w:sz w:val="20"/>
              </w:rPr>
              <w:t xml:space="preserve"> </w:t>
            </w:r>
            <w:r>
              <w:rPr>
                <w:sz w:val="20"/>
              </w:rPr>
              <w:t>acceptable.</w:t>
            </w:r>
          </w:p>
        </w:tc>
      </w:tr>
      <w:tr w:rsidR="002F7C0E" w14:paraId="45EBFB62"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tcPr>
          <w:p w14:paraId="1D84546C" w14:textId="77777777" w:rsidR="002F7C0E" w:rsidRDefault="002F7C0E">
            <w:pPr>
              <w:pStyle w:val="TableParagraph"/>
              <w:spacing w:before="10"/>
              <w:rPr>
                <w:rFonts w:ascii="Arial"/>
                <w:b/>
                <w:sz w:val="26"/>
              </w:rPr>
            </w:pPr>
          </w:p>
          <w:p w14:paraId="78A77518" w14:textId="77777777" w:rsidR="002F7C0E" w:rsidRDefault="002F7C0E">
            <w:pPr>
              <w:pStyle w:val="TableParagraph"/>
              <w:spacing w:before="1"/>
              <w:ind w:left="120"/>
              <w:rPr>
                <w:sz w:val="20"/>
              </w:rPr>
            </w:pPr>
            <w:r>
              <w:rPr>
                <w:sz w:val="20"/>
              </w:rPr>
              <w:t>Pfizer Rule</w:t>
            </w:r>
          </w:p>
        </w:tc>
        <w:tc>
          <w:tcPr>
            <w:tcW w:w="1354" w:type="dxa"/>
            <w:tcBorders>
              <w:top w:val="single" w:sz="2" w:space="0" w:color="000000"/>
              <w:left w:val="single" w:sz="2" w:space="0" w:color="000000"/>
              <w:bottom w:val="single" w:sz="2" w:space="0" w:color="000000"/>
              <w:right w:val="single" w:sz="2" w:space="0" w:color="000000"/>
            </w:tcBorders>
          </w:tcPr>
          <w:p w14:paraId="4B440CF5" w14:textId="77777777" w:rsidR="002F7C0E" w:rsidRDefault="002F7C0E">
            <w:pPr>
              <w:pStyle w:val="TableParagraph"/>
              <w:spacing w:before="10"/>
              <w:rPr>
                <w:rFonts w:ascii="Arial"/>
                <w:b/>
                <w:sz w:val="26"/>
              </w:rPr>
            </w:pPr>
          </w:p>
          <w:p w14:paraId="0CB1FAEF" w14:textId="77777777" w:rsidR="002F7C0E" w:rsidRDefault="002F7C0E">
            <w:pPr>
              <w:pStyle w:val="TableParagraph"/>
              <w:spacing w:before="1"/>
              <w:ind w:left="198" w:right="194"/>
              <w:jc w:val="center"/>
              <w:rPr>
                <w:sz w:val="20"/>
              </w:rPr>
            </w:pPr>
            <w:r>
              <w:rPr>
                <w:sz w:val="20"/>
              </w:rPr>
              <w:t>Accepted</w:t>
            </w:r>
          </w:p>
        </w:tc>
        <w:tc>
          <w:tcPr>
            <w:tcW w:w="1354" w:type="dxa"/>
            <w:tcBorders>
              <w:top w:val="single" w:sz="2" w:space="0" w:color="000000"/>
              <w:left w:val="single" w:sz="2" w:space="0" w:color="000000"/>
              <w:bottom w:val="single" w:sz="2" w:space="0" w:color="000000"/>
              <w:right w:val="single" w:sz="2" w:space="0" w:color="000000"/>
            </w:tcBorders>
          </w:tcPr>
          <w:p w14:paraId="22F453D4" w14:textId="77777777" w:rsidR="002F7C0E" w:rsidRDefault="002F7C0E">
            <w:pPr>
              <w:pStyle w:val="TableParagraph"/>
              <w:spacing w:before="10"/>
              <w:rPr>
                <w:rFonts w:ascii="Arial"/>
                <w:b/>
                <w:sz w:val="25"/>
              </w:rPr>
            </w:pPr>
          </w:p>
          <w:p w14:paraId="1240BDEA"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58C281F0" w14:textId="77777777" w:rsidR="002F7C0E" w:rsidRDefault="002F7C0E">
            <w:pPr>
              <w:pStyle w:val="TableParagraph"/>
              <w:spacing w:before="70"/>
              <w:ind w:left="119"/>
              <w:rPr>
                <w:sz w:val="20"/>
              </w:rPr>
            </w:pPr>
            <w:proofErr w:type="spellStart"/>
            <w:r>
              <w:rPr>
                <w:sz w:val="20"/>
              </w:rPr>
              <w:t>logP</w:t>
            </w:r>
            <w:proofErr w:type="spellEnd"/>
            <w:r>
              <w:rPr>
                <w:sz w:val="20"/>
              </w:rPr>
              <w:t xml:space="preserve"> &gt; 3; TPSA &lt; 75</w:t>
            </w:r>
          </w:p>
          <w:p w14:paraId="38FFBC6A" w14:textId="77777777" w:rsidR="002F7C0E" w:rsidRDefault="002F7C0E">
            <w:pPr>
              <w:pStyle w:val="TableParagraph"/>
              <w:spacing w:before="10" w:line="247" w:lineRule="auto"/>
              <w:ind w:left="119" w:right="478"/>
              <w:rPr>
                <w:sz w:val="20"/>
              </w:rPr>
            </w:pPr>
            <w:r>
              <w:rPr>
                <w:sz w:val="20"/>
              </w:rPr>
              <w:t>Compounds with a high log P (&gt;3) and low TPSA</w:t>
            </w:r>
            <w:r>
              <w:rPr>
                <w:spacing w:val="-54"/>
                <w:sz w:val="20"/>
              </w:rPr>
              <w:t xml:space="preserve"> </w:t>
            </w:r>
            <w:r>
              <w:rPr>
                <w:sz w:val="20"/>
              </w:rPr>
              <w:t>(&lt;75) are likely to be toxic.</w:t>
            </w:r>
          </w:p>
        </w:tc>
      </w:tr>
      <w:tr w:rsidR="002F7C0E" w14:paraId="7A642C29"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tcPr>
          <w:p w14:paraId="0917C662" w14:textId="77777777" w:rsidR="002F7C0E" w:rsidRDefault="002F7C0E">
            <w:pPr>
              <w:pStyle w:val="TableParagraph"/>
              <w:spacing w:before="10"/>
              <w:rPr>
                <w:rFonts w:ascii="Arial"/>
                <w:b/>
                <w:sz w:val="26"/>
              </w:rPr>
            </w:pPr>
          </w:p>
          <w:p w14:paraId="702240AA" w14:textId="77777777" w:rsidR="002F7C0E" w:rsidRDefault="002F7C0E">
            <w:pPr>
              <w:pStyle w:val="TableParagraph"/>
              <w:spacing w:before="1"/>
              <w:ind w:left="120"/>
              <w:rPr>
                <w:sz w:val="20"/>
              </w:rPr>
            </w:pPr>
            <w:r>
              <w:rPr>
                <w:sz w:val="20"/>
              </w:rPr>
              <w:t>GSK Rule</w:t>
            </w:r>
          </w:p>
        </w:tc>
        <w:tc>
          <w:tcPr>
            <w:tcW w:w="1354" w:type="dxa"/>
            <w:tcBorders>
              <w:top w:val="single" w:sz="2" w:space="0" w:color="000000"/>
              <w:left w:val="single" w:sz="2" w:space="0" w:color="000000"/>
              <w:bottom w:val="single" w:sz="2" w:space="0" w:color="000000"/>
              <w:right w:val="single" w:sz="2" w:space="0" w:color="000000"/>
            </w:tcBorders>
          </w:tcPr>
          <w:p w14:paraId="6D17BA42" w14:textId="77777777" w:rsidR="002F7C0E" w:rsidRDefault="002F7C0E">
            <w:pPr>
              <w:pStyle w:val="TableParagraph"/>
              <w:spacing w:before="10"/>
              <w:rPr>
                <w:rFonts w:ascii="Arial"/>
                <w:b/>
                <w:sz w:val="26"/>
              </w:rPr>
            </w:pPr>
          </w:p>
          <w:p w14:paraId="42516399" w14:textId="77777777" w:rsidR="002F7C0E" w:rsidRDefault="002F7C0E">
            <w:pPr>
              <w:pStyle w:val="TableParagraph"/>
              <w:spacing w:before="1"/>
              <w:ind w:left="198" w:right="194"/>
              <w:jc w:val="center"/>
              <w:rPr>
                <w:sz w:val="20"/>
              </w:rPr>
            </w:pPr>
            <w:r>
              <w:rPr>
                <w:sz w:val="20"/>
              </w:rPr>
              <w:t>Accepted</w:t>
            </w:r>
          </w:p>
        </w:tc>
        <w:tc>
          <w:tcPr>
            <w:tcW w:w="1354" w:type="dxa"/>
            <w:tcBorders>
              <w:top w:val="single" w:sz="2" w:space="0" w:color="000000"/>
              <w:left w:val="single" w:sz="2" w:space="0" w:color="000000"/>
              <w:bottom w:val="single" w:sz="2" w:space="0" w:color="000000"/>
              <w:right w:val="single" w:sz="2" w:space="0" w:color="000000"/>
            </w:tcBorders>
          </w:tcPr>
          <w:p w14:paraId="4766B488" w14:textId="77777777" w:rsidR="002F7C0E" w:rsidRDefault="002F7C0E">
            <w:pPr>
              <w:pStyle w:val="TableParagraph"/>
              <w:spacing w:before="10"/>
              <w:rPr>
                <w:rFonts w:ascii="Arial"/>
                <w:b/>
                <w:sz w:val="25"/>
              </w:rPr>
            </w:pPr>
          </w:p>
          <w:p w14:paraId="4A2897FA"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125B321B" w14:textId="77777777" w:rsidR="002F7C0E" w:rsidRDefault="002F7C0E">
            <w:pPr>
              <w:pStyle w:val="TableParagraph"/>
              <w:numPr>
                <w:ilvl w:val="0"/>
                <w:numId w:val="11"/>
              </w:numPr>
              <w:tabs>
                <w:tab w:val="left" w:pos="376"/>
              </w:tabs>
              <w:spacing w:before="56" w:line="249" w:lineRule="exact"/>
              <w:ind w:left="375" w:hanging="257"/>
              <w:rPr>
                <w:sz w:val="20"/>
              </w:rPr>
            </w:pPr>
            <w:r>
              <w:rPr>
                <w:sz w:val="20"/>
              </w:rPr>
              <w:t xml:space="preserve">MW </w:t>
            </w:r>
            <w:r>
              <w:rPr>
                <w:rFonts w:ascii="Symbol" w:hAnsi="Symbol"/>
                <w:sz w:val="20"/>
              </w:rPr>
              <w:t>£</w:t>
            </w:r>
            <w:r>
              <w:rPr>
                <w:rFonts w:ascii="Times New Roman" w:hAnsi="Times New Roman"/>
                <w:spacing w:val="5"/>
                <w:sz w:val="20"/>
              </w:rPr>
              <w:t xml:space="preserve"> </w:t>
            </w:r>
            <w:r>
              <w:rPr>
                <w:sz w:val="20"/>
              </w:rPr>
              <w:t xml:space="preserve">400; </w:t>
            </w:r>
            <w:proofErr w:type="spellStart"/>
            <w:r>
              <w:rPr>
                <w:sz w:val="20"/>
              </w:rPr>
              <w:t>logP</w:t>
            </w:r>
            <w:proofErr w:type="spellEnd"/>
            <w:r>
              <w:rPr>
                <w:sz w:val="20"/>
              </w:rPr>
              <w:t xml:space="preserve"> </w:t>
            </w:r>
            <w:r>
              <w:rPr>
                <w:rFonts w:ascii="Symbol" w:hAnsi="Symbol"/>
                <w:sz w:val="20"/>
              </w:rPr>
              <w:t>£</w:t>
            </w:r>
            <w:r>
              <w:rPr>
                <w:rFonts w:ascii="Times New Roman" w:hAnsi="Times New Roman"/>
                <w:spacing w:val="5"/>
                <w:sz w:val="20"/>
              </w:rPr>
              <w:t xml:space="preserve"> </w:t>
            </w:r>
            <w:r>
              <w:rPr>
                <w:sz w:val="20"/>
              </w:rPr>
              <w:t>4</w:t>
            </w:r>
          </w:p>
          <w:p w14:paraId="4F9DF8F2" w14:textId="77777777" w:rsidR="002F7C0E" w:rsidRDefault="002F7C0E">
            <w:pPr>
              <w:pStyle w:val="TableParagraph"/>
              <w:numPr>
                <w:ilvl w:val="0"/>
                <w:numId w:val="11"/>
              </w:numPr>
              <w:tabs>
                <w:tab w:val="left" w:pos="376"/>
              </w:tabs>
              <w:spacing w:line="232" w:lineRule="auto"/>
              <w:ind w:right="324" w:firstLine="0"/>
              <w:rPr>
                <w:sz w:val="20"/>
              </w:rPr>
            </w:pPr>
            <w:r>
              <w:rPr>
                <w:sz w:val="20"/>
              </w:rPr>
              <w:t>Compounds satisfying the GSK rule may have a</w:t>
            </w:r>
            <w:r>
              <w:rPr>
                <w:spacing w:val="-54"/>
                <w:sz w:val="20"/>
              </w:rPr>
              <w:t xml:space="preserve"> </w:t>
            </w:r>
            <w:r>
              <w:rPr>
                <w:sz w:val="20"/>
              </w:rPr>
              <w:t>more favorable ADMET profile</w:t>
            </w:r>
          </w:p>
        </w:tc>
      </w:tr>
      <w:tr w:rsidR="002F7C0E" w14:paraId="13A147E6"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hideMark/>
          </w:tcPr>
          <w:p w14:paraId="6FFF0F56" w14:textId="77777777" w:rsidR="002F7C0E" w:rsidRDefault="002F7C0E">
            <w:pPr>
              <w:pStyle w:val="TableParagraph"/>
              <w:spacing w:before="190" w:line="247" w:lineRule="auto"/>
              <w:ind w:left="120" w:right="486"/>
              <w:rPr>
                <w:sz w:val="20"/>
              </w:rPr>
            </w:pPr>
            <w:r>
              <w:rPr>
                <w:sz w:val="20"/>
              </w:rPr>
              <w:t>Golden</w:t>
            </w:r>
            <w:r>
              <w:rPr>
                <w:spacing w:val="1"/>
                <w:sz w:val="20"/>
              </w:rPr>
              <w:t xml:space="preserve"> </w:t>
            </w:r>
            <w:r>
              <w:rPr>
                <w:sz w:val="20"/>
              </w:rPr>
              <w:t>Triangle</w:t>
            </w:r>
          </w:p>
        </w:tc>
        <w:tc>
          <w:tcPr>
            <w:tcW w:w="1354" w:type="dxa"/>
            <w:tcBorders>
              <w:top w:val="single" w:sz="2" w:space="0" w:color="000000"/>
              <w:left w:val="single" w:sz="2" w:space="0" w:color="000000"/>
              <w:bottom w:val="single" w:sz="2" w:space="0" w:color="000000"/>
              <w:right w:val="single" w:sz="2" w:space="0" w:color="000000"/>
            </w:tcBorders>
          </w:tcPr>
          <w:p w14:paraId="26FC4C8E" w14:textId="77777777" w:rsidR="002F7C0E" w:rsidRDefault="002F7C0E">
            <w:pPr>
              <w:pStyle w:val="TableParagraph"/>
              <w:spacing w:before="10"/>
              <w:rPr>
                <w:rFonts w:ascii="Arial"/>
                <w:b/>
                <w:sz w:val="26"/>
              </w:rPr>
            </w:pPr>
          </w:p>
          <w:p w14:paraId="3811B63C" w14:textId="77777777" w:rsidR="002F7C0E" w:rsidRDefault="002F7C0E">
            <w:pPr>
              <w:pStyle w:val="TableParagraph"/>
              <w:spacing w:before="1"/>
              <w:ind w:left="198" w:right="194"/>
              <w:jc w:val="center"/>
              <w:rPr>
                <w:sz w:val="20"/>
              </w:rPr>
            </w:pPr>
            <w:r>
              <w:rPr>
                <w:sz w:val="20"/>
              </w:rPr>
              <w:t>Accepted</w:t>
            </w:r>
          </w:p>
        </w:tc>
        <w:tc>
          <w:tcPr>
            <w:tcW w:w="1354" w:type="dxa"/>
            <w:tcBorders>
              <w:top w:val="single" w:sz="2" w:space="0" w:color="000000"/>
              <w:left w:val="single" w:sz="2" w:space="0" w:color="000000"/>
              <w:bottom w:val="single" w:sz="2" w:space="0" w:color="000000"/>
              <w:right w:val="single" w:sz="2" w:space="0" w:color="000000"/>
            </w:tcBorders>
          </w:tcPr>
          <w:p w14:paraId="1A88DCB0" w14:textId="77777777" w:rsidR="002F7C0E" w:rsidRDefault="002F7C0E">
            <w:pPr>
              <w:pStyle w:val="TableParagraph"/>
              <w:spacing w:before="10"/>
              <w:rPr>
                <w:rFonts w:ascii="Arial"/>
                <w:b/>
                <w:sz w:val="25"/>
              </w:rPr>
            </w:pPr>
          </w:p>
          <w:p w14:paraId="0F870AF5"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4ABC0343" w14:textId="77777777" w:rsidR="002F7C0E" w:rsidRDefault="002F7C0E">
            <w:pPr>
              <w:pStyle w:val="TableParagraph"/>
              <w:numPr>
                <w:ilvl w:val="0"/>
                <w:numId w:val="12"/>
              </w:numPr>
              <w:tabs>
                <w:tab w:val="left" w:pos="376"/>
              </w:tabs>
              <w:spacing w:before="56" w:line="249" w:lineRule="exact"/>
              <w:ind w:left="375" w:hanging="257"/>
              <w:rPr>
                <w:sz w:val="20"/>
              </w:rPr>
            </w:pPr>
            <w:r>
              <w:rPr>
                <w:sz w:val="20"/>
              </w:rPr>
              <w:t xml:space="preserve">200 </w:t>
            </w:r>
            <w:r>
              <w:rPr>
                <w:rFonts w:ascii="Symbol" w:hAnsi="Symbol"/>
                <w:sz w:val="20"/>
              </w:rPr>
              <w:t>£</w:t>
            </w:r>
            <w:r>
              <w:rPr>
                <w:rFonts w:ascii="Times New Roman" w:hAnsi="Times New Roman"/>
                <w:spacing w:val="5"/>
                <w:sz w:val="20"/>
              </w:rPr>
              <w:t xml:space="preserve"> </w:t>
            </w:r>
            <w:r>
              <w:rPr>
                <w:sz w:val="20"/>
              </w:rPr>
              <w:t xml:space="preserve">MW </w:t>
            </w:r>
            <w:r>
              <w:rPr>
                <w:rFonts w:ascii="Symbol" w:hAnsi="Symbol"/>
                <w:sz w:val="20"/>
              </w:rPr>
              <w:t>£</w:t>
            </w:r>
            <w:r>
              <w:rPr>
                <w:rFonts w:ascii="Times New Roman" w:hAnsi="Times New Roman"/>
                <w:spacing w:val="5"/>
                <w:sz w:val="20"/>
              </w:rPr>
              <w:t xml:space="preserve"> </w:t>
            </w:r>
            <w:r>
              <w:rPr>
                <w:sz w:val="20"/>
              </w:rPr>
              <w:t xml:space="preserve">50; -2 </w:t>
            </w:r>
            <w:r>
              <w:rPr>
                <w:rFonts w:ascii="Symbol" w:hAnsi="Symbol"/>
                <w:sz w:val="20"/>
              </w:rPr>
              <w:t>£</w:t>
            </w:r>
            <w:r>
              <w:rPr>
                <w:rFonts w:ascii="Times New Roman" w:hAnsi="Times New Roman"/>
                <w:spacing w:val="5"/>
                <w:sz w:val="20"/>
              </w:rPr>
              <w:t xml:space="preserve"> </w:t>
            </w:r>
            <w:proofErr w:type="spellStart"/>
            <w:r>
              <w:rPr>
                <w:sz w:val="20"/>
              </w:rPr>
              <w:t>logD</w:t>
            </w:r>
            <w:proofErr w:type="spellEnd"/>
            <w:r>
              <w:rPr>
                <w:sz w:val="20"/>
              </w:rPr>
              <w:t xml:space="preserve"> </w:t>
            </w:r>
            <w:r>
              <w:rPr>
                <w:rFonts w:ascii="Symbol" w:hAnsi="Symbol"/>
                <w:sz w:val="20"/>
              </w:rPr>
              <w:t>£</w:t>
            </w:r>
            <w:r>
              <w:rPr>
                <w:rFonts w:ascii="Times New Roman" w:hAnsi="Times New Roman"/>
                <w:spacing w:val="5"/>
                <w:sz w:val="20"/>
              </w:rPr>
              <w:t xml:space="preserve"> </w:t>
            </w:r>
            <w:r>
              <w:rPr>
                <w:sz w:val="20"/>
              </w:rPr>
              <w:t>5</w:t>
            </w:r>
          </w:p>
          <w:p w14:paraId="29D60C44" w14:textId="77777777" w:rsidR="002F7C0E" w:rsidRDefault="002F7C0E">
            <w:pPr>
              <w:pStyle w:val="TableParagraph"/>
              <w:numPr>
                <w:ilvl w:val="0"/>
                <w:numId w:val="12"/>
              </w:numPr>
              <w:tabs>
                <w:tab w:val="left" w:pos="376"/>
              </w:tabs>
              <w:spacing w:line="232" w:lineRule="auto"/>
              <w:ind w:right="413" w:firstLine="0"/>
              <w:rPr>
                <w:sz w:val="20"/>
              </w:rPr>
            </w:pPr>
            <w:r>
              <w:rPr>
                <w:sz w:val="20"/>
              </w:rPr>
              <w:t>Compounds satisfying the Golden Triangle rule</w:t>
            </w:r>
            <w:r>
              <w:rPr>
                <w:spacing w:val="-54"/>
                <w:sz w:val="20"/>
              </w:rPr>
              <w:t xml:space="preserve"> </w:t>
            </w:r>
            <w:r>
              <w:rPr>
                <w:sz w:val="20"/>
              </w:rPr>
              <w:t>may have a more favorable ADMET profile.</w:t>
            </w:r>
          </w:p>
        </w:tc>
      </w:tr>
      <w:tr w:rsidR="002F7C0E" w14:paraId="6331F2D3" w14:textId="77777777" w:rsidTr="002F7C0E">
        <w:trPr>
          <w:trHeight w:val="595"/>
        </w:trPr>
        <w:tc>
          <w:tcPr>
            <w:tcW w:w="1354" w:type="dxa"/>
            <w:tcBorders>
              <w:top w:val="single" w:sz="2" w:space="0" w:color="000000"/>
              <w:left w:val="single" w:sz="2" w:space="0" w:color="000000"/>
              <w:bottom w:val="single" w:sz="2" w:space="0" w:color="000000"/>
              <w:right w:val="single" w:sz="2" w:space="0" w:color="000000"/>
            </w:tcBorders>
            <w:hideMark/>
          </w:tcPr>
          <w:p w14:paraId="2D500910" w14:textId="77777777" w:rsidR="002F7C0E" w:rsidRDefault="002F7C0E">
            <w:pPr>
              <w:pStyle w:val="TableParagraph"/>
              <w:spacing w:before="190"/>
              <w:ind w:left="120"/>
              <w:rPr>
                <w:sz w:val="20"/>
              </w:rPr>
            </w:pPr>
            <w:r>
              <w:rPr>
                <w:sz w:val="20"/>
              </w:rPr>
              <w:t>PAINS</w:t>
            </w:r>
          </w:p>
        </w:tc>
        <w:tc>
          <w:tcPr>
            <w:tcW w:w="1354" w:type="dxa"/>
            <w:tcBorders>
              <w:top w:val="single" w:sz="2" w:space="0" w:color="000000"/>
              <w:left w:val="single" w:sz="2" w:space="0" w:color="000000"/>
              <w:bottom w:val="single" w:sz="2" w:space="0" w:color="000000"/>
              <w:right w:val="single" w:sz="2" w:space="0" w:color="000000"/>
            </w:tcBorders>
            <w:hideMark/>
          </w:tcPr>
          <w:p w14:paraId="727881BA" w14:textId="77777777" w:rsidR="002F7C0E" w:rsidRDefault="002F7C0E">
            <w:pPr>
              <w:pStyle w:val="TableParagraph"/>
              <w:spacing w:before="190"/>
              <w:ind w:left="198" w:right="194"/>
              <w:jc w:val="center"/>
              <w:rPr>
                <w:sz w:val="20"/>
              </w:rPr>
            </w:pPr>
            <w:r>
              <w:rPr>
                <w:sz w:val="20"/>
              </w:rPr>
              <w:t>2 alerts</w:t>
            </w:r>
          </w:p>
        </w:tc>
        <w:tc>
          <w:tcPr>
            <w:tcW w:w="1354" w:type="dxa"/>
            <w:tcBorders>
              <w:top w:val="single" w:sz="2" w:space="0" w:color="000000"/>
              <w:left w:val="single" w:sz="2" w:space="0" w:color="000000"/>
              <w:bottom w:val="single" w:sz="2" w:space="0" w:color="000000"/>
              <w:right w:val="single" w:sz="2" w:space="0" w:color="000000"/>
            </w:tcBorders>
            <w:hideMark/>
          </w:tcPr>
          <w:p w14:paraId="1415B163" w14:textId="77777777" w:rsidR="002F7C0E" w:rsidRDefault="002F7C0E">
            <w:pPr>
              <w:pStyle w:val="TableParagraph"/>
              <w:spacing w:before="190"/>
              <w:ind w:left="4"/>
              <w:jc w:val="center"/>
              <w:rPr>
                <w:sz w:val="20"/>
              </w:rPr>
            </w:pPr>
            <w:r>
              <w:rPr>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1F42DD56" w14:textId="77777777" w:rsidR="002F7C0E" w:rsidRDefault="002F7C0E">
            <w:pPr>
              <w:pStyle w:val="TableParagraph"/>
              <w:spacing w:before="70" w:line="247" w:lineRule="auto"/>
              <w:ind w:left="119" w:right="123"/>
              <w:rPr>
                <w:sz w:val="20"/>
              </w:rPr>
            </w:pPr>
            <w:r>
              <w:rPr>
                <w:sz w:val="20"/>
              </w:rPr>
              <w:t>Pan Assay Interference Compounds, frequent hitters,</w:t>
            </w:r>
            <w:r>
              <w:rPr>
                <w:spacing w:val="-53"/>
                <w:sz w:val="20"/>
              </w:rPr>
              <w:t xml:space="preserve"> </w:t>
            </w:r>
            <w:r>
              <w:rPr>
                <w:sz w:val="20"/>
              </w:rPr>
              <w:t>Alpha-screen artifacts and reactive compound.</w:t>
            </w:r>
          </w:p>
        </w:tc>
      </w:tr>
      <w:tr w:rsidR="002F7C0E" w14:paraId="37BFD77E" w14:textId="77777777" w:rsidTr="002F7C0E">
        <w:trPr>
          <w:trHeight w:val="595"/>
        </w:trPr>
        <w:tc>
          <w:tcPr>
            <w:tcW w:w="1354" w:type="dxa"/>
            <w:tcBorders>
              <w:top w:val="single" w:sz="2" w:space="0" w:color="000000"/>
              <w:left w:val="single" w:sz="2" w:space="0" w:color="000000"/>
              <w:bottom w:val="single" w:sz="2" w:space="0" w:color="000000"/>
              <w:right w:val="single" w:sz="2" w:space="0" w:color="000000"/>
            </w:tcBorders>
            <w:hideMark/>
          </w:tcPr>
          <w:p w14:paraId="0E3D668A" w14:textId="77777777" w:rsidR="002F7C0E" w:rsidRDefault="002F7C0E">
            <w:pPr>
              <w:pStyle w:val="TableParagraph"/>
              <w:spacing w:before="70" w:line="247" w:lineRule="auto"/>
              <w:ind w:left="120" w:right="519"/>
              <w:rPr>
                <w:sz w:val="20"/>
              </w:rPr>
            </w:pPr>
            <w:r>
              <w:rPr>
                <w:sz w:val="20"/>
              </w:rPr>
              <w:t>ALARM</w:t>
            </w:r>
            <w:r>
              <w:rPr>
                <w:spacing w:val="-54"/>
                <w:sz w:val="20"/>
              </w:rPr>
              <w:t xml:space="preserve"> </w:t>
            </w:r>
            <w:r>
              <w:rPr>
                <w:sz w:val="20"/>
              </w:rPr>
              <w:t>NMR</w:t>
            </w:r>
          </w:p>
        </w:tc>
        <w:tc>
          <w:tcPr>
            <w:tcW w:w="1354" w:type="dxa"/>
            <w:tcBorders>
              <w:top w:val="single" w:sz="2" w:space="0" w:color="000000"/>
              <w:left w:val="single" w:sz="2" w:space="0" w:color="000000"/>
              <w:bottom w:val="single" w:sz="2" w:space="0" w:color="000000"/>
              <w:right w:val="single" w:sz="2" w:space="0" w:color="000000"/>
            </w:tcBorders>
            <w:hideMark/>
          </w:tcPr>
          <w:p w14:paraId="64938676" w14:textId="77777777" w:rsidR="002F7C0E" w:rsidRDefault="002F7C0E">
            <w:pPr>
              <w:pStyle w:val="TableParagraph"/>
              <w:spacing w:before="190"/>
              <w:ind w:left="198" w:right="194"/>
              <w:jc w:val="center"/>
              <w:rPr>
                <w:sz w:val="20"/>
              </w:rPr>
            </w:pPr>
            <w:r>
              <w:rPr>
                <w:sz w:val="20"/>
              </w:rPr>
              <w:t>3 alerts</w:t>
            </w:r>
          </w:p>
        </w:tc>
        <w:tc>
          <w:tcPr>
            <w:tcW w:w="1354" w:type="dxa"/>
            <w:tcBorders>
              <w:top w:val="single" w:sz="2" w:space="0" w:color="000000"/>
              <w:left w:val="single" w:sz="2" w:space="0" w:color="000000"/>
              <w:bottom w:val="single" w:sz="2" w:space="0" w:color="000000"/>
              <w:right w:val="single" w:sz="2" w:space="0" w:color="000000"/>
            </w:tcBorders>
            <w:hideMark/>
          </w:tcPr>
          <w:p w14:paraId="0A9A3DE7" w14:textId="77777777" w:rsidR="002F7C0E" w:rsidRDefault="002F7C0E">
            <w:pPr>
              <w:pStyle w:val="TableParagraph"/>
              <w:spacing w:before="190"/>
              <w:ind w:left="4"/>
              <w:jc w:val="center"/>
              <w:rPr>
                <w:sz w:val="20"/>
              </w:rPr>
            </w:pPr>
            <w:r>
              <w:rPr>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5A458302" w14:textId="77777777" w:rsidR="002F7C0E" w:rsidRDefault="002F7C0E">
            <w:pPr>
              <w:pStyle w:val="TableParagraph"/>
              <w:spacing w:before="190"/>
              <w:ind w:left="119"/>
              <w:rPr>
                <w:sz w:val="20"/>
              </w:rPr>
            </w:pPr>
            <w:r>
              <w:rPr>
                <w:sz w:val="20"/>
              </w:rPr>
              <w:t>Thiol reactive compounds.</w:t>
            </w:r>
          </w:p>
        </w:tc>
      </w:tr>
      <w:tr w:rsidR="002F7C0E" w14:paraId="4CDF1D9D" w14:textId="77777777" w:rsidTr="002F7C0E">
        <w:trPr>
          <w:trHeight w:val="355"/>
        </w:trPr>
        <w:tc>
          <w:tcPr>
            <w:tcW w:w="1354" w:type="dxa"/>
            <w:tcBorders>
              <w:top w:val="single" w:sz="2" w:space="0" w:color="000000"/>
              <w:left w:val="single" w:sz="2" w:space="0" w:color="000000"/>
              <w:bottom w:val="single" w:sz="2" w:space="0" w:color="000000"/>
              <w:right w:val="single" w:sz="2" w:space="0" w:color="000000"/>
            </w:tcBorders>
            <w:hideMark/>
          </w:tcPr>
          <w:p w14:paraId="55BAC89A" w14:textId="77777777" w:rsidR="002F7C0E" w:rsidRDefault="002F7C0E">
            <w:pPr>
              <w:pStyle w:val="TableParagraph"/>
              <w:spacing w:before="70"/>
              <w:ind w:left="120"/>
              <w:rPr>
                <w:sz w:val="20"/>
              </w:rPr>
            </w:pPr>
            <w:r>
              <w:rPr>
                <w:sz w:val="20"/>
              </w:rPr>
              <w:t>BMS</w:t>
            </w:r>
          </w:p>
        </w:tc>
        <w:tc>
          <w:tcPr>
            <w:tcW w:w="1354" w:type="dxa"/>
            <w:tcBorders>
              <w:top w:val="single" w:sz="2" w:space="0" w:color="000000"/>
              <w:left w:val="single" w:sz="2" w:space="0" w:color="000000"/>
              <w:bottom w:val="single" w:sz="2" w:space="0" w:color="000000"/>
              <w:right w:val="single" w:sz="2" w:space="0" w:color="000000"/>
            </w:tcBorders>
            <w:hideMark/>
          </w:tcPr>
          <w:p w14:paraId="79AE8EE3" w14:textId="77777777" w:rsidR="002F7C0E" w:rsidRDefault="002F7C0E">
            <w:pPr>
              <w:pStyle w:val="TableParagraph"/>
              <w:spacing w:before="70"/>
              <w:ind w:left="198" w:right="194"/>
              <w:jc w:val="center"/>
              <w:rPr>
                <w:sz w:val="20"/>
              </w:rPr>
            </w:pPr>
            <w:r>
              <w:rPr>
                <w:sz w:val="20"/>
              </w:rPr>
              <w:t>0 alerts</w:t>
            </w:r>
          </w:p>
        </w:tc>
        <w:tc>
          <w:tcPr>
            <w:tcW w:w="1354" w:type="dxa"/>
            <w:tcBorders>
              <w:top w:val="single" w:sz="2" w:space="0" w:color="000000"/>
              <w:left w:val="single" w:sz="2" w:space="0" w:color="000000"/>
              <w:bottom w:val="single" w:sz="2" w:space="0" w:color="000000"/>
              <w:right w:val="single" w:sz="2" w:space="0" w:color="000000"/>
            </w:tcBorders>
            <w:hideMark/>
          </w:tcPr>
          <w:p w14:paraId="38AC9D97" w14:textId="77777777" w:rsidR="002F7C0E" w:rsidRDefault="002F7C0E">
            <w:pPr>
              <w:pStyle w:val="TableParagraph"/>
              <w:spacing w:before="70"/>
              <w:ind w:left="4"/>
              <w:jc w:val="center"/>
              <w:rPr>
                <w:sz w:val="20"/>
              </w:rPr>
            </w:pPr>
            <w:r>
              <w:rPr>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51267EE6" w14:textId="77777777" w:rsidR="002F7C0E" w:rsidRDefault="002F7C0E">
            <w:pPr>
              <w:pStyle w:val="TableParagraph"/>
              <w:spacing w:before="70"/>
              <w:ind w:left="119"/>
              <w:rPr>
                <w:sz w:val="20"/>
              </w:rPr>
            </w:pPr>
            <w:r>
              <w:rPr>
                <w:sz w:val="20"/>
              </w:rPr>
              <w:t>Undesirable, reactive compounds.</w:t>
            </w:r>
          </w:p>
        </w:tc>
      </w:tr>
      <w:tr w:rsidR="002F7C0E" w14:paraId="61E07ABE" w14:textId="77777777" w:rsidTr="002F7C0E">
        <w:trPr>
          <w:trHeight w:val="595"/>
        </w:trPr>
        <w:tc>
          <w:tcPr>
            <w:tcW w:w="1354" w:type="dxa"/>
            <w:tcBorders>
              <w:top w:val="single" w:sz="2" w:space="0" w:color="000000"/>
              <w:left w:val="single" w:sz="2" w:space="0" w:color="000000"/>
              <w:bottom w:val="single" w:sz="2" w:space="0" w:color="000000"/>
              <w:right w:val="single" w:sz="2" w:space="0" w:color="000000"/>
            </w:tcBorders>
            <w:hideMark/>
          </w:tcPr>
          <w:p w14:paraId="267FE4A2" w14:textId="77777777" w:rsidR="002F7C0E" w:rsidRDefault="002F7C0E">
            <w:pPr>
              <w:pStyle w:val="TableParagraph"/>
              <w:spacing w:before="70" w:line="247" w:lineRule="auto"/>
              <w:ind w:left="120" w:right="453"/>
              <w:rPr>
                <w:sz w:val="20"/>
              </w:rPr>
            </w:pPr>
            <w:r>
              <w:rPr>
                <w:sz w:val="20"/>
              </w:rPr>
              <w:t>Chelator</w:t>
            </w:r>
            <w:r>
              <w:rPr>
                <w:spacing w:val="-54"/>
                <w:sz w:val="20"/>
              </w:rPr>
              <w:t xml:space="preserve"> </w:t>
            </w:r>
            <w:r>
              <w:rPr>
                <w:sz w:val="20"/>
              </w:rPr>
              <w:t>Rule</w:t>
            </w:r>
          </w:p>
        </w:tc>
        <w:tc>
          <w:tcPr>
            <w:tcW w:w="1354" w:type="dxa"/>
            <w:tcBorders>
              <w:top w:val="single" w:sz="2" w:space="0" w:color="000000"/>
              <w:left w:val="single" w:sz="2" w:space="0" w:color="000000"/>
              <w:bottom w:val="single" w:sz="2" w:space="0" w:color="000000"/>
              <w:right w:val="single" w:sz="2" w:space="0" w:color="000000"/>
            </w:tcBorders>
            <w:hideMark/>
          </w:tcPr>
          <w:p w14:paraId="1372D11A" w14:textId="77777777" w:rsidR="002F7C0E" w:rsidRDefault="002F7C0E">
            <w:pPr>
              <w:pStyle w:val="TableParagraph"/>
              <w:spacing w:before="190"/>
              <w:ind w:left="198" w:right="194"/>
              <w:jc w:val="center"/>
              <w:rPr>
                <w:sz w:val="20"/>
              </w:rPr>
            </w:pPr>
            <w:r>
              <w:rPr>
                <w:sz w:val="20"/>
              </w:rPr>
              <w:t>0 alerts</w:t>
            </w:r>
          </w:p>
        </w:tc>
        <w:tc>
          <w:tcPr>
            <w:tcW w:w="1354" w:type="dxa"/>
            <w:tcBorders>
              <w:top w:val="single" w:sz="2" w:space="0" w:color="000000"/>
              <w:left w:val="single" w:sz="2" w:space="0" w:color="000000"/>
              <w:bottom w:val="single" w:sz="2" w:space="0" w:color="000000"/>
              <w:right w:val="single" w:sz="2" w:space="0" w:color="000000"/>
            </w:tcBorders>
            <w:hideMark/>
          </w:tcPr>
          <w:p w14:paraId="36CC9967" w14:textId="77777777" w:rsidR="002F7C0E" w:rsidRDefault="002F7C0E">
            <w:pPr>
              <w:pStyle w:val="TableParagraph"/>
              <w:spacing w:before="190"/>
              <w:ind w:left="4"/>
              <w:jc w:val="center"/>
              <w:rPr>
                <w:sz w:val="20"/>
              </w:rPr>
            </w:pPr>
            <w:r>
              <w:rPr>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6225DEC8" w14:textId="77777777" w:rsidR="002F7C0E" w:rsidRDefault="002F7C0E">
            <w:pPr>
              <w:pStyle w:val="TableParagraph"/>
              <w:spacing w:before="190"/>
              <w:ind w:left="119"/>
              <w:rPr>
                <w:sz w:val="20"/>
              </w:rPr>
            </w:pPr>
            <w:r>
              <w:rPr>
                <w:sz w:val="20"/>
              </w:rPr>
              <w:t>Chelating compounds.</w:t>
            </w:r>
          </w:p>
        </w:tc>
      </w:tr>
    </w:tbl>
    <w:p w14:paraId="7BD1ADED" w14:textId="15736928" w:rsidR="002F7C0E" w:rsidRDefault="002F7C0E" w:rsidP="002F7C0E">
      <w:pPr>
        <w:pStyle w:val="BodyText"/>
        <w:rPr>
          <w:sz w:val="14"/>
        </w:rPr>
      </w:pPr>
    </w:p>
    <w:p w14:paraId="360A544F" w14:textId="77777777" w:rsidR="002F7C0E" w:rsidRDefault="002F7C0E">
      <w:pPr>
        <w:pStyle w:val="ListParagraph"/>
        <w:widowControl w:val="0"/>
        <w:numPr>
          <w:ilvl w:val="0"/>
          <w:numId w:val="4"/>
        </w:numPr>
        <w:tabs>
          <w:tab w:val="left" w:pos="552"/>
        </w:tabs>
        <w:autoSpaceDE w:val="0"/>
        <w:autoSpaceDN w:val="0"/>
        <w:spacing w:before="91" w:after="0" w:line="240" w:lineRule="auto"/>
        <w:contextualSpacing w:val="0"/>
        <w:rPr>
          <w:b/>
          <w:sz w:val="28"/>
        </w:rPr>
      </w:pPr>
      <w:r>
        <w:rPr>
          <w:b/>
          <w:sz w:val="28"/>
        </w:rPr>
        <w:t>Absorption</w:t>
      </w:r>
    </w:p>
    <w:p w14:paraId="4551343D" w14:textId="77777777" w:rsidR="002F7C0E" w:rsidRDefault="002F7C0E" w:rsidP="002F7C0E">
      <w:pPr>
        <w:pStyle w:val="BodyText"/>
        <w:rPr>
          <w:sz w:val="12"/>
        </w:r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25"/>
        <w:gridCol w:w="1174"/>
        <w:gridCol w:w="1264"/>
        <w:gridCol w:w="4964"/>
      </w:tblGrid>
      <w:tr w:rsidR="002F7C0E" w14:paraId="4A51E523" w14:textId="77777777" w:rsidTr="002F7C0E">
        <w:trPr>
          <w:trHeight w:val="355"/>
        </w:trPr>
        <w:tc>
          <w:tcPr>
            <w:tcW w:w="1625" w:type="dxa"/>
            <w:tcBorders>
              <w:top w:val="single" w:sz="2" w:space="0" w:color="000000"/>
              <w:left w:val="single" w:sz="2" w:space="0" w:color="000000"/>
              <w:bottom w:val="single" w:sz="2" w:space="0" w:color="000000"/>
              <w:right w:val="single" w:sz="2" w:space="0" w:color="000000"/>
            </w:tcBorders>
            <w:hideMark/>
          </w:tcPr>
          <w:p w14:paraId="574DE452" w14:textId="77777777" w:rsidR="002F7C0E" w:rsidRDefault="002F7C0E">
            <w:pPr>
              <w:pStyle w:val="TableParagraph"/>
              <w:spacing w:before="71"/>
              <w:ind w:left="120"/>
              <w:rPr>
                <w:rFonts w:ascii="Arial"/>
                <w:b/>
              </w:rPr>
            </w:pPr>
            <w:r>
              <w:rPr>
                <w:rFonts w:ascii="Arial"/>
                <w:b/>
              </w:rPr>
              <w:t>Property</w:t>
            </w:r>
          </w:p>
        </w:tc>
        <w:tc>
          <w:tcPr>
            <w:tcW w:w="1174" w:type="dxa"/>
            <w:tcBorders>
              <w:top w:val="single" w:sz="2" w:space="0" w:color="000000"/>
              <w:left w:val="single" w:sz="2" w:space="0" w:color="000000"/>
              <w:bottom w:val="single" w:sz="2" w:space="0" w:color="000000"/>
              <w:right w:val="single" w:sz="2" w:space="0" w:color="000000"/>
            </w:tcBorders>
            <w:hideMark/>
          </w:tcPr>
          <w:p w14:paraId="623D07A9" w14:textId="77777777" w:rsidR="002F7C0E" w:rsidRDefault="002F7C0E">
            <w:pPr>
              <w:pStyle w:val="TableParagraph"/>
              <w:spacing w:before="71"/>
              <w:ind w:left="272" w:right="269"/>
              <w:jc w:val="center"/>
              <w:rPr>
                <w:rFonts w:ascii="Arial"/>
                <w:b/>
              </w:rPr>
            </w:pPr>
            <w:r>
              <w:rPr>
                <w:rFonts w:ascii="Arial"/>
                <w:b/>
              </w:rPr>
              <w:t>Value</w:t>
            </w:r>
          </w:p>
        </w:tc>
        <w:tc>
          <w:tcPr>
            <w:tcW w:w="1264" w:type="dxa"/>
            <w:tcBorders>
              <w:top w:val="single" w:sz="2" w:space="0" w:color="000000"/>
              <w:left w:val="single" w:sz="2" w:space="0" w:color="000000"/>
              <w:bottom w:val="single" w:sz="2" w:space="0" w:color="000000"/>
              <w:right w:val="single" w:sz="2" w:space="0" w:color="000000"/>
            </w:tcBorders>
            <w:hideMark/>
          </w:tcPr>
          <w:p w14:paraId="5A5BD17C" w14:textId="77777777" w:rsidR="002F7C0E" w:rsidRDefault="002F7C0E">
            <w:pPr>
              <w:pStyle w:val="TableParagraph"/>
              <w:spacing w:before="71"/>
              <w:ind w:left="152" w:right="150"/>
              <w:jc w:val="center"/>
              <w:rPr>
                <w:rFonts w:ascii="Arial"/>
                <w:b/>
              </w:rPr>
            </w:pPr>
            <w:r>
              <w:rPr>
                <w:rFonts w:ascii="Arial"/>
                <w:b/>
              </w:rPr>
              <w:t>Decision</w:t>
            </w:r>
          </w:p>
        </w:tc>
        <w:tc>
          <w:tcPr>
            <w:tcW w:w="4964" w:type="dxa"/>
            <w:tcBorders>
              <w:top w:val="single" w:sz="2" w:space="0" w:color="000000"/>
              <w:left w:val="single" w:sz="2" w:space="0" w:color="000000"/>
              <w:bottom w:val="single" w:sz="2" w:space="0" w:color="000000"/>
              <w:right w:val="single" w:sz="2" w:space="0" w:color="000000"/>
            </w:tcBorders>
            <w:hideMark/>
          </w:tcPr>
          <w:p w14:paraId="0F805BE4" w14:textId="77777777" w:rsidR="002F7C0E" w:rsidRDefault="002F7C0E">
            <w:pPr>
              <w:pStyle w:val="TableParagraph"/>
              <w:spacing w:before="71"/>
              <w:ind w:left="118"/>
              <w:rPr>
                <w:rFonts w:ascii="Arial"/>
                <w:b/>
              </w:rPr>
            </w:pPr>
            <w:r>
              <w:rPr>
                <w:rFonts w:ascii="Arial"/>
                <w:b/>
              </w:rPr>
              <w:t>Comment</w:t>
            </w:r>
          </w:p>
        </w:tc>
      </w:tr>
      <w:tr w:rsidR="002F7C0E" w14:paraId="1AF3716B" w14:textId="77777777" w:rsidTr="002F7C0E">
        <w:trPr>
          <w:trHeight w:val="595"/>
        </w:trPr>
        <w:tc>
          <w:tcPr>
            <w:tcW w:w="1625" w:type="dxa"/>
            <w:tcBorders>
              <w:top w:val="single" w:sz="2" w:space="0" w:color="000000"/>
              <w:left w:val="single" w:sz="2" w:space="0" w:color="000000"/>
              <w:bottom w:val="single" w:sz="2" w:space="0" w:color="000000"/>
              <w:right w:val="single" w:sz="2" w:space="0" w:color="000000"/>
            </w:tcBorders>
            <w:hideMark/>
          </w:tcPr>
          <w:p w14:paraId="42D0491B" w14:textId="77777777" w:rsidR="002F7C0E" w:rsidRDefault="002F7C0E">
            <w:pPr>
              <w:pStyle w:val="TableParagraph"/>
              <w:spacing w:before="70" w:line="247" w:lineRule="auto"/>
              <w:ind w:left="120" w:right="379"/>
              <w:rPr>
                <w:sz w:val="20"/>
              </w:rPr>
            </w:pPr>
            <w:r>
              <w:rPr>
                <w:sz w:val="20"/>
              </w:rPr>
              <w:t>Caco-2</w:t>
            </w:r>
            <w:r>
              <w:rPr>
                <w:spacing w:val="1"/>
                <w:sz w:val="20"/>
              </w:rPr>
              <w:t xml:space="preserve"> </w:t>
            </w:r>
            <w:r>
              <w:rPr>
                <w:sz w:val="20"/>
              </w:rPr>
              <w:t>Permeability</w:t>
            </w:r>
          </w:p>
        </w:tc>
        <w:tc>
          <w:tcPr>
            <w:tcW w:w="1174" w:type="dxa"/>
            <w:tcBorders>
              <w:top w:val="single" w:sz="2" w:space="0" w:color="000000"/>
              <w:left w:val="single" w:sz="2" w:space="0" w:color="000000"/>
              <w:bottom w:val="single" w:sz="2" w:space="0" w:color="000000"/>
              <w:right w:val="single" w:sz="2" w:space="0" w:color="000000"/>
            </w:tcBorders>
            <w:hideMark/>
          </w:tcPr>
          <w:p w14:paraId="4B915F09" w14:textId="77777777" w:rsidR="002F7C0E" w:rsidRDefault="002F7C0E">
            <w:pPr>
              <w:pStyle w:val="TableParagraph"/>
              <w:spacing w:before="190"/>
              <w:ind w:left="272" w:right="269"/>
              <w:jc w:val="center"/>
              <w:rPr>
                <w:sz w:val="20"/>
              </w:rPr>
            </w:pPr>
            <w:r>
              <w:rPr>
                <w:sz w:val="20"/>
              </w:rPr>
              <w:t>-6.038</w:t>
            </w:r>
          </w:p>
        </w:tc>
        <w:tc>
          <w:tcPr>
            <w:tcW w:w="1264" w:type="dxa"/>
            <w:tcBorders>
              <w:top w:val="single" w:sz="2" w:space="0" w:color="000000"/>
              <w:left w:val="single" w:sz="2" w:space="0" w:color="000000"/>
              <w:bottom w:val="single" w:sz="2" w:space="0" w:color="000000"/>
              <w:right w:val="single" w:sz="2" w:space="0" w:color="000000"/>
            </w:tcBorders>
            <w:hideMark/>
          </w:tcPr>
          <w:p w14:paraId="22F7A806" w14:textId="77777777" w:rsidR="002F7C0E" w:rsidRDefault="002F7C0E">
            <w:pPr>
              <w:pStyle w:val="TableParagraph"/>
              <w:spacing w:before="177"/>
              <w:ind w:left="44"/>
              <w:jc w:val="center"/>
              <w:rPr>
                <w:rFonts w:ascii="MS UI Gothic" w:hAnsi="MS UI Gothic"/>
                <w:sz w:val="20"/>
              </w:rPr>
            </w:pPr>
            <w:r>
              <w:rPr>
                <w:rFonts w:ascii="MS UI Gothic" w:hAnsi="MS UI Gothic" w:hint="eastAsia"/>
                <w:color w:val="FF0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11F5BA29" w14:textId="77777777" w:rsidR="002F7C0E" w:rsidRDefault="002F7C0E">
            <w:pPr>
              <w:pStyle w:val="TableParagraph"/>
              <w:spacing w:before="190"/>
              <w:ind w:left="118"/>
              <w:rPr>
                <w:sz w:val="20"/>
              </w:rPr>
            </w:pPr>
            <w:r>
              <w:rPr>
                <w:sz w:val="20"/>
              </w:rPr>
              <w:t>Optimal: higher than -5.15 Log unit</w:t>
            </w:r>
          </w:p>
        </w:tc>
      </w:tr>
      <w:tr w:rsidR="002F7C0E" w14:paraId="6EB4C760"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hideMark/>
          </w:tcPr>
          <w:p w14:paraId="0852C408" w14:textId="77777777" w:rsidR="002F7C0E" w:rsidRDefault="002F7C0E">
            <w:pPr>
              <w:pStyle w:val="TableParagraph"/>
              <w:spacing w:before="190"/>
              <w:ind w:left="120"/>
              <w:rPr>
                <w:sz w:val="20"/>
              </w:rPr>
            </w:pPr>
            <w:r>
              <w:rPr>
                <w:sz w:val="20"/>
              </w:rPr>
              <w:t>MDCK</w:t>
            </w:r>
          </w:p>
          <w:p w14:paraId="6A37162F" w14:textId="77777777" w:rsidR="002F7C0E" w:rsidRDefault="002F7C0E">
            <w:pPr>
              <w:pStyle w:val="TableParagraph"/>
              <w:spacing w:before="10"/>
              <w:ind w:left="120"/>
              <w:rPr>
                <w:sz w:val="20"/>
              </w:rPr>
            </w:pPr>
            <w:r>
              <w:rPr>
                <w:sz w:val="20"/>
              </w:rPr>
              <w:t>Permeability</w:t>
            </w:r>
          </w:p>
        </w:tc>
        <w:tc>
          <w:tcPr>
            <w:tcW w:w="1174" w:type="dxa"/>
            <w:tcBorders>
              <w:top w:val="single" w:sz="2" w:space="0" w:color="000000"/>
              <w:left w:val="single" w:sz="2" w:space="0" w:color="000000"/>
              <w:bottom w:val="single" w:sz="2" w:space="0" w:color="000000"/>
              <w:right w:val="single" w:sz="2" w:space="0" w:color="000000"/>
            </w:tcBorders>
          </w:tcPr>
          <w:p w14:paraId="5E5AFA84" w14:textId="77777777" w:rsidR="002F7C0E" w:rsidRDefault="002F7C0E">
            <w:pPr>
              <w:pStyle w:val="TableParagraph"/>
              <w:spacing w:before="10"/>
              <w:rPr>
                <w:rFonts w:ascii="Arial"/>
                <w:b/>
                <w:sz w:val="26"/>
              </w:rPr>
            </w:pPr>
          </w:p>
          <w:p w14:paraId="634973F1" w14:textId="77777777" w:rsidR="002F7C0E" w:rsidRDefault="002F7C0E">
            <w:pPr>
              <w:pStyle w:val="TableParagraph"/>
              <w:spacing w:before="1"/>
              <w:ind w:left="272" w:right="269"/>
              <w:jc w:val="center"/>
              <w:rPr>
                <w:sz w:val="20"/>
              </w:rPr>
            </w:pPr>
            <w:r>
              <w:rPr>
                <w:sz w:val="20"/>
              </w:rPr>
              <w:t>1e-05</w:t>
            </w:r>
          </w:p>
        </w:tc>
        <w:tc>
          <w:tcPr>
            <w:tcW w:w="1264" w:type="dxa"/>
            <w:tcBorders>
              <w:top w:val="single" w:sz="2" w:space="0" w:color="000000"/>
              <w:left w:val="single" w:sz="2" w:space="0" w:color="000000"/>
              <w:bottom w:val="single" w:sz="2" w:space="0" w:color="000000"/>
              <w:right w:val="single" w:sz="2" w:space="0" w:color="000000"/>
            </w:tcBorders>
          </w:tcPr>
          <w:p w14:paraId="13F1C42A" w14:textId="77777777" w:rsidR="002F7C0E" w:rsidRDefault="002F7C0E">
            <w:pPr>
              <w:pStyle w:val="TableParagraph"/>
              <w:spacing w:before="10"/>
              <w:rPr>
                <w:rFonts w:ascii="Arial"/>
                <w:b/>
                <w:sz w:val="25"/>
              </w:rPr>
            </w:pPr>
          </w:p>
          <w:p w14:paraId="3CFF2A0B" w14:textId="77777777" w:rsidR="002F7C0E" w:rsidRDefault="002F7C0E">
            <w:pPr>
              <w:pStyle w:val="TableParagraph"/>
              <w:ind w:left="44"/>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23FCB6F9" w14:textId="77777777" w:rsidR="002F7C0E" w:rsidRDefault="002F7C0E">
            <w:pPr>
              <w:pStyle w:val="TableParagraph"/>
              <w:numPr>
                <w:ilvl w:val="0"/>
                <w:numId w:val="13"/>
              </w:numPr>
              <w:tabs>
                <w:tab w:val="left" w:pos="375"/>
              </w:tabs>
              <w:spacing w:line="275" w:lineRule="exact"/>
              <w:ind w:hanging="257"/>
              <w:rPr>
                <w:sz w:val="20"/>
              </w:rPr>
            </w:pPr>
            <w:r>
              <w:rPr>
                <w:sz w:val="20"/>
              </w:rPr>
              <w:t>low permeability: &lt; 2 × 10</w:t>
            </w:r>
            <w:r>
              <w:rPr>
                <w:rFonts w:ascii="Symbol" w:hAnsi="Symbol"/>
                <w:position w:val="10"/>
                <w:sz w:val="16"/>
              </w:rPr>
              <w:t>-</w:t>
            </w:r>
            <w:r>
              <w:rPr>
                <w:position w:val="10"/>
                <w:sz w:val="16"/>
              </w:rPr>
              <w:t>6</w:t>
            </w:r>
            <w:r>
              <w:rPr>
                <w:spacing w:val="11"/>
                <w:position w:val="10"/>
                <w:sz w:val="16"/>
              </w:rPr>
              <w:t xml:space="preserve"> </w:t>
            </w:r>
            <w:r>
              <w:rPr>
                <w:sz w:val="20"/>
              </w:rPr>
              <w:t>cm/s</w:t>
            </w:r>
          </w:p>
          <w:p w14:paraId="3104332B" w14:textId="77777777" w:rsidR="002F7C0E" w:rsidRDefault="002F7C0E">
            <w:pPr>
              <w:pStyle w:val="TableParagraph"/>
              <w:numPr>
                <w:ilvl w:val="0"/>
                <w:numId w:val="13"/>
              </w:numPr>
              <w:tabs>
                <w:tab w:val="left" w:pos="375"/>
              </w:tabs>
              <w:spacing w:line="240" w:lineRule="exact"/>
              <w:ind w:hanging="257"/>
              <w:rPr>
                <w:sz w:val="20"/>
              </w:rPr>
            </w:pPr>
            <w:r>
              <w:rPr>
                <w:sz w:val="20"/>
              </w:rPr>
              <w:t>medium permeability: 2–20 × 10</w:t>
            </w:r>
            <w:r>
              <w:rPr>
                <w:rFonts w:ascii="Symbol" w:hAnsi="Symbol"/>
                <w:position w:val="10"/>
                <w:sz w:val="16"/>
              </w:rPr>
              <w:t>-</w:t>
            </w:r>
            <w:r>
              <w:rPr>
                <w:position w:val="10"/>
                <w:sz w:val="16"/>
              </w:rPr>
              <w:t>6</w:t>
            </w:r>
            <w:r>
              <w:rPr>
                <w:spacing w:val="11"/>
                <w:position w:val="10"/>
                <w:sz w:val="16"/>
              </w:rPr>
              <w:t xml:space="preserve"> </w:t>
            </w:r>
            <w:r>
              <w:rPr>
                <w:sz w:val="20"/>
              </w:rPr>
              <w:t>cm/s</w:t>
            </w:r>
          </w:p>
          <w:p w14:paraId="092BC1C1" w14:textId="77777777" w:rsidR="002F7C0E" w:rsidRDefault="002F7C0E">
            <w:pPr>
              <w:pStyle w:val="TableParagraph"/>
              <w:numPr>
                <w:ilvl w:val="0"/>
                <w:numId w:val="13"/>
              </w:numPr>
              <w:tabs>
                <w:tab w:val="left" w:pos="375"/>
              </w:tabs>
              <w:spacing w:line="279" w:lineRule="exact"/>
              <w:ind w:hanging="257"/>
              <w:rPr>
                <w:sz w:val="20"/>
              </w:rPr>
            </w:pPr>
            <w:r>
              <w:rPr>
                <w:sz w:val="20"/>
              </w:rPr>
              <w:t>high passive permeability: &gt; 20 × 10</w:t>
            </w:r>
            <w:r>
              <w:rPr>
                <w:rFonts w:ascii="Symbol" w:hAnsi="Symbol"/>
                <w:position w:val="10"/>
                <w:sz w:val="16"/>
              </w:rPr>
              <w:t>-</w:t>
            </w:r>
            <w:r>
              <w:rPr>
                <w:position w:val="10"/>
                <w:sz w:val="16"/>
              </w:rPr>
              <w:t>6</w:t>
            </w:r>
            <w:r>
              <w:rPr>
                <w:spacing w:val="11"/>
                <w:position w:val="10"/>
                <w:sz w:val="16"/>
              </w:rPr>
              <w:t xml:space="preserve"> </w:t>
            </w:r>
            <w:r>
              <w:rPr>
                <w:sz w:val="20"/>
              </w:rPr>
              <w:t>cm/s</w:t>
            </w:r>
          </w:p>
        </w:tc>
      </w:tr>
      <w:tr w:rsidR="002F7C0E" w14:paraId="78DD3086"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2851ABE8" w14:textId="77777777" w:rsidR="002F7C0E" w:rsidRDefault="002F7C0E">
            <w:pPr>
              <w:pStyle w:val="TableParagraph"/>
              <w:spacing w:before="10"/>
              <w:rPr>
                <w:rFonts w:ascii="Arial"/>
                <w:b/>
                <w:sz w:val="26"/>
              </w:rPr>
            </w:pPr>
          </w:p>
          <w:p w14:paraId="603CAAD6" w14:textId="77777777" w:rsidR="002F7C0E" w:rsidRDefault="002F7C0E">
            <w:pPr>
              <w:pStyle w:val="TableParagraph"/>
              <w:spacing w:before="1"/>
              <w:ind w:left="120"/>
              <w:rPr>
                <w:sz w:val="20"/>
              </w:rPr>
            </w:pPr>
            <w:proofErr w:type="spellStart"/>
            <w:r>
              <w:rPr>
                <w:sz w:val="20"/>
              </w:rPr>
              <w:t>Pgp</w:t>
            </w:r>
            <w:proofErr w:type="spellEnd"/>
            <w:r>
              <w:rPr>
                <w:sz w:val="20"/>
              </w:rPr>
              <w:t>-inhibitor</w:t>
            </w:r>
          </w:p>
        </w:tc>
        <w:tc>
          <w:tcPr>
            <w:tcW w:w="1174" w:type="dxa"/>
            <w:tcBorders>
              <w:top w:val="single" w:sz="2" w:space="0" w:color="000000"/>
              <w:left w:val="single" w:sz="2" w:space="0" w:color="000000"/>
              <w:bottom w:val="single" w:sz="2" w:space="0" w:color="000000"/>
              <w:right w:val="single" w:sz="2" w:space="0" w:color="000000"/>
            </w:tcBorders>
          </w:tcPr>
          <w:p w14:paraId="1272BF7E" w14:textId="77777777" w:rsidR="002F7C0E" w:rsidRDefault="002F7C0E">
            <w:pPr>
              <w:pStyle w:val="TableParagraph"/>
              <w:spacing w:before="10"/>
              <w:rPr>
                <w:rFonts w:ascii="Arial"/>
                <w:b/>
                <w:sz w:val="26"/>
              </w:rPr>
            </w:pPr>
          </w:p>
          <w:p w14:paraId="5728FFE4" w14:textId="77777777" w:rsidR="002F7C0E" w:rsidRDefault="002F7C0E">
            <w:pPr>
              <w:pStyle w:val="TableParagraph"/>
              <w:spacing w:before="1"/>
              <w:ind w:left="272" w:right="269"/>
              <w:jc w:val="center"/>
              <w:rPr>
                <w:sz w:val="20"/>
              </w:rPr>
            </w:pPr>
            <w:r>
              <w:rPr>
                <w:sz w:val="20"/>
              </w:rPr>
              <w:t>0.03</w:t>
            </w:r>
          </w:p>
        </w:tc>
        <w:tc>
          <w:tcPr>
            <w:tcW w:w="1264" w:type="dxa"/>
            <w:tcBorders>
              <w:top w:val="single" w:sz="2" w:space="0" w:color="000000"/>
              <w:left w:val="single" w:sz="2" w:space="0" w:color="000000"/>
              <w:bottom w:val="single" w:sz="2" w:space="0" w:color="000000"/>
              <w:right w:val="single" w:sz="2" w:space="0" w:color="000000"/>
            </w:tcBorders>
          </w:tcPr>
          <w:p w14:paraId="5AEDB3BB" w14:textId="77777777" w:rsidR="002F7C0E" w:rsidRDefault="002F7C0E">
            <w:pPr>
              <w:pStyle w:val="TableParagraph"/>
              <w:spacing w:before="10"/>
              <w:rPr>
                <w:rFonts w:ascii="Arial"/>
                <w:b/>
                <w:sz w:val="25"/>
              </w:rPr>
            </w:pPr>
          </w:p>
          <w:p w14:paraId="6C14E7F8" w14:textId="77777777" w:rsidR="002F7C0E" w:rsidRDefault="002F7C0E">
            <w:pPr>
              <w:pStyle w:val="TableParagraph"/>
              <w:ind w:left="44"/>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79140987" w14:textId="77777777" w:rsidR="002F7C0E" w:rsidRDefault="002F7C0E">
            <w:pPr>
              <w:pStyle w:val="TableParagraph"/>
              <w:numPr>
                <w:ilvl w:val="0"/>
                <w:numId w:val="14"/>
              </w:numPr>
              <w:tabs>
                <w:tab w:val="left" w:pos="375"/>
              </w:tabs>
              <w:spacing w:before="57" w:line="248" w:lineRule="exact"/>
              <w:ind w:left="374" w:hanging="257"/>
              <w:rPr>
                <w:sz w:val="20"/>
              </w:rPr>
            </w:pPr>
            <w:r>
              <w:rPr>
                <w:sz w:val="20"/>
              </w:rPr>
              <w:t>Category 1: Inhibitor; Category 0: Non-inhibitor;</w:t>
            </w:r>
          </w:p>
          <w:p w14:paraId="10BE8ABD" w14:textId="77777777" w:rsidR="002F7C0E" w:rsidRDefault="002F7C0E">
            <w:pPr>
              <w:pStyle w:val="TableParagraph"/>
              <w:numPr>
                <w:ilvl w:val="0"/>
                <w:numId w:val="14"/>
              </w:numPr>
              <w:tabs>
                <w:tab w:val="left" w:pos="375"/>
              </w:tabs>
              <w:spacing w:line="232" w:lineRule="auto"/>
              <w:ind w:right="824" w:firstLine="0"/>
              <w:rPr>
                <w:sz w:val="20"/>
              </w:rPr>
            </w:pPr>
            <w:r>
              <w:rPr>
                <w:sz w:val="20"/>
              </w:rPr>
              <w:t>The output value is the probability of being</w:t>
            </w:r>
            <w:r>
              <w:rPr>
                <w:spacing w:val="-54"/>
                <w:sz w:val="20"/>
              </w:rPr>
              <w:t xml:space="preserve"> </w:t>
            </w:r>
            <w:proofErr w:type="spellStart"/>
            <w:r>
              <w:rPr>
                <w:sz w:val="20"/>
              </w:rPr>
              <w:t>Pgp</w:t>
            </w:r>
            <w:proofErr w:type="spellEnd"/>
            <w:r>
              <w:rPr>
                <w:sz w:val="20"/>
              </w:rPr>
              <w:t>-inhibitor</w:t>
            </w:r>
          </w:p>
        </w:tc>
      </w:tr>
      <w:tr w:rsidR="002F7C0E" w14:paraId="66F984DB"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589B89E7" w14:textId="77777777" w:rsidR="002F7C0E" w:rsidRDefault="002F7C0E">
            <w:pPr>
              <w:pStyle w:val="TableParagraph"/>
              <w:spacing w:before="10"/>
              <w:rPr>
                <w:rFonts w:ascii="Arial"/>
                <w:b/>
                <w:sz w:val="26"/>
              </w:rPr>
            </w:pPr>
          </w:p>
          <w:p w14:paraId="62063B42" w14:textId="77777777" w:rsidR="002F7C0E" w:rsidRDefault="002F7C0E">
            <w:pPr>
              <w:pStyle w:val="TableParagraph"/>
              <w:spacing w:before="1"/>
              <w:ind w:left="120"/>
              <w:rPr>
                <w:sz w:val="20"/>
              </w:rPr>
            </w:pPr>
            <w:proofErr w:type="spellStart"/>
            <w:r>
              <w:rPr>
                <w:sz w:val="20"/>
              </w:rPr>
              <w:t>Pgp</w:t>
            </w:r>
            <w:proofErr w:type="spellEnd"/>
            <w:r>
              <w:rPr>
                <w:sz w:val="20"/>
              </w:rPr>
              <w:t>-substrate</w:t>
            </w:r>
          </w:p>
        </w:tc>
        <w:tc>
          <w:tcPr>
            <w:tcW w:w="1174" w:type="dxa"/>
            <w:tcBorders>
              <w:top w:val="single" w:sz="2" w:space="0" w:color="000000"/>
              <w:left w:val="single" w:sz="2" w:space="0" w:color="000000"/>
              <w:bottom w:val="single" w:sz="2" w:space="0" w:color="000000"/>
              <w:right w:val="single" w:sz="2" w:space="0" w:color="000000"/>
            </w:tcBorders>
          </w:tcPr>
          <w:p w14:paraId="241C32BD" w14:textId="77777777" w:rsidR="002F7C0E" w:rsidRDefault="002F7C0E">
            <w:pPr>
              <w:pStyle w:val="TableParagraph"/>
              <w:spacing w:before="10"/>
              <w:rPr>
                <w:rFonts w:ascii="Arial"/>
                <w:b/>
                <w:sz w:val="26"/>
              </w:rPr>
            </w:pPr>
          </w:p>
          <w:p w14:paraId="68D33561" w14:textId="77777777" w:rsidR="002F7C0E" w:rsidRDefault="002F7C0E">
            <w:pPr>
              <w:pStyle w:val="TableParagraph"/>
              <w:spacing w:before="1"/>
              <w:ind w:left="272" w:right="269"/>
              <w:jc w:val="center"/>
              <w:rPr>
                <w:sz w:val="20"/>
              </w:rPr>
            </w:pPr>
            <w:r>
              <w:rPr>
                <w:sz w:val="20"/>
              </w:rPr>
              <w:t>0.008</w:t>
            </w:r>
          </w:p>
        </w:tc>
        <w:tc>
          <w:tcPr>
            <w:tcW w:w="1264" w:type="dxa"/>
            <w:tcBorders>
              <w:top w:val="single" w:sz="2" w:space="0" w:color="000000"/>
              <w:left w:val="single" w:sz="2" w:space="0" w:color="000000"/>
              <w:bottom w:val="single" w:sz="2" w:space="0" w:color="000000"/>
              <w:right w:val="single" w:sz="2" w:space="0" w:color="000000"/>
            </w:tcBorders>
          </w:tcPr>
          <w:p w14:paraId="09B3B756" w14:textId="77777777" w:rsidR="002F7C0E" w:rsidRDefault="002F7C0E">
            <w:pPr>
              <w:pStyle w:val="TableParagraph"/>
              <w:spacing w:before="10"/>
              <w:rPr>
                <w:rFonts w:ascii="Arial"/>
                <w:b/>
                <w:sz w:val="25"/>
              </w:rPr>
            </w:pPr>
          </w:p>
          <w:p w14:paraId="4E8D23B3" w14:textId="77777777" w:rsidR="002F7C0E" w:rsidRDefault="002F7C0E">
            <w:pPr>
              <w:pStyle w:val="TableParagraph"/>
              <w:ind w:left="44"/>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179F727B" w14:textId="77777777" w:rsidR="002F7C0E" w:rsidRDefault="002F7C0E">
            <w:pPr>
              <w:pStyle w:val="TableParagraph"/>
              <w:numPr>
                <w:ilvl w:val="0"/>
                <w:numId w:val="15"/>
              </w:numPr>
              <w:tabs>
                <w:tab w:val="left" w:pos="375"/>
              </w:tabs>
              <w:spacing w:before="57" w:line="248" w:lineRule="exact"/>
              <w:ind w:left="374" w:hanging="257"/>
              <w:rPr>
                <w:sz w:val="20"/>
              </w:rPr>
            </w:pPr>
            <w:r>
              <w:rPr>
                <w:sz w:val="20"/>
              </w:rPr>
              <w:t>Category 1: substrate; Category 0: Non-substrate;</w:t>
            </w:r>
          </w:p>
          <w:p w14:paraId="5AF7941A" w14:textId="77777777" w:rsidR="002F7C0E" w:rsidRDefault="002F7C0E">
            <w:pPr>
              <w:pStyle w:val="TableParagraph"/>
              <w:numPr>
                <w:ilvl w:val="0"/>
                <w:numId w:val="15"/>
              </w:numPr>
              <w:tabs>
                <w:tab w:val="left" w:pos="375"/>
              </w:tabs>
              <w:spacing w:line="232" w:lineRule="auto"/>
              <w:ind w:right="824" w:firstLine="0"/>
              <w:rPr>
                <w:sz w:val="20"/>
              </w:rPr>
            </w:pPr>
            <w:r>
              <w:rPr>
                <w:sz w:val="20"/>
              </w:rPr>
              <w:t>The output value is the probability of being</w:t>
            </w:r>
            <w:r>
              <w:rPr>
                <w:spacing w:val="-54"/>
                <w:sz w:val="20"/>
              </w:rPr>
              <w:t xml:space="preserve"> </w:t>
            </w:r>
            <w:proofErr w:type="spellStart"/>
            <w:r>
              <w:rPr>
                <w:sz w:val="20"/>
              </w:rPr>
              <w:t>Pgp</w:t>
            </w:r>
            <w:proofErr w:type="spellEnd"/>
            <w:r>
              <w:rPr>
                <w:sz w:val="20"/>
              </w:rPr>
              <w:t>-substrate</w:t>
            </w:r>
          </w:p>
        </w:tc>
      </w:tr>
      <w:tr w:rsidR="002F7C0E" w14:paraId="386D25CC" w14:textId="77777777" w:rsidTr="002F7C0E">
        <w:trPr>
          <w:trHeight w:val="1075"/>
        </w:trPr>
        <w:tc>
          <w:tcPr>
            <w:tcW w:w="1625" w:type="dxa"/>
            <w:tcBorders>
              <w:top w:val="single" w:sz="2" w:space="0" w:color="000000"/>
              <w:left w:val="single" w:sz="2" w:space="0" w:color="000000"/>
              <w:bottom w:val="single" w:sz="2" w:space="0" w:color="000000"/>
              <w:right w:val="single" w:sz="2" w:space="0" w:color="000000"/>
            </w:tcBorders>
          </w:tcPr>
          <w:p w14:paraId="0D6AB67B" w14:textId="77777777" w:rsidR="002F7C0E" w:rsidRDefault="002F7C0E">
            <w:pPr>
              <w:pStyle w:val="TableParagraph"/>
              <w:rPr>
                <w:rFonts w:ascii="Arial"/>
                <w:b/>
              </w:rPr>
            </w:pPr>
          </w:p>
          <w:p w14:paraId="51E735E5" w14:textId="77777777" w:rsidR="002F7C0E" w:rsidRDefault="002F7C0E">
            <w:pPr>
              <w:pStyle w:val="TableParagraph"/>
              <w:spacing w:before="177"/>
              <w:ind w:left="120"/>
              <w:rPr>
                <w:sz w:val="20"/>
              </w:rPr>
            </w:pPr>
            <w:r>
              <w:rPr>
                <w:sz w:val="20"/>
              </w:rPr>
              <w:t>HIA</w:t>
            </w:r>
          </w:p>
        </w:tc>
        <w:tc>
          <w:tcPr>
            <w:tcW w:w="1174" w:type="dxa"/>
            <w:tcBorders>
              <w:top w:val="single" w:sz="2" w:space="0" w:color="000000"/>
              <w:left w:val="single" w:sz="2" w:space="0" w:color="000000"/>
              <w:bottom w:val="single" w:sz="2" w:space="0" w:color="000000"/>
              <w:right w:val="single" w:sz="2" w:space="0" w:color="000000"/>
            </w:tcBorders>
          </w:tcPr>
          <w:p w14:paraId="2E0B6849" w14:textId="77777777" w:rsidR="002F7C0E" w:rsidRDefault="002F7C0E">
            <w:pPr>
              <w:pStyle w:val="TableParagraph"/>
              <w:rPr>
                <w:rFonts w:ascii="Arial"/>
                <w:b/>
              </w:rPr>
            </w:pPr>
          </w:p>
          <w:p w14:paraId="06AC870C" w14:textId="77777777" w:rsidR="002F7C0E" w:rsidRDefault="002F7C0E">
            <w:pPr>
              <w:pStyle w:val="TableParagraph"/>
              <w:spacing w:before="177"/>
              <w:ind w:left="272" w:right="269"/>
              <w:jc w:val="center"/>
              <w:rPr>
                <w:sz w:val="20"/>
              </w:rPr>
            </w:pPr>
            <w:r>
              <w:rPr>
                <w:sz w:val="20"/>
              </w:rPr>
              <w:t>0.114</w:t>
            </w:r>
          </w:p>
        </w:tc>
        <w:tc>
          <w:tcPr>
            <w:tcW w:w="1264" w:type="dxa"/>
            <w:tcBorders>
              <w:top w:val="single" w:sz="2" w:space="0" w:color="000000"/>
              <w:left w:val="single" w:sz="2" w:space="0" w:color="000000"/>
              <w:bottom w:val="single" w:sz="2" w:space="0" w:color="000000"/>
              <w:right w:val="single" w:sz="2" w:space="0" w:color="000000"/>
            </w:tcBorders>
          </w:tcPr>
          <w:p w14:paraId="23C598A0" w14:textId="77777777" w:rsidR="002F7C0E" w:rsidRDefault="002F7C0E">
            <w:pPr>
              <w:pStyle w:val="TableParagraph"/>
              <w:rPr>
                <w:rFonts w:ascii="Arial"/>
                <w:b/>
                <w:sz w:val="20"/>
              </w:rPr>
            </w:pPr>
          </w:p>
          <w:p w14:paraId="6E7CED9E" w14:textId="77777777" w:rsidR="002F7C0E" w:rsidRDefault="002F7C0E">
            <w:pPr>
              <w:pStyle w:val="TableParagraph"/>
              <w:spacing w:before="3"/>
              <w:rPr>
                <w:rFonts w:ascii="Arial"/>
                <w:b/>
                <w:sz w:val="16"/>
              </w:rPr>
            </w:pPr>
          </w:p>
          <w:p w14:paraId="49B4A8C7" w14:textId="77777777" w:rsidR="002F7C0E" w:rsidRDefault="002F7C0E">
            <w:pPr>
              <w:pStyle w:val="TableParagraph"/>
              <w:ind w:left="44"/>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32BBC72A" w14:textId="77777777" w:rsidR="002F7C0E" w:rsidRDefault="002F7C0E">
            <w:pPr>
              <w:pStyle w:val="TableParagraph"/>
              <w:numPr>
                <w:ilvl w:val="0"/>
                <w:numId w:val="16"/>
              </w:numPr>
              <w:tabs>
                <w:tab w:val="left" w:pos="375"/>
              </w:tabs>
              <w:spacing w:before="57" w:line="248" w:lineRule="exact"/>
              <w:ind w:left="374" w:hanging="257"/>
              <w:rPr>
                <w:sz w:val="20"/>
              </w:rPr>
            </w:pPr>
            <w:r>
              <w:rPr>
                <w:sz w:val="20"/>
              </w:rPr>
              <w:t>Human Intestinal Absorption</w:t>
            </w:r>
          </w:p>
          <w:p w14:paraId="68D46D2C" w14:textId="77777777" w:rsidR="002F7C0E" w:rsidRDefault="002F7C0E">
            <w:pPr>
              <w:pStyle w:val="TableParagraph"/>
              <w:numPr>
                <w:ilvl w:val="0"/>
                <w:numId w:val="16"/>
              </w:numPr>
              <w:tabs>
                <w:tab w:val="left" w:pos="375"/>
              </w:tabs>
              <w:ind w:right="225" w:firstLine="0"/>
              <w:rPr>
                <w:sz w:val="20"/>
              </w:rPr>
            </w:pPr>
            <w:r>
              <w:rPr>
                <w:sz w:val="20"/>
              </w:rPr>
              <w:t>Category 1: HIA+( HIA &lt; 30%); Category 0: HIA-(</w:t>
            </w:r>
            <w:r>
              <w:rPr>
                <w:spacing w:val="-54"/>
                <w:sz w:val="20"/>
              </w:rPr>
              <w:t xml:space="preserve"> </w:t>
            </w:r>
            <w:r>
              <w:rPr>
                <w:sz w:val="20"/>
              </w:rPr>
              <w:t>HIA &lt; 30%); The output value is the probability of</w:t>
            </w:r>
            <w:r>
              <w:rPr>
                <w:spacing w:val="1"/>
                <w:sz w:val="20"/>
              </w:rPr>
              <w:t xml:space="preserve"> </w:t>
            </w:r>
            <w:r>
              <w:rPr>
                <w:sz w:val="20"/>
              </w:rPr>
              <w:t>being HIA+</w:t>
            </w:r>
          </w:p>
        </w:tc>
      </w:tr>
      <w:tr w:rsidR="002F7C0E" w14:paraId="3615943F" w14:textId="77777777" w:rsidTr="002F7C0E">
        <w:trPr>
          <w:trHeight w:val="1074"/>
        </w:trPr>
        <w:tc>
          <w:tcPr>
            <w:tcW w:w="1625" w:type="dxa"/>
            <w:tcBorders>
              <w:top w:val="single" w:sz="2" w:space="0" w:color="000000"/>
              <w:left w:val="single" w:sz="2" w:space="0" w:color="000000"/>
              <w:bottom w:val="single" w:sz="2" w:space="0" w:color="000000"/>
              <w:right w:val="single" w:sz="2" w:space="0" w:color="000000"/>
            </w:tcBorders>
          </w:tcPr>
          <w:p w14:paraId="4E4FE3C4" w14:textId="77777777" w:rsidR="002F7C0E" w:rsidRDefault="002F7C0E">
            <w:pPr>
              <w:pStyle w:val="TableParagraph"/>
              <w:spacing w:before="4"/>
              <w:rPr>
                <w:rFonts w:ascii="Arial"/>
                <w:b/>
                <w:sz w:val="37"/>
              </w:rPr>
            </w:pPr>
          </w:p>
          <w:p w14:paraId="69E1BC2E" w14:textId="77777777" w:rsidR="002F7C0E" w:rsidRDefault="002F7C0E">
            <w:pPr>
              <w:pStyle w:val="TableParagraph"/>
              <w:ind w:left="120"/>
              <w:rPr>
                <w:sz w:val="16"/>
              </w:rPr>
            </w:pPr>
            <w:r>
              <w:rPr>
                <w:position w:val="10"/>
                <w:sz w:val="20"/>
              </w:rPr>
              <w:t>F</w:t>
            </w:r>
            <w:r>
              <w:rPr>
                <w:sz w:val="16"/>
              </w:rPr>
              <w:t>20%</w:t>
            </w:r>
          </w:p>
        </w:tc>
        <w:tc>
          <w:tcPr>
            <w:tcW w:w="1174" w:type="dxa"/>
            <w:tcBorders>
              <w:top w:val="single" w:sz="2" w:space="0" w:color="000000"/>
              <w:left w:val="single" w:sz="2" w:space="0" w:color="000000"/>
              <w:bottom w:val="single" w:sz="2" w:space="0" w:color="000000"/>
              <w:right w:val="single" w:sz="2" w:space="0" w:color="000000"/>
            </w:tcBorders>
          </w:tcPr>
          <w:p w14:paraId="13FD12B8" w14:textId="77777777" w:rsidR="002F7C0E" w:rsidRDefault="002F7C0E">
            <w:pPr>
              <w:pStyle w:val="TableParagraph"/>
              <w:rPr>
                <w:rFonts w:ascii="Arial"/>
                <w:b/>
              </w:rPr>
            </w:pPr>
          </w:p>
          <w:p w14:paraId="6EC3E6CC" w14:textId="77777777" w:rsidR="002F7C0E" w:rsidRDefault="002F7C0E">
            <w:pPr>
              <w:pStyle w:val="TableParagraph"/>
              <w:spacing w:before="177"/>
              <w:ind w:left="272" w:right="269"/>
              <w:jc w:val="center"/>
              <w:rPr>
                <w:sz w:val="20"/>
              </w:rPr>
            </w:pPr>
            <w:r>
              <w:rPr>
                <w:sz w:val="20"/>
              </w:rPr>
              <w:t>0.983</w:t>
            </w:r>
          </w:p>
        </w:tc>
        <w:tc>
          <w:tcPr>
            <w:tcW w:w="1264" w:type="dxa"/>
            <w:tcBorders>
              <w:top w:val="single" w:sz="2" w:space="0" w:color="000000"/>
              <w:left w:val="single" w:sz="2" w:space="0" w:color="000000"/>
              <w:bottom w:val="single" w:sz="2" w:space="0" w:color="000000"/>
              <w:right w:val="single" w:sz="2" w:space="0" w:color="000000"/>
            </w:tcBorders>
          </w:tcPr>
          <w:p w14:paraId="6C7A04A9" w14:textId="77777777" w:rsidR="002F7C0E" w:rsidRDefault="002F7C0E">
            <w:pPr>
              <w:pStyle w:val="TableParagraph"/>
              <w:rPr>
                <w:rFonts w:ascii="Arial"/>
                <w:b/>
                <w:sz w:val="20"/>
              </w:rPr>
            </w:pPr>
          </w:p>
          <w:p w14:paraId="2011BE9C" w14:textId="77777777" w:rsidR="002F7C0E" w:rsidRDefault="002F7C0E">
            <w:pPr>
              <w:pStyle w:val="TableParagraph"/>
              <w:spacing w:before="3"/>
              <w:rPr>
                <w:rFonts w:ascii="Arial"/>
                <w:b/>
                <w:sz w:val="16"/>
              </w:rPr>
            </w:pPr>
          </w:p>
          <w:p w14:paraId="63CA19D9" w14:textId="77777777" w:rsidR="002F7C0E" w:rsidRDefault="002F7C0E">
            <w:pPr>
              <w:pStyle w:val="TableParagraph"/>
              <w:ind w:left="44"/>
              <w:jc w:val="center"/>
              <w:rPr>
                <w:rFonts w:ascii="MS UI Gothic" w:hAnsi="MS UI Gothic"/>
                <w:sz w:val="20"/>
              </w:rPr>
            </w:pPr>
            <w:r>
              <w:rPr>
                <w:rFonts w:ascii="MS UI Gothic" w:hAnsi="MS UI Gothic" w:hint="eastAsia"/>
                <w:color w:val="FF0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5B4E75FE" w14:textId="77777777" w:rsidR="002F7C0E" w:rsidRDefault="002F7C0E">
            <w:pPr>
              <w:pStyle w:val="TableParagraph"/>
              <w:numPr>
                <w:ilvl w:val="0"/>
                <w:numId w:val="17"/>
              </w:numPr>
              <w:tabs>
                <w:tab w:val="left" w:pos="375"/>
              </w:tabs>
              <w:spacing w:before="57" w:line="248" w:lineRule="exact"/>
              <w:ind w:left="374" w:hanging="257"/>
              <w:rPr>
                <w:sz w:val="20"/>
              </w:rPr>
            </w:pPr>
            <w:r>
              <w:rPr>
                <w:sz w:val="20"/>
              </w:rPr>
              <w:t>20% Bioavailability</w:t>
            </w:r>
          </w:p>
          <w:p w14:paraId="6C117B25" w14:textId="77777777" w:rsidR="002F7C0E" w:rsidRDefault="002F7C0E">
            <w:pPr>
              <w:pStyle w:val="TableParagraph"/>
              <w:numPr>
                <w:ilvl w:val="0"/>
                <w:numId w:val="17"/>
              </w:numPr>
              <w:tabs>
                <w:tab w:val="left" w:pos="375"/>
              </w:tabs>
              <w:spacing w:before="26" w:line="170" w:lineRule="auto"/>
              <w:ind w:right="173" w:firstLine="0"/>
              <w:rPr>
                <w:sz w:val="20"/>
              </w:rPr>
            </w:pPr>
            <w:r>
              <w:rPr>
                <w:sz w:val="20"/>
              </w:rPr>
              <w:t>Category 1: F</w:t>
            </w:r>
            <w:r>
              <w:rPr>
                <w:position w:val="-9"/>
                <w:sz w:val="16"/>
              </w:rPr>
              <w:t>20%</w:t>
            </w:r>
            <w:r>
              <w:rPr>
                <w:sz w:val="20"/>
              </w:rPr>
              <w:t>+ (bioavailability &lt; 20%);</w:t>
            </w:r>
            <w:r>
              <w:rPr>
                <w:spacing w:val="1"/>
                <w:sz w:val="20"/>
              </w:rPr>
              <w:t xml:space="preserve"> </w:t>
            </w:r>
            <w:r>
              <w:rPr>
                <w:sz w:val="20"/>
              </w:rPr>
              <w:t>Category</w:t>
            </w:r>
            <w:r>
              <w:rPr>
                <w:spacing w:val="-3"/>
                <w:sz w:val="20"/>
              </w:rPr>
              <w:t xml:space="preserve"> </w:t>
            </w:r>
            <w:r>
              <w:rPr>
                <w:sz w:val="20"/>
              </w:rPr>
              <w:t>0:</w:t>
            </w:r>
            <w:r>
              <w:rPr>
                <w:spacing w:val="-2"/>
                <w:sz w:val="20"/>
              </w:rPr>
              <w:t xml:space="preserve"> </w:t>
            </w:r>
            <w:r>
              <w:rPr>
                <w:sz w:val="20"/>
              </w:rPr>
              <w:t>F</w:t>
            </w:r>
            <w:r>
              <w:rPr>
                <w:position w:val="-9"/>
                <w:sz w:val="16"/>
              </w:rPr>
              <w:t>20%</w:t>
            </w:r>
            <w:r>
              <w:rPr>
                <w:sz w:val="20"/>
              </w:rPr>
              <w:t>-</w:t>
            </w:r>
            <w:r>
              <w:rPr>
                <w:spacing w:val="-2"/>
                <w:sz w:val="20"/>
              </w:rPr>
              <w:t xml:space="preserve"> </w:t>
            </w:r>
            <w:r>
              <w:rPr>
                <w:sz w:val="20"/>
              </w:rPr>
              <w:t>(bioavailability</w:t>
            </w:r>
            <w:r>
              <w:rPr>
                <w:spacing w:val="-3"/>
                <w:sz w:val="20"/>
              </w:rPr>
              <w:t xml:space="preserve"> </w:t>
            </w:r>
            <w:r>
              <w:rPr>
                <w:rFonts w:ascii="Symbol" w:hAnsi="Symbol"/>
                <w:sz w:val="20"/>
              </w:rPr>
              <w:t>³</w:t>
            </w:r>
            <w:r>
              <w:rPr>
                <w:rFonts w:ascii="Times New Roman" w:hAnsi="Times New Roman"/>
                <w:spacing w:val="3"/>
                <w:sz w:val="20"/>
              </w:rPr>
              <w:t xml:space="preserve"> </w:t>
            </w:r>
            <w:r>
              <w:rPr>
                <w:sz w:val="20"/>
              </w:rPr>
              <w:t>20%);</w:t>
            </w:r>
            <w:r>
              <w:rPr>
                <w:spacing w:val="-2"/>
                <w:sz w:val="20"/>
              </w:rPr>
              <w:t xml:space="preserve"> </w:t>
            </w:r>
            <w:r>
              <w:rPr>
                <w:sz w:val="20"/>
              </w:rPr>
              <w:t>The</w:t>
            </w:r>
            <w:r>
              <w:rPr>
                <w:spacing w:val="-2"/>
                <w:sz w:val="20"/>
              </w:rPr>
              <w:t xml:space="preserve"> </w:t>
            </w:r>
            <w:r>
              <w:rPr>
                <w:sz w:val="20"/>
              </w:rPr>
              <w:t>output</w:t>
            </w:r>
          </w:p>
          <w:p w14:paraId="75AE2D87" w14:textId="77777777" w:rsidR="002F7C0E" w:rsidRDefault="002F7C0E">
            <w:pPr>
              <w:pStyle w:val="TableParagraph"/>
              <w:spacing w:line="134" w:lineRule="auto"/>
              <w:ind w:left="118"/>
              <w:rPr>
                <w:sz w:val="20"/>
              </w:rPr>
            </w:pPr>
            <w:r>
              <w:rPr>
                <w:sz w:val="20"/>
              </w:rPr>
              <w:t>value is the probability of being F</w:t>
            </w:r>
            <w:r>
              <w:rPr>
                <w:position w:val="-9"/>
                <w:sz w:val="16"/>
              </w:rPr>
              <w:t>20%</w:t>
            </w:r>
            <w:r>
              <w:rPr>
                <w:sz w:val="20"/>
              </w:rPr>
              <w:t>+</w:t>
            </w:r>
          </w:p>
        </w:tc>
      </w:tr>
    </w:tbl>
    <w:p w14:paraId="74E506A1" w14:textId="77777777" w:rsidR="002F7C0E" w:rsidRDefault="002F7C0E" w:rsidP="002F7C0E">
      <w:pPr>
        <w:spacing w:line="134" w:lineRule="auto"/>
        <w:rPr>
          <w:sz w:val="20"/>
        </w:rPr>
        <w:sectPr w:rsidR="002F7C0E">
          <w:pgSz w:w="11910" w:h="16840"/>
          <w:pgMar w:top="1540" w:right="1320" w:bottom="1240" w:left="1320" w:header="0" w:footer="1040" w:gutter="0"/>
          <w:cols w:space="720"/>
        </w:sect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25"/>
        <w:gridCol w:w="1174"/>
        <w:gridCol w:w="1264"/>
        <w:gridCol w:w="4964"/>
      </w:tblGrid>
      <w:tr w:rsidR="002F7C0E" w14:paraId="07546CEC" w14:textId="77777777" w:rsidTr="002F7C0E">
        <w:trPr>
          <w:trHeight w:val="1075"/>
        </w:trPr>
        <w:tc>
          <w:tcPr>
            <w:tcW w:w="1625" w:type="dxa"/>
            <w:tcBorders>
              <w:top w:val="single" w:sz="2" w:space="0" w:color="000000"/>
              <w:left w:val="single" w:sz="2" w:space="0" w:color="000000"/>
              <w:bottom w:val="single" w:sz="2" w:space="0" w:color="000000"/>
              <w:right w:val="single" w:sz="2" w:space="0" w:color="000000"/>
            </w:tcBorders>
          </w:tcPr>
          <w:p w14:paraId="113C5536" w14:textId="77777777" w:rsidR="002F7C0E" w:rsidRDefault="002F7C0E">
            <w:pPr>
              <w:pStyle w:val="TableParagraph"/>
              <w:spacing w:before="4"/>
              <w:rPr>
                <w:rFonts w:ascii="Arial"/>
                <w:b/>
                <w:sz w:val="37"/>
              </w:rPr>
            </w:pPr>
          </w:p>
          <w:p w14:paraId="529DC2DF" w14:textId="77777777" w:rsidR="002F7C0E" w:rsidRDefault="002F7C0E">
            <w:pPr>
              <w:pStyle w:val="TableParagraph"/>
              <w:ind w:left="120"/>
              <w:rPr>
                <w:sz w:val="16"/>
              </w:rPr>
            </w:pPr>
            <w:r>
              <w:rPr>
                <w:position w:val="10"/>
                <w:sz w:val="20"/>
              </w:rPr>
              <w:t>F</w:t>
            </w:r>
            <w:r>
              <w:rPr>
                <w:sz w:val="16"/>
              </w:rPr>
              <w:t>30%</w:t>
            </w:r>
          </w:p>
        </w:tc>
        <w:tc>
          <w:tcPr>
            <w:tcW w:w="1174" w:type="dxa"/>
            <w:tcBorders>
              <w:top w:val="single" w:sz="2" w:space="0" w:color="000000"/>
              <w:left w:val="single" w:sz="2" w:space="0" w:color="000000"/>
              <w:bottom w:val="single" w:sz="2" w:space="0" w:color="000000"/>
              <w:right w:val="single" w:sz="2" w:space="0" w:color="000000"/>
            </w:tcBorders>
          </w:tcPr>
          <w:p w14:paraId="0949BF14" w14:textId="77777777" w:rsidR="002F7C0E" w:rsidRDefault="002F7C0E">
            <w:pPr>
              <w:pStyle w:val="TableParagraph"/>
              <w:rPr>
                <w:rFonts w:ascii="Arial"/>
                <w:b/>
              </w:rPr>
            </w:pPr>
          </w:p>
          <w:p w14:paraId="6D34227A" w14:textId="77777777" w:rsidR="002F7C0E" w:rsidRDefault="002F7C0E">
            <w:pPr>
              <w:pStyle w:val="TableParagraph"/>
              <w:spacing w:before="177"/>
              <w:ind w:left="336"/>
              <w:rPr>
                <w:sz w:val="20"/>
              </w:rPr>
            </w:pPr>
            <w:r>
              <w:rPr>
                <w:sz w:val="20"/>
              </w:rPr>
              <w:t>0.769</w:t>
            </w:r>
          </w:p>
        </w:tc>
        <w:tc>
          <w:tcPr>
            <w:tcW w:w="1264" w:type="dxa"/>
            <w:tcBorders>
              <w:top w:val="single" w:sz="2" w:space="0" w:color="000000"/>
              <w:left w:val="single" w:sz="2" w:space="0" w:color="000000"/>
              <w:bottom w:val="single" w:sz="2" w:space="0" w:color="000000"/>
              <w:right w:val="single" w:sz="2" w:space="0" w:color="000000"/>
            </w:tcBorders>
          </w:tcPr>
          <w:p w14:paraId="041B95B7" w14:textId="77777777" w:rsidR="002F7C0E" w:rsidRDefault="002F7C0E">
            <w:pPr>
              <w:pStyle w:val="TableParagraph"/>
              <w:rPr>
                <w:rFonts w:ascii="Arial"/>
                <w:b/>
                <w:sz w:val="20"/>
              </w:rPr>
            </w:pPr>
          </w:p>
          <w:p w14:paraId="314B3678" w14:textId="77777777" w:rsidR="002F7C0E" w:rsidRDefault="002F7C0E">
            <w:pPr>
              <w:pStyle w:val="TableParagraph"/>
              <w:spacing w:before="3"/>
              <w:rPr>
                <w:rFonts w:ascii="Arial"/>
                <w:b/>
                <w:sz w:val="16"/>
              </w:rPr>
            </w:pPr>
          </w:p>
          <w:p w14:paraId="2D755AC8" w14:textId="77777777" w:rsidR="002F7C0E" w:rsidRDefault="002F7C0E">
            <w:pPr>
              <w:pStyle w:val="TableParagraph"/>
              <w:ind w:left="44"/>
              <w:jc w:val="center"/>
              <w:rPr>
                <w:rFonts w:ascii="MS UI Gothic" w:hAnsi="MS UI Gothic"/>
                <w:sz w:val="20"/>
              </w:rPr>
            </w:pPr>
            <w:r>
              <w:rPr>
                <w:rFonts w:ascii="MS UI Gothic" w:hAnsi="MS UI Gothic" w:hint="eastAsia"/>
                <w:color w:val="FF0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0A28858C" w14:textId="77777777" w:rsidR="002F7C0E" w:rsidRDefault="002F7C0E">
            <w:pPr>
              <w:pStyle w:val="TableParagraph"/>
              <w:numPr>
                <w:ilvl w:val="0"/>
                <w:numId w:val="18"/>
              </w:numPr>
              <w:tabs>
                <w:tab w:val="left" w:pos="375"/>
              </w:tabs>
              <w:spacing w:before="57" w:line="248" w:lineRule="exact"/>
              <w:ind w:left="374" w:hanging="257"/>
              <w:rPr>
                <w:sz w:val="20"/>
              </w:rPr>
            </w:pPr>
            <w:r>
              <w:rPr>
                <w:sz w:val="20"/>
              </w:rPr>
              <w:t>30% Bioavailability</w:t>
            </w:r>
          </w:p>
          <w:p w14:paraId="4F980BFF" w14:textId="77777777" w:rsidR="002F7C0E" w:rsidRDefault="002F7C0E">
            <w:pPr>
              <w:pStyle w:val="TableParagraph"/>
              <w:numPr>
                <w:ilvl w:val="0"/>
                <w:numId w:val="18"/>
              </w:numPr>
              <w:tabs>
                <w:tab w:val="left" w:pos="375"/>
              </w:tabs>
              <w:spacing w:before="26" w:line="170" w:lineRule="auto"/>
              <w:ind w:right="173" w:firstLine="0"/>
              <w:rPr>
                <w:sz w:val="20"/>
              </w:rPr>
            </w:pPr>
            <w:r>
              <w:rPr>
                <w:sz w:val="20"/>
              </w:rPr>
              <w:t>Category 1: F</w:t>
            </w:r>
            <w:r>
              <w:rPr>
                <w:position w:val="-9"/>
                <w:sz w:val="16"/>
              </w:rPr>
              <w:t>30%</w:t>
            </w:r>
            <w:r>
              <w:rPr>
                <w:sz w:val="20"/>
              </w:rPr>
              <w:t>+ (bioavailability &lt; 30%);</w:t>
            </w:r>
            <w:r>
              <w:rPr>
                <w:spacing w:val="1"/>
                <w:sz w:val="20"/>
              </w:rPr>
              <w:t xml:space="preserve"> </w:t>
            </w:r>
            <w:r>
              <w:rPr>
                <w:sz w:val="20"/>
              </w:rPr>
              <w:t>Category</w:t>
            </w:r>
            <w:r>
              <w:rPr>
                <w:spacing w:val="-3"/>
                <w:sz w:val="20"/>
              </w:rPr>
              <w:t xml:space="preserve"> </w:t>
            </w:r>
            <w:r>
              <w:rPr>
                <w:sz w:val="20"/>
              </w:rPr>
              <w:t>0:</w:t>
            </w:r>
            <w:r>
              <w:rPr>
                <w:spacing w:val="-2"/>
                <w:sz w:val="20"/>
              </w:rPr>
              <w:t xml:space="preserve"> </w:t>
            </w:r>
            <w:r>
              <w:rPr>
                <w:sz w:val="20"/>
              </w:rPr>
              <w:t>F</w:t>
            </w:r>
            <w:r>
              <w:rPr>
                <w:position w:val="-9"/>
                <w:sz w:val="16"/>
              </w:rPr>
              <w:t>30%</w:t>
            </w:r>
            <w:r>
              <w:rPr>
                <w:sz w:val="20"/>
              </w:rPr>
              <w:t>-</w:t>
            </w:r>
            <w:r>
              <w:rPr>
                <w:spacing w:val="-2"/>
                <w:sz w:val="20"/>
              </w:rPr>
              <w:t xml:space="preserve"> </w:t>
            </w:r>
            <w:r>
              <w:rPr>
                <w:sz w:val="20"/>
              </w:rPr>
              <w:t>(bioavailability</w:t>
            </w:r>
            <w:r>
              <w:rPr>
                <w:spacing w:val="-3"/>
                <w:sz w:val="20"/>
              </w:rPr>
              <w:t xml:space="preserve"> </w:t>
            </w:r>
            <w:r>
              <w:rPr>
                <w:rFonts w:ascii="Symbol" w:hAnsi="Symbol"/>
                <w:sz w:val="20"/>
              </w:rPr>
              <w:t>³</w:t>
            </w:r>
            <w:r>
              <w:rPr>
                <w:rFonts w:ascii="Times New Roman" w:hAnsi="Times New Roman"/>
                <w:spacing w:val="3"/>
                <w:sz w:val="20"/>
              </w:rPr>
              <w:t xml:space="preserve"> </w:t>
            </w:r>
            <w:r>
              <w:rPr>
                <w:sz w:val="20"/>
              </w:rPr>
              <w:t>30%);</w:t>
            </w:r>
            <w:r>
              <w:rPr>
                <w:spacing w:val="-2"/>
                <w:sz w:val="20"/>
              </w:rPr>
              <w:t xml:space="preserve"> </w:t>
            </w:r>
            <w:r>
              <w:rPr>
                <w:sz w:val="20"/>
              </w:rPr>
              <w:t>The</w:t>
            </w:r>
            <w:r>
              <w:rPr>
                <w:spacing w:val="-2"/>
                <w:sz w:val="20"/>
              </w:rPr>
              <w:t xml:space="preserve"> </w:t>
            </w:r>
            <w:r>
              <w:rPr>
                <w:sz w:val="20"/>
              </w:rPr>
              <w:t>output</w:t>
            </w:r>
          </w:p>
          <w:p w14:paraId="17112210" w14:textId="77777777" w:rsidR="002F7C0E" w:rsidRDefault="002F7C0E">
            <w:pPr>
              <w:pStyle w:val="TableParagraph"/>
              <w:spacing w:line="134" w:lineRule="auto"/>
              <w:ind w:left="118"/>
              <w:rPr>
                <w:sz w:val="20"/>
              </w:rPr>
            </w:pPr>
            <w:r>
              <w:rPr>
                <w:sz w:val="20"/>
              </w:rPr>
              <w:t>value is the probability of being F</w:t>
            </w:r>
            <w:r>
              <w:rPr>
                <w:position w:val="-9"/>
                <w:sz w:val="16"/>
              </w:rPr>
              <w:t>30%</w:t>
            </w:r>
            <w:r>
              <w:rPr>
                <w:sz w:val="20"/>
              </w:rPr>
              <w:t>+</w:t>
            </w:r>
          </w:p>
        </w:tc>
      </w:tr>
    </w:tbl>
    <w:p w14:paraId="4CE35A8C" w14:textId="062A07A1" w:rsidR="002F7C0E" w:rsidRDefault="002F7C0E" w:rsidP="002F7C0E">
      <w:pPr>
        <w:pStyle w:val="BodyText"/>
        <w:rPr>
          <w:sz w:val="14"/>
        </w:rPr>
      </w:pPr>
    </w:p>
    <w:p w14:paraId="49158B45" w14:textId="77777777" w:rsidR="002F7C0E" w:rsidRDefault="002F7C0E">
      <w:pPr>
        <w:pStyle w:val="ListParagraph"/>
        <w:widowControl w:val="0"/>
        <w:numPr>
          <w:ilvl w:val="0"/>
          <w:numId w:val="4"/>
        </w:numPr>
        <w:tabs>
          <w:tab w:val="left" w:pos="552"/>
        </w:tabs>
        <w:autoSpaceDE w:val="0"/>
        <w:autoSpaceDN w:val="0"/>
        <w:spacing w:before="91" w:after="0" w:line="240" w:lineRule="auto"/>
        <w:contextualSpacing w:val="0"/>
        <w:rPr>
          <w:b/>
          <w:sz w:val="28"/>
        </w:rPr>
      </w:pPr>
      <w:r>
        <w:rPr>
          <w:b/>
          <w:sz w:val="28"/>
        </w:rPr>
        <w:t>Distribution</w:t>
      </w:r>
    </w:p>
    <w:p w14:paraId="5A8CAACF" w14:textId="77777777" w:rsidR="002F7C0E" w:rsidRDefault="002F7C0E" w:rsidP="002F7C0E">
      <w:pPr>
        <w:pStyle w:val="BodyText"/>
        <w:rPr>
          <w:sz w:val="12"/>
        </w:r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54"/>
        <w:gridCol w:w="1354"/>
        <w:gridCol w:w="1354"/>
        <w:gridCol w:w="4964"/>
      </w:tblGrid>
      <w:tr w:rsidR="002F7C0E" w14:paraId="3F4F6926" w14:textId="77777777" w:rsidTr="002F7C0E">
        <w:trPr>
          <w:trHeight w:val="355"/>
        </w:trPr>
        <w:tc>
          <w:tcPr>
            <w:tcW w:w="1354" w:type="dxa"/>
            <w:tcBorders>
              <w:top w:val="single" w:sz="2" w:space="0" w:color="000000"/>
              <w:left w:val="single" w:sz="2" w:space="0" w:color="000000"/>
              <w:bottom w:val="single" w:sz="2" w:space="0" w:color="000000"/>
              <w:right w:val="single" w:sz="2" w:space="0" w:color="000000"/>
            </w:tcBorders>
            <w:hideMark/>
          </w:tcPr>
          <w:p w14:paraId="6181B1BF" w14:textId="77777777" w:rsidR="002F7C0E" w:rsidRDefault="002F7C0E">
            <w:pPr>
              <w:pStyle w:val="TableParagraph"/>
              <w:spacing w:before="71"/>
              <w:ind w:left="120"/>
              <w:rPr>
                <w:rFonts w:ascii="Arial"/>
                <w:b/>
              </w:rPr>
            </w:pPr>
            <w:r>
              <w:rPr>
                <w:rFonts w:ascii="Arial"/>
                <w:b/>
              </w:rPr>
              <w:t>Property</w:t>
            </w:r>
          </w:p>
        </w:tc>
        <w:tc>
          <w:tcPr>
            <w:tcW w:w="1354" w:type="dxa"/>
            <w:tcBorders>
              <w:top w:val="single" w:sz="2" w:space="0" w:color="000000"/>
              <w:left w:val="single" w:sz="2" w:space="0" w:color="000000"/>
              <w:bottom w:val="single" w:sz="2" w:space="0" w:color="000000"/>
              <w:right w:val="single" w:sz="2" w:space="0" w:color="000000"/>
            </w:tcBorders>
            <w:hideMark/>
          </w:tcPr>
          <w:p w14:paraId="478CD177" w14:textId="77777777" w:rsidR="002F7C0E" w:rsidRDefault="002F7C0E">
            <w:pPr>
              <w:pStyle w:val="TableParagraph"/>
              <w:spacing w:before="71"/>
              <w:ind w:right="376"/>
              <w:jc w:val="right"/>
              <w:rPr>
                <w:rFonts w:ascii="Arial"/>
                <w:b/>
              </w:rPr>
            </w:pPr>
            <w:r>
              <w:rPr>
                <w:rFonts w:ascii="Arial"/>
                <w:b/>
              </w:rPr>
              <w:t>Value</w:t>
            </w:r>
          </w:p>
        </w:tc>
        <w:tc>
          <w:tcPr>
            <w:tcW w:w="1354" w:type="dxa"/>
            <w:tcBorders>
              <w:top w:val="single" w:sz="2" w:space="0" w:color="000000"/>
              <w:left w:val="single" w:sz="2" w:space="0" w:color="000000"/>
              <w:bottom w:val="single" w:sz="2" w:space="0" w:color="000000"/>
              <w:right w:val="single" w:sz="2" w:space="0" w:color="000000"/>
            </w:tcBorders>
            <w:hideMark/>
          </w:tcPr>
          <w:p w14:paraId="004C9D59" w14:textId="77777777" w:rsidR="002F7C0E" w:rsidRDefault="002F7C0E">
            <w:pPr>
              <w:pStyle w:val="TableParagraph"/>
              <w:spacing w:before="71"/>
              <w:ind w:left="198" w:right="194"/>
              <w:jc w:val="center"/>
              <w:rPr>
                <w:rFonts w:ascii="Arial"/>
                <w:b/>
              </w:rPr>
            </w:pPr>
            <w:r>
              <w:rPr>
                <w:rFonts w:ascii="Arial"/>
                <w:b/>
              </w:rPr>
              <w:t>Decision</w:t>
            </w:r>
          </w:p>
        </w:tc>
        <w:tc>
          <w:tcPr>
            <w:tcW w:w="4964" w:type="dxa"/>
            <w:tcBorders>
              <w:top w:val="single" w:sz="2" w:space="0" w:color="000000"/>
              <w:left w:val="single" w:sz="2" w:space="0" w:color="000000"/>
              <w:bottom w:val="single" w:sz="2" w:space="0" w:color="000000"/>
              <w:right w:val="single" w:sz="2" w:space="0" w:color="000000"/>
            </w:tcBorders>
            <w:hideMark/>
          </w:tcPr>
          <w:p w14:paraId="163D0E04" w14:textId="77777777" w:rsidR="002F7C0E" w:rsidRDefault="002F7C0E">
            <w:pPr>
              <w:pStyle w:val="TableParagraph"/>
              <w:spacing w:before="71"/>
              <w:ind w:left="119"/>
              <w:rPr>
                <w:rFonts w:ascii="Arial"/>
                <w:b/>
              </w:rPr>
            </w:pPr>
            <w:r>
              <w:rPr>
                <w:rFonts w:ascii="Arial"/>
                <w:b/>
              </w:rPr>
              <w:t>Comment</w:t>
            </w:r>
          </w:p>
        </w:tc>
      </w:tr>
      <w:tr w:rsidR="002F7C0E" w14:paraId="47E270E2"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tcPr>
          <w:p w14:paraId="6481B9C4" w14:textId="77777777" w:rsidR="002F7C0E" w:rsidRDefault="002F7C0E">
            <w:pPr>
              <w:pStyle w:val="TableParagraph"/>
              <w:spacing w:before="10"/>
              <w:rPr>
                <w:rFonts w:ascii="Arial"/>
                <w:b/>
                <w:sz w:val="26"/>
              </w:rPr>
            </w:pPr>
          </w:p>
          <w:p w14:paraId="5FC073E3" w14:textId="77777777" w:rsidR="002F7C0E" w:rsidRDefault="002F7C0E">
            <w:pPr>
              <w:pStyle w:val="TableParagraph"/>
              <w:spacing w:before="1"/>
              <w:ind w:left="120"/>
              <w:rPr>
                <w:sz w:val="20"/>
              </w:rPr>
            </w:pPr>
            <w:r>
              <w:rPr>
                <w:sz w:val="20"/>
              </w:rPr>
              <w:t>PPB</w:t>
            </w:r>
          </w:p>
        </w:tc>
        <w:tc>
          <w:tcPr>
            <w:tcW w:w="1354" w:type="dxa"/>
            <w:tcBorders>
              <w:top w:val="single" w:sz="2" w:space="0" w:color="000000"/>
              <w:left w:val="single" w:sz="2" w:space="0" w:color="000000"/>
              <w:bottom w:val="single" w:sz="2" w:space="0" w:color="000000"/>
              <w:right w:val="single" w:sz="2" w:space="0" w:color="000000"/>
            </w:tcBorders>
          </w:tcPr>
          <w:p w14:paraId="752AA394" w14:textId="77777777" w:rsidR="002F7C0E" w:rsidRDefault="002F7C0E">
            <w:pPr>
              <w:pStyle w:val="TableParagraph"/>
              <w:spacing w:before="10"/>
              <w:rPr>
                <w:rFonts w:ascii="Arial"/>
                <w:b/>
                <w:sz w:val="26"/>
              </w:rPr>
            </w:pPr>
          </w:p>
          <w:p w14:paraId="7FD255FB" w14:textId="77777777" w:rsidR="002F7C0E" w:rsidRDefault="002F7C0E">
            <w:pPr>
              <w:pStyle w:val="TableParagraph"/>
              <w:spacing w:before="1"/>
              <w:ind w:right="331"/>
              <w:jc w:val="right"/>
              <w:rPr>
                <w:sz w:val="20"/>
              </w:rPr>
            </w:pPr>
            <w:r>
              <w:rPr>
                <w:sz w:val="20"/>
              </w:rPr>
              <w:t>78.13%</w:t>
            </w:r>
          </w:p>
        </w:tc>
        <w:tc>
          <w:tcPr>
            <w:tcW w:w="1354" w:type="dxa"/>
            <w:tcBorders>
              <w:top w:val="single" w:sz="2" w:space="0" w:color="000000"/>
              <w:left w:val="single" w:sz="2" w:space="0" w:color="000000"/>
              <w:bottom w:val="single" w:sz="2" w:space="0" w:color="000000"/>
              <w:right w:val="single" w:sz="2" w:space="0" w:color="000000"/>
            </w:tcBorders>
          </w:tcPr>
          <w:p w14:paraId="433969B5" w14:textId="77777777" w:rsidR="002F7C0E" w:rsidRDefault="002F7C0E">
            <w:pPr>
              <w:pStyle w:val="TableParagraph"/>
              <w:spacing w:before="10"/>
              <w:rPr>
                <w:rFonts w:ascii="Arial"/>
                <w:b/>
                <w:sz w:val="25"/>
              </w:rPr>
            </w:pPr>
          </w:p>
          <w:p w14:paraId="0C991169"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673D95A6" w14:textId="77777777" w:rsidR="002F7C0E" w:rsidRDefault="002F7C0E">
            <w:pPr>
              <w:pStyle w:val="TableParagraph"/>
              <w:numPr>
                <w:ilvl w:val="0"/>
                <w:numId w:val="19"/>
              </w:numPr>
              <w:tabs>
                <w:tab w:val="left" w:pos="376"/>
              </w:tabs>
              <w:spacing w:before="57" w:line="248" w:lineRule="exact"/>
              <w:ind w:left="375" w:hanging="257"/>
              <w:rPr>
                <w:sz w:val="20"/>
              </w:rPr>
            </w:pPr>
            <w:r>
              <w:rPr>
                <w:sz w:val="20"/>
              </w:rPr>
              <w:t>Plasma Protein Binding</w:t>
            </w:r>
          </w:p>
          <w:p w14:paraId="40A2FD76" w14:textId="77777777" w:rsidR="002F7C0E" w:rsidRDefault="002F7C0E">
            <w:pPr>
              <w:pStyle w:val="TableParagraph"/>
              <w:numPr>
                <w:ilvl w:val="0"/>
                <w:numId w:val="19"/>
              </w:numPr>
              <w:tabs>
                <w:tab w:val="left" w:pos="376"/>
              </w:tabs>
              <w:spacing w:line="232" w:lineRule="auto"/>
              <w:ind w:right="429" w:firstLine="0"/>
              <w:rPr>
                <w:sz w:val="20"/>
              </w:rPr>
            </w:pPr>
            <w:r>
              <w:rPr>
                <w:sz w:val="20"/>
              </w:rPr>
              <w:t>Optimal: &lt; 90%. Drugs with high protein-bound</w:t>
            </w:r>
            <w:r>
              <w:rPr>
                <w:spacing w:val="-54"/>
                <w:sz w:val="20"/>
              </w:rPr>
              <w:t xml:space="preserve"> </w:t>
            </w:r>
            <w:r>
              <w:rPr>
                <w:sz w:val="20"/>
              </w:rPr>
              <w:t>may have a low therapeutic index.</w:t>
            </w:r>
          </w:p>
        </w:tc>
      </w:tr>
      <w:tr w:rsidR="002F7C0E" w14:paraId="3277F139" w14:textId="77777777" w:rsidTr="002F7C0E">
        <w:trPr>
          <w:trHeight w:val="595"/>
        </w:trPr>
        <w:tc>
          <w:tcPr>
            <w:tcW w:w="1354" w:type="dxa"/>
            <w:tcBorders>
              <w:top w:val="single" w:sz="2" w:space="0" w:color="000000"/>
              <w:left w:val="single" w:sz="2" w:space="0" w:color="000000"/>
              <w:bottom w:val="single" w:sz="2" w:space="0" w:color="000000"/>
              <w:right w:val="single" w:sz="2" w:space="0" w:color="000000"/>
            </w:tcBorders>
            <w:hideMark/>
          </w:tcPr>
          <w:p w14:paraId="55115FD9" w14:textId="77777777" w:rsidR="002F7C0E" w:rsidRDefault="002F7C0E">
            <w:pPr>
              <w:pStyle w:val="TableParagraph"/>
              <w:spacing w:before="190"/>
              <w:ind w:left="120"/>
              <w:rPr>
                <w:sz w:val="20"/>
              </w:rPr>
            </w:pPr>
            <w:r>
              <w:rPr>
                <w:sz w:val="20"/>
              </w:rPr>
              <w:t>VD</w:t>
            </w:r>
          </w:p>
        </w:tc>
        <w:tc>
          <w:tcPr>
            <w:tcW w:w="1354" w:type="dxa"/>
            <w:tcBorders>
              <w:top w:val="single" w:sz="2" w:space="0" w:color="000000"/>
              <w:left w:val="single" w:sz="2" w:space="0" w:color="000000"/>
              <w:bottom w:val="single" w:sz="2" w:space="0" w:color="000000"/>
              <w:right w:val="single" w:sz="2" w:space="0" w:color="000000"/>
            </w:tcBorders>
            <w:hideMark/>
          </w:tcPr>
          <w:p w14:paraId="1696E831" w14:textId="77777777" w:rsidR="002F7C0E" w:rsidRDefault="002F7C0E">
            <w:pPr>
              <w:pStyle w:val="TableParagraph"/>
              <w:spacing w:before="190"/>
              <w:ind w:right="419"/>
              <w:jc w:val="right"/>
              <w:rPr>
                <w:sz w:val="20"/>
              </w:rPr>
            </w:pPr>
            <w:r>
              <w:rPr>
                <w:sz w:val="20"/>
              </w:rPr>
              <w:t>0.837</w:t>
            </w:r>
          </w:p>
        </w:tc>
        <w:tc>
          <w:tcPr>
            <w:tcW w:w="1354" w:type="dxa"/>
            <w:tcBorders>
              <w:top w:val="single" w:sz="2" w:space="0" w:color="000000"/>
              <w:left w:val="single" w:sz="2" w:space="0" w:color="000000"/>
              <w:bottom w:val="single" w:sz="2" w:space="0" w:color="000000"/>
              <w:right w:val="single" w:sz="2" w:space="0" w:color="000000"/>
            </w:tcBorders>
            <w:hideMark/>
          </w:tcPr>
          <w:p w14:paraId="365669E8" w14:textId="77777777" w:rsidR="002F7C0E" w:rsidRDefault="002F7C0E">
            <w:pPr>
              <w:pStyle w:val="TableParagraph"/>
              <w:spacing w:before="177"/>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2C29B569" w14:textId="77777777" w:rsidR="002F7C0E" w:rsidRDefault="002F7C0E">
            <w:pPr>
              <w:pStyle w:val="TableParagraph"/>
              <w:numPr>
                <w:ilvl w:val="0"/>
                <w:numId w:val="20"/>
              </w:numPr>
              <w:tabs>
                <w:tab w:val="left" w:pos="376"/>
              </w:tabs>
              <w:spacing w:before="57" w:line="248" w:lineRule="exact"/>
              <w:ind w:hanging="257"/>
              <w:rPr>
                <w:sz w:val="20"/>
              </w:rPr>
            </w:pPr>
            <w:r>
              <w:rPr>
                <w:sz w:val="20"/>
              </w:rPr>
              <w:t>Volume Distribution</w:t>
            </w:r>
          </w:p>
          <w:p w14:paraId="57214599" w14:textId="77777777" w:rsidR="002F7C0E" w:rsidRDefault="002F7C0E">
            <w:pPr>
              <w:pStyle w:val="TableParagraph"/>
              <w:numPr>
                <w:ilvl w:val="0"/>
                <w:numId w:val="20"/>
              </w:numPr>
              <w:tabs>
                <w:tab w:val="left" w:pos="376"/>
              </w:tabs>
              <w:spacing w:line="248" w:lineRule="exact"/>
              <w:ind w:hanging="257"/>
              <w:rPr>
                <w:sz w:val="20"/>
              </w:rPr>
            </w:pPr>
            <w:r>
              <w:rPr>
                <w:sz w:val="20"/>
              </w:rPr>
              <w:t>Optimal: 0.04-20L/kg</w:t>
            </w:r>
          </w:p>
        </w:tc>
      </w:tr>
      <w:tr w:rsidR="002F7C0E" w14:paraId="40697F34"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hideMark/>
          </w:tcPr>
          <w:p w14:paraId="3E6DEE1A" w14:textId="77777777" w:rsidR="002F7C0E" w:rsidRDefault="002F7C0E">
            <w:pPr>
              <w:pStyle w:val="TableParagraph"/>
              <w:spacing w:before="190"/>
              <w:ind w:left="120"/>
              <w:rPr>
                <w:sz w:val="20"/>
              </w:rPr>
            </w:pPr>
            <w:r>
              <w:rPr>
                <w:sz w:val="20"/>
              </w:rPr>
              <w:t>BBB</w:t>
            </w:r>
          </w:p>
          <w:p w14:paraId="1A541F7C" w14:textId="77777777" w:rsidR="002F7C0E" w:rsidRDefault="002F7C0E">
            <w:pPr>
              <w:pStyle w:val="TableParagraph"/>
              <w:spacing w:before="10"/>
              <w:ind w:left="120"/>
              <w:rPr>
                <w:sz w:val="20"/>
              </w:rPr>
            </w:pPr>
            <w:r>
              <w:rPr>
                <w:sz w:val="20"/>
              </w:rPr>
              <w:t>Penetration</w:t>
            </w:r>
          </w:p>
        </w:tc>
        <w:tc>
          <w:tcPr>
            <w:tcW w:w="1354" w:type="dxa"/>
            <w:tcBorders>
              <w:top w:val="single" w:sz="2" w:space="0" w:color="000000"/>
              <w:left w:val="single" w:sz="2" w:space="0" w:color="000000"/>
              <w:bottom w:val="single" w:sz="2" w:space="0" w:color="000000"/>
              <w:right w:val="single" w:sz="2" w:space="0" w:color="000000"/>
            </w:tcBorders>
          </w:tcPr>
          <w:p w14:paraId="284888D4" w14:textId="77777777" w:rsidR="002F7C0E" w:rsidRDefault="002F7C0E">
            <w:pPr>
              <w:pStyle w:val="TableParagraph"/>
              <w:spacing w:before="10"/>
              <w:rPr>
                <w:rFonts w:ascii="Arial"/>
                <w:b/>
                <w:sz w:val="26"/>
              </w:rPr>
            </w:pPr>
          </w:p>
          <w:p w14:paraId="01B5EA03" w14:textId="77777777" w:rsidR="002F7C0E" w:rsidRDefault="002F7C0E">
            <w:pPr>
              <w:pStyle w:val="TableParagraph"/>
              <w:spacing w:before="1"/>
              <w:ind w:right="419"/>
              <w:jc w:val="right"/>
              <w:rPr>
                <w:sz w:val="20"/>
              </w:rPr>
            </w:pPr>
            <w:r>
              <w:rPr>
                <w:sz w:val="20"/>
              </w:rPr>
              <w:t>0.093</w:t>
            </w:r>
          </w:p>
        </w:tc>
        <w:tc>
          <w:tcPr>
            <w:tcW w:w="1354" w:type="dxa"/>
            <w:tcBorders>
              <w:top w:val="single" w:sz="2" w:space="0" w:color="000000"/>
              <w:left w:val="single" w:sz="2" w:space="0" w:color="000000"/>
              <w:bottom w:val="single" w:sz="2" w:space="0" w:color="000000"/>
              <w:right w:val="single" w:sz="2" w:space="0" w:color="000000"/>
            </w:tcBorders>
          </w:tcPr>
          <w:p w14:paraId="3ADF2306" w14:textId="77777777" w:rsidR="002F7C0E" w:rsidRDefault="002F7C0E">
            <w:pPr>
              <w:pStyle w:val="TableParagraph"/>
              <w:spacing w:before="10"/>
              <w:rPr>
                <w:rFonts w:ascii="Arial"/>
                <w:b/>
                <w:sz w:val="25"/>
              </w:rPr>
            </w:pPr>
          </w:p>
          <w:p w14:paraId="1D4F5DEC"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08D2EED2" w14:textId="77777777" w:rsidR="002F7C0E" w:rsidRDefault="002F7C0E">
            <w:pPr>
              <w:pStyle w:val="TableParagraph"/>
              <w:numPr>
                <w:ilvl w:val="0"/>
                <w:numId w:val="21"/>
              </w:numPr>
              <w:tabs>
                <w:tab w:val="left" w:pos="376"/>
              </w:tabs>
              <w:spacing w:before="57" w:line="248" w:lineRule="exact"/>
              <w:ind w:left="375" w:hanging="257"/>
              <w:rPr>
                <w:sz w:val="20"/>
              </w:rPr>
            </w:pPr>
            <w:r>
              <w:rPr>
                <w:sz w:val="20"/>
              </w:rPr>
              <w:t>Blood-Brain Barrier Penetration</w:t>
            </w:r>
          </w:p>
          <w:p w14:paraId="1F2097BA" w14:textId="77777777" w:rsidR="002F7C0E" w:rsidRDefault="002F7C0E">
            <w:pPr>
              <w:pStyle w:val="TableParagraph"/>
              <w:numPr>
                <w:ilvl w:val="0"/>
                <w:numId w:val="21"/>
              </w:numPr>
              <w:tabs>
                <w:tab w:val="left" w:pos="376"/>
              </w:tabs>
              <w:spacing w:line="232" w:lineRule="auto"/>
              <w:ind w:right="240" w:firstLine="0"/>
              <w:rPr>
                <w:sz w:val="20"/>
              </w:rPr>
            </w:pPr>
            <w:r>
              <w:rPr>
                <w:sz w:val="20"/>
              </w:rPr>
              <w:t>Category 1: BBB+; Category 0: BBB-; The output</w:t>
            </w:r>
            <w:r>
              <w:rPr>
                <w:spacing w:val="-54"/>
                <w:sz w:val="20"/>
              </w:rPr>
              <w:t xml:space="preserve"> </w:t>
            </w:r>
            <w:r>
              <w:rPr>
                <w:sz w:val="20"/>
              </w:rPr>
              <w:t>value is the probability of being BBB+</w:t>
            </w:r>
          </w:p>
        </w:tc>
      </w:tr>
      <w:tr w:rsidR="002F7C0E" w14:paraId="75546ADC" w14:textId="77777777" w:rsidTr="002F7C0E">
        <w:trPr>
          <w:trHeight w:val="595"/>
        </w:trPr>
        <w:tc>
          <w:tcPr>
            <w:tcW w:w="1354" w:type="dxa"/>
            <w:tcBorders>
              <w:top w:val="single" w:sz="2" w:space="0" w:color="000000"/>
              <w:left w:val="single" w:sz="2" w:space="0" w:color="000000"/>
              <w:bottom w:val="single" w:sz="2" w:space="0" w:color="000000"/>
              <w:right w:val="single" w:sz="2" w:space="0" w:color="000000"/>
            </w:tcBorders>
            <w:hideMark/>
          </w:tcPr>
          <w:p w14:paraId="2A41D66B" w14:textId="77777777" w:rsidR="002F7C0E" w:rsidRDefault="002F7C0E">
            <w:pPr>
              <w:pStyle w:val="TableParagraph"/>
              <w:spacing w:before="190"/>
              <w:ind w:left="120"/>
              <w:rPr>
                <w:sz w:val="20"/>
              </w:rPr>
            </w:pPr>
            <w:r>
              <w:rPr>
                <w:sz w:val="20"/>
              </w:rPr>
              <w:t>Fu</w:t>
            </w:r>
          </w:p>
        </w:tc>
        <w:tc>
          <w:tcPr>
            <w:tcW w:w="1354" w:type="dxa"/>
            <w:tcBorders>
              <w:top w:val="single" w:sz="2" w:space="0" w:color="000000"/>
              <w:left w:val="single" w:sz="2" w:space="0" w:color="000000"/>
              <w:bottom w:val="single" w:sz="2" w:space="0" w:color="000000"/>
              <w:right w:val="single" w:sz="2" w:space="0" w:color="000000"/>
            </w:tcBorders>
            <w:hideMark/>
          </w:tcPr>
          <w:p w14:paraId="3ACB8942" w14:textId="77777777" w:rsidR="002F7C0E" w:rsidRDefault="002F7C0E">
            <w:pPr>
              <w:pStyle w:val="TableParagraph"/>
              <w:spacing w:before="190"/>
              <w:ind w:right="331"/>
              <w:jc w:val="right"/>
              <w:rPr>
                <w:sz w:val="20"/>
              </w:rPr>
            </w:pPr>
            <w:r>
              <w:rPr>
                <w:sz w:val="20"/>
              </w:rPr>
              <w:t>5.734%</w:t>
            </w:r>
          </w:p>
        </w:tc>
        <w:tc>
          <w:tcPr>
            <w:tcW w:w="1354" w:type="dxa"/>
            <w:tcBorders>
              <w:top w:val="single" w:sz="2" w:space="0" w:color="000000"/>
              <w:left w:val="single" w:sz="2" w:space="0" w:color="000000"/>
              <w:bottom w:val="single" w:sz="2" w:space="0" w:color="000000"/>
              <w:right w:val="single" w:sz="2" w:space="0" w:color="000000"/>
            </w:tcBorders>
            <w:hideMark/>
          </w:tcPr>
          <w:p w14:paraId="2D5D8045" w14:textId="77777777" w:rsidR="002F7C0E" w:rsidRDefault="002F7C0E">
            <w:pPr>
              <w:pStyle w:val="TableParagraph"/>
              <w:spacing w:before="177"/>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770EA1FE" w14:textId="77777777" w:rsidR="002F7C0E" w:rsidRDefault="002F7C0E">
            <w:pPr>
              <w:pStyle w:val="TableParagraph"/>
              <w:numPr>
                <w:ilvl w:val="0"/>
                <w:numId w:val="22"/>
              </w:numPr>
              <w:tabs>
                <w:tab w:val="left" w:pos="376"/>
              </w:tabs>
              <w:spacing w:before="57" w:line="248" w:lineRule="exact"/>
              <w:ind w:hanging="257"/>
              <w:rPr>
                <w:sz w:val="20"/>
              </w:rPr>
            </w:pPr>
            <w:r>
              <w:rPr>
                <w:sz w:val="20"/>
              </w:rPr>
              <w:t>The fraction unbound in plasms</w:t>
            </w:r>
          </w:p>
          <w:p w14:paraId="07697FB1" w14:textId="77777777" w:rsidR="002F7C0E" w:rsidRDefault="002F7C0E">
            <w:pPr>
              <w:pStyle w:val="TableParagraph"/>
              <w:numPr>
                <w:ilvl w:val="0"/>
                <w:numId w:val="22"/>
              </w:numPr>
              <w:tabs>
                <w:tab w:val="left" w:pos="376"/>
              </w:tabs>
              <w:spacing w:line="248" w:lineRule="exact"/>
              <w:ind w:hanging="257"/>
              <w:rPr>
                <w:sz w:val="20"/>
              </w:rPr>
            </w:pPr>
            <w:r>
              <w:rPr>
                <w:sz w:val="20"/>
              </w:rPr>
              <w:t>Low: &lt;5%; Middle: 5~20%; High: &gt; 20%</w:t>
            </w:r>
          </w:p>
        </w:tc>
      </w:tr>
    </w:tbl>
    <w:p w14:paraId="429477A7" w14:textId="77777777" w:rsidR="002F7C0E" w:rsidRDefault="002F7C0E">
      <w:pPr>
        <w:pStyle w:val="ListParagraph"/>
        <w:widowControl w:val="0"/>
        <w:numPr>
          <w:ilvl w:val="0"/>
          <w:numId w:val="4"/>
        </w:numPr>
        <w:tabs>
          <w:tab w:val="left" w:pos="552"/>
        </w:tabs>
        <w:autoSpaceDE w:val="0"/>
        <w:autoSpaceDN w:val="0"/>
        <w:spacing w:before="255" w:after="0" w:line="240" w:lineRule="auto"/>
        <w:contextualSpacing w:val="0"/>
        <w:rPr>
          <w:rFonts w:ascii="Arial" w:eastAsia="Arial" w:hAnsi="Arial" w:cs="Arial"/>
          <w:b/>
          <w:sz w:val="28"/>
          <w:lang w:val="en-US"/>
        </w:rPr>
      </w:pPr>
      <w:r>
        <w:rPr>
          <w:b/>
          <w:sz w:val="28"/>
        </w:rPr>
        <w:t>Metabolism</w:t>
      </w:r>
    </w:p>
    <w:p w14:paraId="54BF13B7" w14:textId="77777777" w:rsidR="002F7C0E" w:rsidRDefault="002F7C0E" w:rsidP="002F7C0E">
      <w:pPr>
        <w:pStyle w:val="BodyText"/>
        <w:rPr>
          <w:sz w:val="12"/>
        </w:r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05"/>
        <w:gridCol w:w="1805"/>
        <w:gridCol w:w="5415"/>
      </w:tblGrid>
      <w:tr w:rsidR="002F7C0E" w14:paraId="64539374"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41642959" w14:textId="77777777" w:rsidR="002F7C0E" w:rsidRDefault="002F7C0E">
            <w:pPr>
              <w:pStyle w:val="TableParagraph"/>
              <w:spacing w:before="71"/>
              <w:ind w:left="120"/>
              <w:rPr>
                <w:rFonts w:ascii="Arial"/>
                <w:b/>
              </w:rPr>
            </w:pPr>
            <w:r>
              <w:rPr>
                <w:rFonts w:ascii="Arial"/>
                <w:b/>
              </w:rPr>
              <w:t>Property</w:t>
            </w:r>
          </w:p>
        </w:tc>
        <w:tc>
          <w:tcPr>
            <w:tcW w:w="1805" w:type="dxa"/>
            <w:tcBorders>
              <w:top w:val="single" w:sz="2" w:space="0" w:color="000000"/>
              <w:left w:val="single" w:sz="2" w:space="0" w:color="000000"/>
              <w:bottom w:val="single" w:sz="2" w:space="0" w:color="000000"/>
              <w:right w:val="single" w:sz="2" w:space="0" w:color="000000"/>
            </w:tcBorders>
            <w:hideMark/>
          </w:tcPr>
          <w:p w14:paraId="3A931B51" w14:textId="77777777" w:rsidR="002F7C0E" w:rsidRDefault="002F7C0E">
            <w:pPr>
              <w:pStyle w:val="TableParagraph"/>
              <w:spacing w:before="71"/>
              <w:ind w:left="589" w:right="584"/>
              <w:jc w:val="center"/>
              <w:rPr>
                <w:rFonts w:ascii="Arial"/>
                <w:b/>
              </w:rPr>
            </w:pPr>
            <w:r>
              <w:rPr>
                <w:rFonts w:ascii="Arial"/>
                <w:b/>
              </w:rPr>
              <w:t>Value</w:t>
            </w:r>
          </w:p>
        </w:tc>
        <w:tc>
          <w:tcPr>
            <w:tcW w:w="5415" w:type="dxa"/>
            <w:tcBorders>
              <w:top w:val="single" w:sz="2" w:space="0" w:color="000000"/>
              <w:left w:val="single" w:sz="2" w:space="0" w:color="000000"/>
              <w:bottom w:val="single" w:sz="2" w:space="0" w:color="000000"/>
              <w:right w:val="single" w:sz="2" w:space="0" w:color="000000"/>
            </w:tcBorders>
            <w:hideMark/>
          </w:tcPr>
          <w:p w14:paraId="388BC00D" w14:textId="77777777" w:rsidR="002F7C0E" w:rsidRDefault="002F7C0E">
            <w:pPr>
              <w:pStyle w:val="TableParagraph"/>
              <w:spacing w:before="71"/>
              <w:ind w:left="120"/>
              <w:rPr>
                <w:rFonts w:ascii="Arial"/>
                <w:b/>
              </w:rPr>
            </w:pPr>
            <w:r>
              <w:rPr>
                <w:rFonts w:ascii="Arial"/>
                <w:b/>
              </w:rPr>
              <w:t>Comment</w:t>
            </w:r>
          </w:p>
        </w:tc>
      </w:tr>
      <w:tr w:rsidR="002F7C0E" w14:paraId="26D54B9A"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754CB615" w14:textId="77777777" w:rsidR="002F7C0E" w:rsidRDefault="002F7C0E">
            <w:pPr>
              <w:pStyle w:val="TableParagraph"/>
              <w:spacing w:before="190"/>
              <w:ind w:left="120"/>
              <w:rPr>
                <w:sz w:val="20"/>
              </w:rPr>
            </w:pPr>
            <w:r>
              <w:rPr>
                <w:sz w:val="20"/>
              </w:rPr>
              <w:t>CYP1A2 inhibitor</w:t>
            </w:r>
          </w:p>
        </w:tc>
        <w:tc>
          <w:tcPr>
            <w:tcW w:w="1805" w:type="dxa"/>
            <w:tcBorders>
              <w:top w:val="single" w:sz="2" w:space="0" w:color="000000"/>
              <w:left w:val="single" w:sz="2" w:space="0" w:color="000000"/>
              <w:bottom w:val="single" w:sz="2" w:space="0" w:color="000000"/>
              <w:right w:val="single" w:sz="2" w:space="0" w:color="000000"/>
            </w:tcBorders>
            <w:hideMark/>
          </w:tcPr>
          <w:p w14:paraId="1AF247E1" w14:textId="77777777" w:rsidR="002F7C0E" w:rsidRDefault="002F7C0E">
            <w:pPr>
              <w:pStyle w:val="TableParagraph"/>
              <w:spacing w:before="190"/>
              <w:ind w:left="589" w:right="584"/>
              <w:jc w:val="center"/>
              <w:rPr>
                <w:sz w:val="20"/>
              </w:rPr>
            </w:pPr>
            <w:r>
              <w:rPr>
                <w:sz w:val="20"/>
              </w:rPr>
              <w:t>0.832</w:t>
            </w:r>
          </w:p>
        </w:tc>
        <w:tc>
          <w:tcPr>
            <w:tcW w:w="5415" w:type="dxa"/>
            <w:tcBorders>
              <w:top w:val="single" w:sz="2" w:space="0" w:color="000000"/>
              <w:left w:val="single" w:sz="2" w:space="0" w:color="000000"/>
              <w:bottom w:val="single" w:sz="2" w:space="0" w:color="000000"/>
              <w:right w:val="single" w:sz="2" w:space="0" w:color="000000"/>
            </w:tcBorders>
            <w:hideMark/>
          </w:tcPr>
          <w:p w14:paraId="5BBC4D24" w14:textId="77777777" w:rsidR="002F7C0E" w:rsidRDefault="002F7C0E">
            <w:pPr>
              <w:pStyle w:val="TableParagraph"/>
              <w:numPr>
                <w:ilvl w:val="0"/>
                <w:numId w:val="23"/>
              </w:numPr>
              <w:tabs>
                <w:tab w:val="left" w:pos="376"/>
              </w:tabs>
              <w:spacing w:before="57" w:line="248" w:lineRule="exact"/>
              <w:rPr>
                <w:sz w:val="20"/>
              </w:rPr>
            </w:pPr>
            <w:r>
              <w:rPr>
                <w:sz w:val="20"/>
              </w:rPr>
              <w:t>Category 1: Inhibitor; Category 0: Non-inhibitor;</w:t>
            </w:r>
          </w:p>
          <w:p w14:paraId="61E84614" w14:textId="77777777" w:rsidR="002F7C0E" w:rsidRDefault="002F7C0E">
            <w:pPr>
              <w:pStyle w:val="TableParagraph"/>
              <w:numPr>
                <w:ilvl w:val="0"/>
                <w:numId w:val="23"/>
              </w:numPr>
              <w:tabs>
                <w:tab w:val="left" w:pos="376"/>
              </w:tabs>
              <w:spacing w:line="248" w:lineRule="exact"/>
              <w:rPr>
                <w:sz w:val="20"/>
              </w:rPr>
            </w:pPr>
            <w:r>
              <w:rPr>
                <w:sz w:val="20"/>
              </w:rPr>
              <w:t>The output value is the probability of being inhibitor.</w:t>
            </w:r>
          </w:p>
        </w:tc>
      </w:tr>
      <w:tr w:rsidR="002F7C0E" w14:paraId="0E50F327"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5FC220B8" w14:textId="77777777" w:rsidR="002F7C0E" w:rsidRDefault="002F7C0E">
            <w:pPr>
              <w:pStyle w:val="TableParagraph"/>
              <w:spacing w:before="70"/>
              <w:ind w:left="120"/>
              <w:rPr>
                <w:sz w:val="20"/>
              </w:rPr>
            </w:pPr>
            <w:r>
              <w:rPr>
                <w:sz w:val="20"/>
              </w:rPr>
              <w:t>CYP1A2</w:t>
            </w:r>
          </w:p>
          <w:p w14:paraId="356E2184" w14:textId="77777777" w:rsidR="002F7C0E" w:rsidRDefault="002F7C0E">
            <w:pPr>
              <w:pStyle w:val="TableParagraph"/>
              <w:spacing w:before="10"/>
              <w:ind w:left="120"/>
              <w:rPr>
                <w:sz w:val="20"/>
              </w:rPr>
            </w:pPr>
            <w:r>
              <w:rPr>
                <w:sz w:val="20"/>
              </w:rPr>
              <w:t>substrate</w:t>
            </w:r>
          </w:p>
        </w:tc>
        <w:tc>
          <w:tcPr>
            <w:tcW w:w="1805" w:type="dxa"/>
            <w:tcBorders>
              <w:top w:val="single" w:sz="2" w:space="0" w:color="000000"/>
              <w:left w:val="single" w:sz="2" w:space="0" w:color="000000"/>
              <w:bottom w:val="single" w:sz="2" w:space="0" w:color="000000"/>
              <w:right w:val="single" w:sz="2" w:space="0" w:color="000000"/>
            </w:tcBorders>
            <w:hideMark/>
          </w:tcPr>
          <w:p w14:paraId="5D08834B" w14:textId="77777777" w:rsidR="002F7C0E" w:rsidRDefault="002F7C0E">
            <w:pPr>
              <w:pStyle w:val="TableParagraph"/>
              <w:spacing w:before="190"/>
              <w:ind w:left="589" w:right="584"/>
              <w:jc w:val="center"/>
              <w:rPr>
                <w:sz w:val="20"/>
              </w:rPr>
            </w:pPr>
            <w:r>
              <w:rPr>
                <w:sz w:val="20"/>
              </w:rPr>
              <w:t>0.094</w:t>
            </w:r>
          </w:p>
        </w:tc>
        <w:tc>
          <w:tcPr>
            <w:tcW w:w="5415" w:type="dxa"/>
            <w:tcBorders>
              <w:top w:val="single" w:sz="2" w:space="0" w:color="000000"/>
              <w:left w:val="single" w:sz="2" w:space="0" w:color="000000"/>
              <w:bottom w:val="single" w:sz="2" w:space="0" w:color="000000"/>
              <w:right w:val="single" w:sz="2" w:space="0" w:color="000000"/>
            </w:tcBorders>
            <w:hideMark/>
          </w:tcPr>
          <w:p w14:paraId="2AA1B2E2" w14:textId="77777777" w:rsidR="002F7C0E" w:rsidRDefault="002F7C0E">
            <w:pPr>
              <w:pStyle w:val="TableParagraph"/>
              <w:numPr>
                <w:ilvl w:val="0"/>
                <w:numId w:val="24"/>
              </w:numPr>
              <w:tabs>
                <w:tab w:val="left" w:pos="376"/>
              </w:tabs>
              <w:spacing w:before="57" w:line="248" w:lineRule="exact"/>
              <w:rPr>
                <w:sz w:val="20"/>
              </w:rPr>
            </w:pPr>
            <w:r>
              <w:rPr>
                <w:sz w:val="20"/>
              </w:rPr>
              <w:t>Category 1: Substrate; Category 0: Non-substrate;</w:t>
            </w:r>
          </w:p>
          <w:p w14:paraId="18584B64" w14:textId="77777777" w:rsidR="002F7C0E" w:rsidRDefault="002F7C0E">
            <w:pPr>
              <w:pStyle w:val="TableParagraph"/>
              <w:numPr>
                <w:ilvl w:val="0"/>
                <w:numId w:val="24"/>
              </w:numPr>
              <w:tabs>
                <w:tab w:val="left" w:pos="376"/>
              </w:tabs>
              <w:spacing w:line="248" w:lineRule="exact"/>
              <w:rPr>
                <w:sz w:val="20"/>
              </w:rPr>
            </w:pPr>
            <w:r>
              <w:rPr>
                <w:sz w:val="20"/>
              </w:rPr>
              <w:t>The output value is the probability of being substrate.</w:t>
            </w:r>
          </w:p>
        </w:tc>
      </w:tr>
      <w:tr w:rsidR="002F7C0E" w14:paraId="71347F81"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528CDF02" w14:textId="77777777" w:rsidR="002F7C0E" w:rsidRDefault="002F7C0E">
            <w:pPr>
              <w:pStyle w:val="TableParagraph"/>
              <w:spacing w:before="70"/>
              <w:ind w:left="120"/>
              <w:rPr>
                <w:sz w:val="20"/>
              </w:rPr>
            </w:pPr>
            <w:r>
              <w:rPr>
                <w:sz w:val="20"/>
              </w:rPr>
              <w:t>CYP2C19</w:t>
            </w:r>
          </w:p>
          <w:p w14:paraId="01542047" w14:textId="77777777" w:rsidR="002F7C0E" w:rsidRDefault="002F7C0E">
            <w:pPr>
              <w:pStyle w:val="TableParagraph"/>
              <w:spacing w:before="10"/>
              <w:ind w:left="120"/>
              <w:rPr>
                <w:sz w:val="20"/>
              </w:rPr>
            </w:pPr>
            <w:r>
              <w:rPr>
                <w:sz w:val="20"/>
              </w:rPr>
              <w:t>inhibitor</w:t>
            </w:r>
          </w:p>
        </w:tc>
        <w:tc>
          <w:tcPr>
            <w:tcW w:w="1805" w:type="dxa"/>
            <w:tcBorders>
              <w:top w:val="single" w:sz="2" w:space="0" w:color="000000"/>
              <w:left w:val="single" w:sz="2" w:space="0" w:color="000000"/>
              <w:bottom w:val="single" w:sz="2" w:space="0" w:color="000000"/>
              <w:right w:val="single" w:sz="2" w:space="0" w:color="000000"/>
            </w:tcBorders>
            <w:hideMark/>
          </w:tcPr>
          <w:p w14:paraId="13670163" w14:textId="77777777" w:rsidR="002F7C0E" w:rsidRDefault="002F7C0E">
            <w:pPr>
              <w:pStyle w:val="TableParagraph"/>
              <w:spacing w:before="190"/>
              <w:ind w:left="589" w:right="584"/>
              <w:jc w:val="center"/>
              <w:rPr>
                <w:sz w:val="20"/>
              </w:rPr>
            </w:pPr>
            <w:r>
              <w:rPr>
                <w:sz w:val="20"/>
              </w:rPr>
              <w:t>0.271</w:t>
            </w:r>
          </w:p>
        </w:tc>
        <w:tc>
          <w:tcPr>
            <w:tcW w:w="5415" w:type="dxa"/>
            <w:tcBorders>
              <w:top w:val="single" w:sz="2" w:space="0" w:color="000000"/>
              <w:left w:val="single" w:sz="2" w:space="0" w:color="000000"/>
              <w:bottom w:val="single" w:sz="2" w:space="0" w:color="000000"/>
              <w:right w:val="single" w:sz="2" w:space="0" w:color="000000"/>
            </w:tcBorders>
            <w:hideMark/>
          </w:tcPr>
          <w:p w14:paraId="71ACF247" w14:textId="77777777" w:rsidR="002F7C0E" w:rsidRDefault="002F7C0E">
            <w:pPr>
              <w:pStyle w:val="TableParagraph"/>
              <w:numPr>
                <w:ilvl w:val="0"/>
                <w:numId w:val="25"/>
              </w:numPr>
              <w:tabs>
                <w:tab w:val="left" w:pos="376"/>
              </w:tabs>
              <w:spacing w:before="57" w:line="248" w:lineRule="exact"/>
              <w:rPr>
                <w:sz w:val="20"/>
              </w:rPr>
            </w:pPr>
            <w:r>
              <w:rPr>
                <w:sz w:val="20"/>
              </w:rPr>
              <w:t>Category 1: Inhibitor; Category 0: Non-inhibitor;</w:t>
            </w:r>
          </w:p>
          <w:p w14:paraId="12D785CB" w14:textId="77777777" w:rsidR="002F7C0E" w:rsidRDefault="002F7C0E">
            <w:pPr>
              <w:pStyle w:val="TableParagraph"/>
              <w:numPr>
                <w:ilvl w:val="0"/>
                <w:numId w:val="25"/>
              </w:numPr>
              <w:tabs>
                <w:tab w:val="left" w:pos="376"/>
              </w:tabs>
              <w:spacing w:line="248" w:lineRule="exact"/>
              <w:rPr>
                <w:sz w:val="20"/>
              </w:rPr>
            </w:pPr>
            <w:r>
              <w:rPr>
                <w:sz w:val="20"/>
              </w:rPr>
              <w:t>The output value is the probability of being inhibitor.</w:t>
            </w:r>
          </w:p>
        </w:tc>
      </w:tr>
      <w:tr w:rsidR="002F7C0E" w14:paraId="30881C0F"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060C7200" w14:textId="77777777" w:rsidR="002F7C0E" w:rsidRDefault="002F7C0E">
            <w:pPr>
              <w:pStyle w:val="TableParagraph"/>
              <w:spacing w:before="70"/>
              <w:ind w:left="120"/>
              <w:rPr>
                <w:sz w:val="20"/>
              </w:rPr>
            </w:pPr>
            <w:r>
              <w:rPr>
                <w:sz w:val="20"/>
              </w:rPr>
              <w:t>CYP2C19</w:t>
            </w:r>
          </w:p>
          <w:p w14:paraId="267E207A" w14:textId="77777777" w:rsidR="002F7C0E" w:rsidRDefault="002F7C0E">
            <w:pPr>
              <w:pStyle w:val="TableParagraph"/>
              <w:spacing w:before="10"/>
              <w:ind w:left="120"/>
              <w:rPr>
                <w:sz w:val="20"/>
              </w:rPr>
            </w:pPr>
            <w:r>
              <w:rPr>
                <w:sz w:val="20"/>
              </w:rPr>
              <w:t>substrate</w:t>
            </w:r>
          </w:p>
        </w:tc>
        <w:tc>
          <w:tcPr>
            <w:tcW w:w="1805" w:type="dxa"/>
            <w:tcBorders>
              <w:top w:val="single" w:sz="2" w:space="0" w:color="000000"/>
              <w:left w:val="single" w:sz="2" w:space="0" w:color="000000"/>
              <w:bottom w:val="single" w:sz="2" w:space="0" w:color="000000"/>
              <w:right w:val="single" w:sz="2" w:space="0" w:color="000000"/>
            </w:tcBorders>
            <w:hideMark/>
          </w:tcPr>
          <w:p w14:paraId="4FB09DD2" w14:textId="77777777" w:rsidR="002F7C0E" w:rsidRDefault="002F7C0E">
            <w:pPr>
              <w:pStyle w:val="TableParagraph"/>
              <w:spacing w:before="190"/>
              <w:ind w:left="589" w:right="584"/>
              <w:jc w:val="center"/>
              <w:rPr>
                <w:sz w:val="20"/>
              </w:rPr>
            </w:pPr>
            <w:r>
              <w:rPr>
                <w:sz w:val="20"/>
              </w:rPr>
              <w:t>0.122</w:t>
            </w:r>
          </w:p>
        </w:tc>
        <w:tc>
          <w:tcPr>
            <w:tcW w:w="5415" w:type="dxa"/>
            <w:tcBorders>
              <w:top w:val="single" w:sz="2" w:space="0" w:color="000000"/>
              <w:left w:val="single" w:sz="2" w:space="0" w:color="000000"/>
              <w:bottom w:val="single" w:sz="2" w:space="0" w:color="000000"/>
              <w:right w:val="single" w:sz="2" w:space="0" w:color="000000"/>
            </w:tcBorders>
            <w:hideMark/>
          </w:tcPr>
          <w:p w14:paraId="45A34F4A" w14:textId="77777777" w:rsidR="002F7C0E" w:rsidRDefault="002F7C0E">
            <w:pPr>
              <w:pStyle w:val="TableParagraph"/>
              <w:numPr>
                <w:ilvl w:val="0"/>
                <w:numId w:val="26"/>
              </w:numPr>
              <w:tabs>
                <w:tab w:val="left" w:pos="376"/>
              </w:tabs>
              <w:spacing w:before="57" w:line="248" w:lineRule="exact"/>
              <w:rPr>
                <w:sz w:val="20"/>
              </w:rPr>
            </w:pPr>
            <w:r>
              <w:rPr>
                <w:sz w:val="20"/>
              </w:rPr>
              <w:t>Category 1: Substrate; Category 0: Non-substrate;</w:t>
            </w:r>
          </w:p>
          <w:p w14:paraId="2525A718" w14:textId="77777777" w:rsidR="002F7C0E" w:rsidRDefault="002F7C0E">
            <w:pPr>
              <w:pStyle w:val="TableParagraph"/>
              <w:numPr>
                <w:ilvl w:val="0"/>
                <w:numId w:val="26"/>
              </w:numPr>
              <w:tabs>
                <w:tab w:val="left" w:pos="376"/>
              </w:tabs>
              <w:spacing w:line="248" w:lineRule="exact"/>
              <w:rPr>
                <w:sz w:val="20"/>
              </w:rPr>
            </w:pPr>
            <w:r>
              <w:rPr>
                <w:sz w:val="20"/>
              </w:rPr>
              <w:t>The output value is the probability of being substrate.</w:t>
            </w:r>
          </w:p>
        </w:tc>
      </w:tr>
      <w:tr w:rsidR="002F7C0E" w14:paraId="6D8F8627"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70A94B34" w14:textId="77777777" w:rsidR="002F7C0E" w:rsidRDefault="002F7C0E">
            <w:pPr>
              <w:pStyle w:val="TableParagraph"/>
              <w:spacing w:before="190"/>
              <w:ind w:left="120"/>
              <w:rPr>
                <w:sz w:val="20"/>
              </w:rPr>
            </w:pPr>
            <w:r>
              <w:rPr>
                <w:sz w:val="20"/>
              </w:rPr>
              <w:t>CYP2C9 inhibitor</w:t>
            </w:r>
          </w:p>
        </w:tc>
        <w:tc>
          <w:tcPr>
            <w:tcW w:w="1805" w:type="dxa"/>
            <w:tcBorders>
              <w:top w:val="single" w:sz="2" w:space="0" w:color="000000"/>
              <w:left w:val="single" w:sz="2" w:space="0" w:color="000000"/>
              <w:bottom w:val="single" w:sz="2" w:space="0" w:color="000000"/>
              <w:right w:val="single" w:sz="2" w:space="0" w:color="000000"/>
            </w:tcBorders>
            <w:hideMark/>
          </w:tcPr>
          <w:p w14:paraId="29B70F57" w14:textId="77777777" w:rsidR="002F7C0E" w:rsidRDefault="002F7C0E">
            <w:pPr>
              <w:pStyle w:val="TableParagraph"/>
              <w:spacing w:before="190"/>
              <w:ind w:left="589" w:right="584"/>
              <w:jc w:val="center"/>
              <w:rPr>
                <w:sz w:val="20"/>
              </w:rPr>
            </w:pPr>
            <w:r>
              <w:rPr>
                <w:sz w:val="20"/>
              </w:rPr>
              <w:t>0.773</w:t>
            </w:r>
          </w:p>
        </w:tc>
        <w:tc>
          <w:tcPr>
            <w:tcW w:w="5415" w:type="dxa"/>
            <w:tcBorders>
              <w:top w:val="single" w:sz="2" w:space="0" w:color="000000"/>
              <w:left w:val="single" w:sz="2" w:space="0" w:color="000000"/>
              <w:bottom w:val="single" w:sz="2" w:space="0" w:color="000000"/>
              <w:right w:val="single" w:sz="2" w:space="0" w:color="000000"/>
            </w:tcBorders>
            <w:hideMark/>
          </w:tcPr>
          <w:p w14:paraId="6ED44369" w14:textId="77777777" w:rsidR="002F7C0E" w:rsidRDefault="002F7C0E">
            <w:pPr>
              <w:pStyle w:val="TableParagraph"/>
              <w:numPr>
                <w:ilvl w:val="0"/>
                <w:numId w:val="27"/>
              </w:numPr>
              <w:tabs>
                <w:tab w:val="left" w:pos="376"/>
              </w:tabs>
              <w:spacing w:before="57" w:line="248" w:lineRule="exact"/>
              <w:rPr>
                <w:sz w:val="20"/>
              </w:rPr>
            </w:pPr>
            <w:r>
              <w:rPr>
                <w:sz w:val="20"/>
              </w:rPr>
              <w:t>Category 1: Inhibitor; Category 0: Non-inhibitor;</w:t>
            </w:r>
          </w:p>
          <w:p w14:paraId="602B05EF" w14:textId="77777777" w:rsidR="002F7C0E" w:rsidRDefault="002F7C0E">
            <w:pPr>
              <w:pStyle w:val="TableParagraph"/>
              <w:numPr>
                <w:ilvl w:val="0"/>
                <w:numId w:val="27"/>
              </w:numPr>
              <w:tabs>
                <w:tab w:val="left" w:pos="376"/>
              </w:tabs>
              <w:spacing w:line="248" w:lineRule="exact"/>
              <w:rPr>
                <w:sz w:val="20"/>
              </w:rPr>
            </w:pPr>
            <w:r>
              <w:rPr>
                <w:sz w:val="20"/>
              </w:rPr>
              <w:t>The output value is the probability of being inhibitor.</w:t>
            </w:r>
          </w:p>
        </w:tc>
      </w:tr>
      <w:tr w:rsidR="002F7C0E" w14:paraId="073D0037"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361A6853" w14:textId="77777777" w:rsidR="002F7C0E" w:rsidRDefault="002F7C0E">
            <w:pPr>
              <w:pStyle w:val="TableParagraph"/>
              <w:spacing w:before="70"/>
              <w:ind w:left="120"/>
              <w:rPr>
                <w:sz w:val="20"/>
              </w:rPr>
            </w:pPr>
            <w:r>
              <w:rPr>
                <w:sz w:val="20"/>
              </w:rPr>
              <w:t>CYP2C9</w:t>
            </w:r>
          </w:p>
          <w:p w14:paraId="2E211032" w14:textId="77777777" w:rsidR="002F7C0E" w:rsidRDefault="002F7C0E">
            <w:pPr>
              <w:pStyle w:val="TableParagraph"/>
              <w:spacing w:before="10"/>
              <w:ind w:left="120"/>
              <w:rPr>
                <w:sz w:val="20"/>
              </w:rPr>
            </w:pPr>
            <w:r>
              <w:rPr>
                <w:sz w:val="20"/>
              </w:rPr>
              <w:t>substrate</w:t>
            </w:r>
          </w:p>
        </w:tc>
        <w:tc>
          <w:tcPr>
            <w:tcW w:w="1805" w:type="dxa"/>
            <w:tcBorders>
              <w:top w:val="single" w:sz="2" w:space="0" w:color="000000"/>
              <w:left w:val="single" w:sz="2" w:space="0" w:color="000000"/>
              <w:bottom w:val="single" w:sz="2" w:space="0" w:color="000000"/>
              <w:right w:val="single" w:sz="2" w:space="0" w:color="000000"/>
            </w:tcBorders>
            <w:hideMark/>
          </w:tcPr>
          <w:p w14:paraId="4577120D" w14:textId="77777777" w:rsidR="002F7C0E" w:rsidRDefault="002F7C0E">
            <w:pPr>
              <w:pStyle w:val="TableParagraph"/>
              <w:spacing w:before="190"/>
              <w:ind w:left="589" w:right="584"/>
              <w:jc w:val="center"/>
              <w:rPr>
                <w:sz w:val="20"/>
              </w:rPr>
            </w:pPr>
            <w:r>
              <w:rPr>
                <w:sz w:val="20"/>
              </w:rPr>
              <w:t>0.29</w:t>
            </w:r>
          </w:p>
        </w:tc>
        <w:tc>
          <w:tcPr>
            <w:tcW w:w="5415" w:type="dxa"/>
            <w:tcBorders>
              <w:top w:val="single" w:sz="2" w:space="0" w:color="000000"/>
              <w:left w:val="single" w:sz="2" w:space="0" w:color="000000"/>
              <w:bottom w:val="single" w:sz="2" w:space="0" w:color="000000"/>
              <w:right w:val="single" w:sz="2" w:space="0" w:color="000000"/>
            </w:tcBorders>
            <w:hideMark/>
          </w:tcPr>
          <w:p w14:paraId="03FC45EE" w14:textId="77777777" w:rsidR="002F7C0E" w:rsidRDefault="002F7C0E">
            <w:pPr>
              <w:pStyle w:val="TableParagraph"/>
              <w:numPr>
                <w:ilvl w:val="0"/>
                <w:numId w:val="28"/>
              </w:numPr>
              <w:tabs>
                <w:tab w:val="left" w:pos="376"/>
              </w:tabs>
              <w:spacing w:before="57" w:line="248" w:lineRule="exact"/>
              <w:rPr>
                <w:sz w:val="20"/>
              </w:rPr>
            </w:pPr>
            <w:r>
              <w:rPr>
                <w:sz w:val="20"/>
              </w:rPr>
              <w:t>Category 1: Substrate; Category 0: Non-substrate;</w:t>
            </w:r>
          </w:p>
          <w:p w14:paraId="001380B3" w14:textId="77777777" w:rsidR="002F7C0E" w:rsidRDefault="002F7C0E">
            <w:pPr>
              <w:pStyle w:val="TableParagraph"/>
              <w:numPr>
                <w:ilvl w:val="0"/>
                <w:numId w:val="28"/>
              </w:numPr>
              <w:tabs>
                <w:tab w:val="left" w:pos="376"/>
              </w:tabs>
              <w:spacing w:line="248" w:lineRule="exact"/>
              <w:rPr>
                <w:sz w:val="20"/>
              </w:rPr>
            </w:pPr>
            <w:r>
              <w:rPr>
                <w:sz w:val="20"/>
              </w:rPr>
              <w:t>The output value is the probability of being substrate.</w:t>
            </w:r>
          </w:p>
        </w:tc>
      </w:tr>
      <w:tr w:rsidR="002F7C0E" w14:paraId="2A4440C6"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4A3DDF66" w14:textId="77777777" w:rsidR="002F7C0E" w:rsidRDefault="002F7C0E">
            <w:pPr>
              <w:pStyle w:val="TableParagraph"/>
              <w:spacing w:before="190"/>
              <w:ind w:left="120"/>
              <w:rPr>
                <w:sz w:val="20"/>
              </w:rPr>
            </w:pPr>
            <w:r>
              <w:rPr>
                <w:sz w:val="20"/>
              </w:rPr>
              <w:t>CYP2D6 inhibitor</w:t>
            </w:r>
          </w:p>
        </w:tc>
        <w:tc>
          <w:tcPr>
            <w:tcW w:w="1805" w:type="dxa"/>
            <w:tcBorders>
              <w:top w:val="single" w:sz="2" w:space="0" w:color="000000"/>
              <w:left w:val="single" w:sz="2" w:space="0" w:color="000000"/>
              <w:bottom w:val="single" w:sz="2" w:space="0" w:color="000000"/>
              <w:right w:val="single" w:sz="2" w:space="0" w:color="000000"/>
            </w:tcBorders>
            <w:hideMark/>
          </w:tcPr>
          <w:p w14:paraId="42B03400" w14:textId="77777777" w:rsidR="002F7C0E" w:rsidRDefault="002F7C0E">
            <w:pPr>
              <w:pStyle w:val="TableParagraph"/>
              <w:spacing w:before="190"/>
              <w:ind w:left="589" w:right="584"/>
              <w:jc w:val="center"/>
              <w:rPr>
                <w:sz w:val="20"/>
              </w:rPr>
            </w:pPr>
            <w:r>
              <w:rPr>
                <w:sz w:val="20"/>
              </w:rPr>
              <w:t>0.02</w:t>
            </w:r>
          </w:p>
        </w:tc>
        <w:tc>
          <w:tcPr>
            <w:tcW w:w="5415" w:type="dxa"/>
            <w:tcBorders>
              <w:top w:val="single" w:sz="2" w:space="0" w:color="000000"/>
              <w:left w:val="single" w:sz="2" w:space="0" w:color="000000"/>
              <w:bottom w:val="single" w:sz="2" w:space="0" w:color="000000"/>
              <w:right w:val="single" w:sz="2" w:space="0" w:color="000000"/>
            </w:tcBorders>
            <w:hideMark/>
          </w:tcPr>
          <w:p w14:paraId="7CC7B37F" w14:textId="77777777" w:rsidR="002F7C0E" w:rsidRDefault="002F7C0E">
            <w:pPr>
              <w:pStyle w:val="TableParagraph"/>
              <w:numPr>
                <w:ilvl w:val="0"/>
                <w:numId w:val="29"/>
              </w:numPr>
              <w:tabs>
                <w:tab w:val="left" w:pos="376"/>
              </w:tabs>
              <w:spacing w:before="57" w:line="248" w:lineRule="exact"/>
              <w:rPr>
                <w:sz w:val="20"/>
              </w:rPr>
            </w:pPr>
            <w:r>
              <w:rPr>
                <w:sz w:val="20"/>
              </w:rPr>
              <w:t>Category 1: Inhibitor; Category 0: Non-inhibitor;</w:t>
            </w:r>
          </w:p>
          <w:p w14:paraId="143E04A1" w14:textId="77777777" w:rsidR="002F7C0E" w:rsidRDefault="002F7C0E">
            <w:pPr>
              <w:pStyle w:val="TableParagraph"/>
              <w:numPr>
                <w:ilvl w:val="0"/>
                <w:numId w:val="29"/>
              </w:numPr>
              <w:tabs>
                <w:tab w:val="left" w:pos="376"/>
              </w:tabs>
              <w:spacing w:line="248" w:lineRule="exact"/>
              <w:rPr>
                <w:sz w:val="20"/>
              </w:rPr>
            </w:pPr>
            <w:r>
              <w:rPr>
                <w:sz w:val="20"/>
              </w:rPr>
              <w:t>The output value is the probability of being inhibitor.</w:t>
            </w:r>
          </w:p>
        </w:tc>
      </w:tr>
      <w:tr w:rsidR="002F7C0E" w14:paraId="5681B08A"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1775ACD2" w14:textId="77777777" w:rsidR="002F7C0E" w:rsidRDefault="002F7C0E">
            <w:pPr>
              <w:pStyle w:val="TableParagraph"/>
              <w:spacing w:before="70"/>
              <w:ind w:left="120"/>
              <w:rPr>
                <w:sz w:val="20"/>
              </w:rPr>
            </w:pPr>
            <w:r>
              <w:rPr>
                <w:sz w:val="20"/>
              </w:rPr>
              <w:t>CYP2D6</w:t>
            </w:r>
          </w:p>
          <w:p w14:paraId="1873B34E" w14:textId="77777777" w:rsidR="002F7C0E" w:rsidRDefault="002F7C0E">
            <w:pPr>
              <w:pStyle w:val="TableParagraph"/>
              <w:spacing w:before="10"/>
              <w:ind w:left="120"/>
              <w:rPr>
                <w:sz w:val="20"/>
              </w:rPr>
            </w:pPr>
            <w:r>
              <w:rPr>
                <w:sz w:val="20"/>
              </w:rPr>
              <w:t>substrate</w:t>
            </w:r>
          </w:p>
        </w:tc>
        <w:tc>
          <w:tcPr>
            <w:tcW w:w="1805" w:type="dxa"/>
            <w:tcBorders>
              <w:top w:val="single" w:sz="2" w:space="0" w:color="000000"/>
              <w:left w:val="single" w:sz="2" w:space="0" w:color="000000"/>
              <w:bottom w:val="single" w:sz="2" w:space="0" w:color="000000"/>
              <w:right w:val="single" w:sz="2" w:space="0" w:color="000000"/>
            </w:tcBorders>
            <w:hideMark/>
          </w:tcPr>
          <w:p w14:paraId="29B287F6" w14:textId="77777777" w:rsidR="002F7C0E" w:rsidRDefault="002F7C0E">
            <w:pPr>
              <w:pStyle w:val="TableParagraph"/>
              <w:spacing w:before="190"/>
              <w:ind w:left="589" w:right="584"/>
              <w:jc w:val="center"/>
              <w:rPr>
                <w:sz w:val="20"/>
              </w:rPr>
            </w:pPr>
            <w:r>
              <w:rPr>
                <w:sz w:val="20"/>
              </w:rPr>
              <w:t>0.201</w:t>
            </w:r>
          </w:p>
        </w:tc>
        <w:tc>
          <w:tcPr>
            <w:tcW w:w="5415" w:type="dxa"/>
            <w:tcBorders>
              <w:top w:val="single" w:sz="2" w:space="0" w:color="000000"/>
              <w:left w:val="single" w:sz="2" w:space="0" w:color="000000"/>
              <w:bottom w:val="single" w:sz="2" w:space="0" w:color="000000"/>
              <w:right w:val="single" w:sz="2" w:space="0" w:color="000000"/>
            </w:tcBorders>
            <w:hideMark/>
          </w:tcPr>
          <w:p w14:paraId="4116ACED" w14:textId="77777777" w:rsidR="002F7C0E" w:rsidRDefault="002F7C0E">
            <w:pPr>
              <w:pStyle w:val="TableParagraph"/>
              <w:numPr>
                <w:ilvl w:val="0"/>
                <w:numId w:val="30"/>
              </w:numPr>
              <w:tabs>
                <w:tab w:val="left" w:pos="376"/>
              </w:tabs>
              <w:spacing w:before="57" w:line="248" w:lineRule="exact"/>
              <w:rPr>
                <w:sz w:val="20"/>
              </w:rPr>
            </w:pPr>
            <w:r>
              <w:rPr>
                <w:sz w:val="20"/>
              </w:rPr>
              <w:t>Category 1: Substrate; Category 0: Non-substrate;</w:t>
            </w:r>
          </w:p>
          <w:p w14:paraId="1DF4E1A8" w14:textId="77777777" w:rsidR="002F7C0E" w:rsidRDefault="002F7C0E">
            <w:pPr>
              <w:pStyle w:val="TableParagraph"/>
              <w:numPr>
                <w:ilvl w:val="0"/>
                <w:numId w:val="30"/>
              </w:numPr>
              <w:tabs>
                <w:tab w:val="left" w:pos="376"/>
              </w:tabs>
              <w:spacing w:line="248" w:lineRule="exact"/>
              <w:rPr>
                <w:sz w:val="20"/>
              </w:rPr>
            </w:pPr>
            <w:r>
              <w:rPr>
                <w:sz w:val="20"/>
              </w:rPr>
              <w:t>The output value is the probability of being substrate.</w:t>
            </w:r>
          </w:p>
        </w:tc>
      </w:tr>
      <w:tr w:rsidR="002F7C0E" w14:paraId="08D8A0AC"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485E750D" w14:textId="77777777" w:rsidR="002F7C0E" w:rsidRDefault="002F7C0E">
            <w:pPr>
              <w:pStyle w:val="TableParagraph"/>
              <w:spacing w:before="190"/>
              <w:ind w:left="120"/>
              <w:rPr>
                <w:sz w:val="20"/>
              </w:rPr>
            </w:pPr>
            <w:r>
              <w:rPr>
                <w:sz w:val="20"/>
              </w:rPr>
              <w:t>CYP3A4 inhibitor</w:t>
            </w:r>
          </w:p>
        </w:tc>
        <w:tc>
          <w:tcPr>
            <w:tcW w:w="1805" w:type="dxa"/>
            <w:tcBorders>
              <w:top w:val="single" w:sz="2" w:space="0" w:color="000000"/>
              <w:left w:val="single" w:sz="2" w:space="0" w:color="000000"/>
              <w:bottom w:val="single" w:sz="2" w:space="0" w:color="000000"/>
              <w:right w:val="single" w:sz="2" w:space="0" w:color="000000"/>
            </w:tcBorders>
            <w:hideMark/>
          </w:tcPr>
          <w:p w14:paraId="6ABD422C" w14:textId="77777777" w:rsidR="002F7C0E" w:rsidRDefault="002F7C0E">
            <w:pPr>
              <w:pStyle w:val="TableParagraph"/>
              <w:spacing w:before="190"/>
              <w:ind w:left="589" w:right="584"/>
              <w:jc w:val="center"/>
              <w:rPr>
                <w:sz w:val="20"/>
              </w:rPr>
            </w:pPr>
            <w:r>
              <w:rPr>
                <w:sz w:val="20"/>
              </w:rPr>
              <w:t>0.709</w:t>
            </w:r>
          </w:p>
        </w:tc>
        <w:tc>
          <w:tcPr>
            <w:tcW w:w="5415" w:type="dxa"/>
            <w:tcBorders>
              <w:top w:val="single" w:sz="2" w:space="0" w:color="000000"/>
              <w:left w:val="single" w:sz="2" w:space="0" w:color="000000"/>
              <w:bottom w:val="single" w:sz="2" w:space="0" w:color="000000"/>
              <w:right w:val="single" w:sz="2" w:space="0" w:color="000000"/>
            </w:tcBorders>
            <w:hideMark/>
          </w:tcPr>
          <w:p w14:paraId="79A072A4" w14:textId="77777777" w:rsidR="002F7C0E" w:rsidRDefault="002F7C0E">
            <w:pPr>
              <w:pStyle w:val="TableParagraph"/>
              <w:numPr>
                <w:ilvl w:val="0"/>
                <w:numId w:val="31"/>
              </w:numPr>
              <w:tabs>
                <w:tab w:val="left" w:pos="376"/>
              </w:tabs>
              <w:spacing w:before="57" w:line="248" w:lineRule="exact"/>
              <w:rPr>
                <w:sz w:val="20"/>
              </w:rPr>
            </w:pPr>
            <w:r>
              <w:rPr>
                <w:sz w:val="20"/>
              </w:rPr>
              <w:t>Category 1: Inhibitor; Category 0: Non-inhibitor;</w:t>
            </w:r>
          </w:p>
          <w:p w14:paraId="1B5AE38F" w14:textId="77777777" w:rsidR="002F7C0E" w:rsidRDefault="002F7C0E">
            <w:pPr>
              <w:pStyle w:val="TableParagraph"/>
              <w:numPr>
                <w:ilvl w:val="0"/>
                <w:numId w:val="31"/>
              </w:numPr>
              <w:tabs>
                <w:tab w:val="left" w:pos="376"/>
              </w:tabs>
              <w:spacing w:line="248" w:lineRule="exact"/>
              <w:rPr>
                <w:sz w:val="20"/>
              </w:rPr>
            </w:pPr>
            <w:r>
              <w:rPr>
                <w:sz w:val="20"/>
              </w:rPr>
              <w:t>The output value is the probability of being inhibitor.</w:t>
            </w:r>
          </w:p>
        </w:tc>
      </w:tr>
      <w:tr w:rsidR="002F7C0E" w14:paraId="65F0C5F9"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7998910A" w14:textId="77777777" w:rsidR="002F7C0E" w:rsidRDefault="002F7C0E">
            <w:pPr>
              <w:pStyle w:val="TableParagraph"/>
              <w:spacing w:before="70"/>
              <w:ind w:left="120"/>
              <w:rPr>
                <w:sz w:val="20"/>
              </w:rPr>
            </w:pPr>
            <w:r>
              <w:rPr>
                <w:sz w:val="20"/>
              </w:rPr>
              <w:t>CYP3A4</w:t>
            </w:r>
          </w:p>
          <w:p w14:paraId="6D01336D" w14:textId="77777777" w:rsidR="002F7C0E" w:rsidRDefault="002F7C0E">
            <w:pPr>
              <w:pStyle w:val="TableParagraph"/>
              <w:spacing w:before="10"/>
              <w:ind w:left="120"/>
              <w:rPr>
                <w:sz w:val="20"/>
              </w:rPr>
            </w:pPr>
            <w:r>
              <w:rPr>
                <w:sz w:val="20"/>
              </w:rPr>
              <w:t>substrate</w:t>
            </w:r>
          </w:p>
        </w:tc>
        <w:tc>
          <w:tcPr>
            <w:tcW w:w="1805" w:type="dxa"/>
            <w:tcBorders>
              <w:top w:val="single" w:sz="2" w:space="0" w:color="000000"/>
              <w:left w:val="single" w:sz="2" w:space="0" w:color="000000"/>
              <w:bottom w:val="single" w:sz="2" w:space="0" w:color="000000"/>
              <w:right w:val="single" w:sz="2" w:space="0" w:color="000000"/>
            </w:tcBorders>
            <w:hideMark/>
          </w:tcPr>
          <w:p w14:paraId="621ED41B" w14:textId="77777777" w:rsidR="002F7C0E" w:rsidRDefault="002F7C0E">
            <w:pPr>
              <w:pStyle w:val="TableParagraph"/>
              <w:spacing w:before="190"/>
              <w:ind w:left="589" w:right="584"/>
              <w:jc w:val="center"/>
              <w:rPr>
                <w:sz w:val="20"/>
              </w:rPr>
            </w:pPr>
            <w:r>
              <w:rPr>
                <w:sz w:val="20"/>
              </w:rPr>
              <w:t>0.922</w:t>
            </w:r>
          </w:p>
        </w:tc>
        <w:tc>
          <w:tcPr>
            <w:tcW w:w="5415" w:type="dxa"/>
            <w:tcBorders>
              <w:top w:val="single" w:sz="2" w:space="0" w:color="000000"/>
              <w:left w:val="single" w:sz="2" w:space="0" w:color="000000"/>
              <w:bottom w:val="single" w:sz="2" w:space="0" w:color="000000"/>
              <w:right w:val="single" w:sz="2" w:space="0" w:color="000000"/>
            </w:tcBorders>
            <w:hideMark/>
          </w:tcPr>
          <w:p w14:paraId="53BC0538" w14:textId="77777777" w:rsidR="002F7C0E" w:rsidRDefault="002F7C0E">
            <w:pPr>
              <w:pStyle w:val="TableParagraph"/>
              <w:numPr>
                <w:ilvl w:val="0"/>
                <w:numId w:val="32"/>
              </w:numPr>
              <w:tabs>
                <w:tab w:val="left" w:pos="376"/>
              </w:tabs>
              <w:spacing w:before="57" w:line="248" w:lineRule="exact"/>
              <w:rPr>
                <w:sz w:val="20"/>
              </w:rPr>
            </w:pPr>
            <w:r>
              <w:rPr>
                <w:sz w:val="20"/>
              </w:rPr>
              <w:t>Category 1: Substrate; Category 0: Non-substrate;</w:t>
            </w:r>
          </w:p>
          <w:p w14:paraId="6F212762" w14:textId="77777777" w:rsidR="002F7C0E" w:rsidRDefault="002F7C0E">
            <w:pPr>
              <w:pStyle w:val="TableParagraph"/>
              <w:numPr>
                <w:ilvl w:val="0"/>
                <w:numId w:val="32"/>
              </w:numPr>
              <w:tabs>
                <w:tab w:val="left" w:pos="376"/>
              </w:tabs>
              <w:spacing w:line="248" w:lineRule="exact"/>
              <w:rPr>
                <w:sz w:val="20"/>
              </w:rPr>
            </w:pPr>
            <w:r>
              <w:rPr>
                <w:sz w:val="20"/>
              </w:rPr>
              <w:t>The output value is the probability of being substrate.</w:t>
            </w:r>
          </w:p>
        </w:tc>
      </w:tr>
    </w:tbl>
    <w:p w14:paraId="60E7C689" w14:textId="77777777" w:rsidR="002F7C0E" w:rsidRDefault="002F7C0E" w:rsidP="002F7C0E">
      <w:pPr>
        <w:rPr>
          <w:sz w:val="20"/>
        </w:rPr>
        <w:sectPr w:rsidR="002F7C0E">
          <w:pgSz w:w="11910" w:h="16840"/>
          <w:pgMar w:top="1540" w:right="1320" w:bottom="1240" w:left="1320" w:header="0" w:footer="1040" w:gutter="0"/>
          <w:cols w:space="720"/>
        </w:sectPr>
      </w:pPr>
    </w:p>
    <w:p w14:paraId="36B850E2" w14:textId="433FEB13" w:rsidR="002F7C0E" w:rsidRDefault="002F7C0E">
      <w:pPr>
        <w:pStyle w:val="ListParagraph"/>
        <w:widowControl w:val="0"/>
        <w:numPr>
          <w:ilvl w:val="0"/>
          <w:numId w:val="4"/>
        </w:numPr>
        <w:tabs>
          <w:tab w:val="left" w:pos="552"/>
        </w:tabs>
        <w:autoSpaceDE w:val="0"/>
        <w:autoSpaceDN w:val="0"/>
        <w:spacing w:after="0" w:line="240" w:lineRule="auto"/>
        <w:contextualSpacing w:val="0"/>
        <w:rPr>
          <w:rFonts w:ascii="Arial" w:eastAsia="Arial" w:hAnsi="Arial" w:cs="Arial"/>
          <w:b/>
          <w:sz w:val="28"/>
          <w:lang w:val="en-US"/>
        </w:rPr>
      </w:pPr>
      <w:r>
        <w:rPr>
          <w:b/>
          <w:sz w:val="28"/>
        </w:rPr>
        <w:lastRenderedPageBreak/>
        <w:t>Excretion</w:t>
      </w:r>
    </w:p>
    <w:p w14:paraId="5803C325" w14:textId="77777777" w:rsidR="002F7C0E" w:rsidRDefault="002F7C0E" w:rsidP="002F7C0E">
      <w:pPr>
        <w:pStyle w:val="BodyText"/>
        <w:rPr>
          <w:sz w:val="12"/>
        </w:r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54"/>
        <w:gridCol w:w="1354"/>
        <w:gridCol w:w="1354"/>
        <w:gridCol w:w="4964"/>
      </w:tblGrid>
      <w:tr w:rsidR="002F7C0E" w14:paraId="1CEE511C" w14:textId="77777777" w:rsidTr="002F7C0E">
        <w:trPr>
          <w:trHeight w:val="355"/>
        </w:trPr>
        <w:tc>
          <w:tcPr>
            <w:tcW w:w="1354" w:type="dxa"/>
            <w:tcBorders>
              <w:top w:val="single" w:sz="2" w:space="0" w:color="000000"/>
              <w:left w:val="single" w:sz="2" w:space="0" w:color="000000"/>
              <w:bottom w:val="single" w:sz="2" w:space="0" w:color="000000"/>
              <w:right w:val="single" w:sz="2" w:space="0" w:color="000000"/>
            </w:tcBorders>
            <w:hideMark/>
          </w:tcPr>
          <w:p w14:paraId="23624280" w14:textId="77777777" w:rsidR="002F7C0E" w:rsidRDefault="002F7C0E">
            <w:pPr>
              <w:pStyle w:val="TableParagraph"/>
              <w:spacing w:before="71"/>
              <w:ind w:left="120"/>
              <w:rPr>
                <w:rFonts w:ascii="Arial"/>
                <w:b/>
              </w:rPr>
            </w:pPr>
            <w:r>
              <w:rPr>
                <w:rFonts w:ascii="Arial"/>
                <w:b/>
              </w:rPr>
              <w:t>Property</w:t>
            </w:r>
          </w:p>
        </w:tc>
        <w:tc>
          <w:tcPr>
            <w:tcW w:w="1354" w:type="dxa"/>
            <w:tcBorders>
              <w:top w:val="single" w:sz="2" w:space="0" w:color="000000"/>
              <w:left w:val="single" w:sz="2" w:space="0" w:color="000000"/>
              <w:bottom w:val="single" w:sz="2" w:space="0" w:color="000000"/>
              <w:right w:val="single" w:sz="2" w:space="0" w:color="000000"/>
            </w:tcBorders>
            <w:hideMark/>
          </w:tcPr>
          <w:p w14:paraId="0B9DFD19" w14:textId="77777777" w:rsidR="002F7C0E" w:rsidRDefault="002F7C0E">
            <w:pPr>
              <w:pStyle w:val="TableParagraph"/>
              <w:spacing w:before="71"/>
              <w:ind w:left="198" w:right="194"/>
              <w:jc w:val="center"/>
              <w:rPr>
                <w:rFonts w:ascii="Arial"/>
                <w:b/>
              </w:rPr>
            </w:pPr>
            <w:r>
              <w:rPr>
                <w:rFonts w:ascii="Arial"/>
                <w:b/>
              </w:rPr>
              <w:t>Value</w:t>
            </w:r>
          </w:p>
        </w:tc>
        <w:tc>
          <w:tcPr>
            <w:tcW w:w="1354" w:type="dxa"/>
            <w:tcBorders>
              <w:top w:val="single" w:sz="2" w:space="0" w:color="000000"/>
              <w:left w:val="single" w:sz="2" w:space="0" w:color="000000"/>
              <w:bottom w:val="single" w:sz="2" w:space="0" w:color="000000"/>
              <w:right w:val="single" w:sz="2" w:space="0" w:color="000000"/>
            </w:tcBorders>
            <w:hideMark/>
          </w:tcPr>
          <w:p w14:paraId="47035E54" w14:textId="77777777" w:rsidR="002F7C0E" w:rsidRDefault="002F7C0E">
            <w:pPr>
              <w:pStyle w:val="TableParagraph"/>
              <w:spacing w:before="71"/>
              <w:ind w:left="198" w:right="194"/>
              <w:jc w:val="center"/>
              <w:rPr>
                <w:rFonts w:ascii="Arial"/>
                <w:b/>
              </w:rPr>
            </w:pPr>
            <w:r>
              <w:rPr>
                <w:rFonts w:ascii="Arial"/>
                <w:b/>
              </w:rPr>
              <w:t>Decision</w:t>
            </w:r>
          </w:p>
        </w:tc>
        <w:tc>
          <w:tcPr>
            <w:tcW w:w="4964" w:type="dxa"/>
            <w:tcBorders>
              <w:top w:val="single" w:sz="2" w:space="0" w:color="000000"/>
              <w:left w:val="single" w:sz="2" w:space="0" w:color="000000"/>
              <w:bottom w:val="single" w:sz="2" w:space="0" w:color="000000"/>
              <w:right w:val="single" w:sz="2" w:space="0" w:color="000000"/>
            </w:tcBorders>
            <w:hideMark/>
          </w:tcPr>
          <w:p w14:paraId="6746A9D5" w14:textId="77777777" w:rsidR="002F7C0E" w:rsidRDefault="002F7C0E">
            <w:pPr>
              <w:pStyle w:val="TableParagraph"/>
              <w:spacing w:before="71"/>
              <w:ind w:left="119"/>
              <w:rPr>
                <w:rFonts w:ascii="Arial"/>
                <w:b/>
              </w:rPr>
            </w:pPr>
            <w:r>
              <w:rPr>
                <w:rFonts w:ascii="Arial"/>
                <w:b/>
              </w:rPr>
              <w:t>Comment</w:t>
            </w:r>
          </w:p>
        </w:tc>
      </w:tr>
      <w:tr w:rsidR="002F7C0E" w14:paraId="5C7DBCE8"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tcPr>
          <w:p w14:paraId="7DAA54E4" w14:textId="77777777" w:rsidR="002F7C0E" w:rsidRDefault="002F7C0E">
            <w:pPr>
              <w:pStyle w:val="TableParagraph"/>
              <w:spacing w:before="10"/>
              <w:rPr>
                <w:rFonts w:ascii="Arial"/>
                <w:b/>
                <w:sz w:val="26"/>
              </w:rPr>
            </w:pPr>
          </w:p>
          <w:p w14:paraId="0A87B81A" w14:textId="77777777" w:rsidR="002F7C0E" w:rsidRDefault="002F7C0E">
            <w:pPr>
              <w:pStyle w:val="TableParagraph"/>
              <w:spacing w:before="1"/>
              <w:ind w:left="120"/>
              <w:rPr>
                <w:sz w:val="20"/>
              </w:rPr>
            </w:pPr>
            <w:r>
              <w:rPr>
                <w:sz w:val="20"/>
              </w:rPr>
              <w:t>CL</w:t>
            </w:r>
          </w:p>
        </w:tc>
        <w:tc>
          <w:tcPr>
            <w:tcW w:w="1354" w:type="dxa"/>
            <w:tcBorders>
              <w:top w:val="single" w:sz="2" w:space="0" w:color="000000"/>
              <w:left w:val="single" w:sz="2" w:space="0" w:color="000000"/>
              <w:bottom w:val="single" w:sz="2" w:space="0" w:color="000000"/>
              <w:right w:val="single" w:sz="2" w:space="0" w:color="000000"/>
            </w:tcBorders>
          </w:tcPr>
          <w:p w14:paraId="13AE67EF" w14:textId="77777777" w:rsidR="002F7C0E" w:rsidRDefault="002F7C0E">
            <w:pPr>
              <w:pStyle w:val="TableParagraph"/>
              <w:spacing w:before="10"/>
              <w:rPr>
                <w:rFonts w:ascii="Arial"/>
                <w:b/>
                <w:sz w:val="26"/>
              </w:rPr>
            </w:pPr>
          </w:p>
          <w:p w14:paraId="24D5EEED" w14:textId="77777777" w:rsidR="002F7C0E" w:rsidRDefault="002F7C0E">
            <w:pPr>
              <w:pStyle w:val="TableParagraph"/>
              <w:spacing w:before="1"/>
              <w:ind w:left="198" w:right="194"/>
              <w:jc w:val="center"/>
              <w:rPr>
                <w:sz w:val="20"/>
              </w:rPr>
            </w:pPr>
            <w:r>
              <w:rPr>
                <w:sz w:val="20"/>
              </w:rPr>
              <w:t>4.493</w:t>
            </w:r>
          </w:p>
        </w:tc>
        <w:tc>
          <w:tcPr>
            <w:tcW w:w="1354" w:type="dxa"/>
            <w:tcBorders>
              <w:top w:val="single" w:sz="2" w:space="0" w:color="000000"/>
              <w:left w:val="single" w:sz="2" w:space="0" w:color="000000"/>
              <w:bottom w:val="single" w:sz="2" w:space="0" w:color="000000"/>
              <w:right w:val="single" w:sz="2" w:space="0" w:color="000000"/>
            </w:tcBorders>
          </w:tcPr>
          <w:p w14:paraId="3E3BCF4B" w14:textId="77777777" w:rsidR="002F7C0E" w:rsidRDefault="002F7C0E">
            <w:pPr>
              <w:pStyle w:val="TableParagraph"/>
              <w:spacing w:before="10"/>
              <w:rPr>
                <w:rFonts w:ascii="Arial"/>
                <w:b/>
                <w:sz w:val="25"/>
              </w:rPr>
            </w:pPr>
          </w:p>
          <w:p w14:paraId="178C37E1" w14:textId="77777777" w:rsidR="002F7C0E" w:rsidRDefault="002F7C0E">
            <w:pPr>
              <w:pStyle w:val="TableParagraph"/>
              <w:ind w:left="45"/>
              <w:jc w:val="center"/>
              <w:rPr>
                <w:rFonts w:ascii="MS UI Gothic" w:hAnsi="MS UI Gothic"/>
                <w:sz w:val="20"/>
              </w:rPr>
            </w:pPr>
            <w:r>
              <w:rPr>
                <w:rFonts w:ascii="MS UI Gothic" w:hAnsi="MS UI Gothic" w:hint="eastAsia"/>
                <w:color w:val="FF0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79487F16" w14:textId="77777777" w:rsidR="002F7C0E" w:rsidRDefault="002F7C0E">
            <w:pPr>
              <w:pStyle w:val="TableParagraph"/>
              <w:numPr>
                <w:ilvl w:val="0"/>
                <w:numId w:val="33"/>
              </w:numPr>
              <w:tabs>
                <w:tab w:val="left" w:pos="376"/>
              </w:tabs>
              <w:spacing w:before="57" w:line="248" w:lineRule="exact"/>
              <w:ind w:left="375" w:hanging="257"/>
              <w:rPr>
                <w:sz w:val="20"/>
              </w:rPr>
            </w:pPr>
            <w:r>
              <w:rPr>
                <w:sz w:val="20"/>
              </w:rPr>
              <w:t>Clearance</w:t>
            </w:r>
          </w:p>
          <w:p w14:paraId="6D4072B7" w14:textId="77777777" w:rsidR="002F7C0E" w:rsidRDefault="002F7C0E">
            <w:pPr>
              <w:pStyle w:val="TableParagraph"/>
              <w:numPr>
                <w:ilvl w:val="0"/>
                <w:numId w:val="33"/>
              </w:numPr>
              <w:tabs>
                <w:tab w:val="left" w:pos="376"/>
              </w:tabs>
              <w:spacing w:line="232" w:lineRule="auto"/>
              <w:ind w:right="241" w:firstLine="0"/>
              <w:rPr>
                <w:sz w:val="20"/>
              </w:rPr>
            </w:pPr>
            <w:r>
              <w:rPr>
                <w:sz w:val="20"/>
              </w:rPr>
              <w:t>High: &gt;15 mL/min/kg; moderate: 5-15 mL/min/kg;</w:t>
            </w:r>
            <w:r>
              <w:rPr>
                <w:spacing w:val="-54"/>
                <w:sz w:val="20"/>
              </w:rPr>
              <w:t xml:space="preserve"> </w:t>
            </w:r>
            <w:r>
              <w:rPr>
                <w:sz w:val="20"/>
              </w:rPr>
              <w:t>low: &lt;5 mL/min/kg</w:t>
            </w:r>
          </w:p>
        </w:tc>
      </w:tr>
      <w:tr w:rsidR="002F7C0E" w14:paraId="7EBC9762" w14:textId="77777777" w:rsidTr="002F7C0E">
        <w:trPr>
          <w:trHeight w:val="1315"/>
        </w:trPr>
        <w:tc>
          <w:tcPr>
            <w:tcW w:w="1354" w:type="dxa"/>
            <w:tcBorders>
              <w:top w:val="single" w:sz="2" w:space="0" w:color="000000"/>
              <w:left w:val="single" w:sz="2" w:space="0" w:color="000000"/>
              <w:bottom w:val="single" w:sz="2" w:space="0" w:color="000000"/>
              <w:right w:val="single" w:sz="2" w:space="0" w:color="000000"/>
            </w:tcBorders>
          </w:tcPr>
          <w:p w14:paraId="5EC4F5CF" w14:textId="77777777" w:rsidR="002F7C0E" w:rsidRDefault="002F7C0E">
            <w:pPr>
              <w:pStyle w:val="TableParagraph"/>
              <w:rPr>
                <w:rFonts w:ascii="Arial"/>
                <w:b/>
                <w:sz w:val="30"/>
              </w:rPr>
            </w:pPr>
          </w:p>
          <w:p w14:paraId="4516E4C2" w14:textId="77777777" w:rsidR="002F7C0E" w:rsidRDefault="002F7C0E">
            <w:pPr>
              <w:pStyle w:val="TableParagraph"/>
              <w:spacing w:before="205"/>
              <w:ind w:left="120"/>
              <w:rPr>
                <w:sz w:val="16"/>
              </w:rPr>
            </w:pPr>
            <w:r>
              <w:rPr>
                <w:position w:val="10"/>
                <w:sz w:val="20"/>
              </w:rPr>
              <w:t>T</w:t>
            </w:r>
            <w:r>
              <w:rPr>
                <w:sz w:val="16"/>
              </w:rPr>
              <w:t>1/2</w:t>
            </w:r>
          </w:p>
        </w:tc>
        <w:tc>
          <w:tcPr>
            <w:tcW w:w="1354" w:type="dxa"/>
            <w:tcBorders>
              <w:top w:val="single" w:sz="2" w:space="0" w:color="000000"/>
              <w:left w:val="single" w:sz="2" w:space="0" w:color="000000"/>
              <w:bottom w:val="single" w:sz="2" w:space="0" w:color="000000"/>
              <w:right w:val="single" w:sz="2" w:space="0" w:color="000000"/>
            </w:tcBorders>
          </w:tcPr>
          <w:p w14:paraId="1A52C929" w14:textId="77777777" w:rsidR="002F7C0E" w:rsidRDefault="002F7C0E">
            <w:pPr>
              <w:pStyle w:val="TableParagraph"/>
              <w:rPr>
                <w:rFonts w:ascii="Arial"/>
                <w:b/>
              </w:rPr>
            </w:pPr>
          </w:p>
          <w:p w14:paraId="74FBE5D6" w14:textId="77777777" w:rsidR="002F7C0E" w:rsidRDefault="002F7C0E">
            <w:pPr>
              <w:pStyle w:val="TableParagraph"/>
              <w:spacing w:before="9"/>
              <w:rPr>
                <w:rFonts w:ascii="Arial"/>
                <w:b/>
                <w:sz w:val="25"/>
              </w:rPr>
            </w:pPr>
          </w:p>
          <w:p w14:paraId="7EAD2891" w14:textId="77777777" w:rsidR="002F7C0E" w:rsidRDefault="002F7C0E">
            <w:pPr>
              <w:pStyle w:val="TableParagraph"/>
              <w:ind w:left="198" w:right="194"/>
              <w:jc w:val="center"/>
              <w:rPr>
                <w:sz w:val="20"/>
              </w:rPr>
            </w:pPr>
            <w:r>
              <w:rPr>
                <w:sz w:val="20"/>
              </w:rPr>
              <w:t>0.804</w:t>
            </w:r>
          </w:p>
        </w:tc>
        <w:tc>
          <w:tcPr>
            <w:tcW w:w="1354" w:type="dxa"/>
            <w:tcBorders>
              <w:top w:val="single" w:sz="2" w:space="0" w:color="000000"/>
              <w:left w:val="single" w:sz="2" w:space="0" w:color="000000"/>
              <w:bottom w:val="single" w:sz="2" w:space="0" w:color="000000"/>
              <w:right w:val="single" w:sz="2" w:space="0" w:color="000000"/>
            </w:tcBorders>
          </w:tcPr>
          <w:p w14:paraId="53FA3D2F" w14:textId="77777777" w:rsidR="002F7C0E" w:rsidRDefault="002F7C0E">
            <w:pPr>
              <w:pStyle w:val="TableParagraph"/>
              <w:rPr>
                <w:rFonts w:ascii="Arial"/>
                <w:b/>
              </w:rPr>
            </w:pPr>
          </w:p>
          <w:p w14:paraId="420A0D50" w14:textId="77777777" w:rsidR="002F7C0E" w:rsidRDefault="002F7C0E">
            <w:pPr>
              <w:pStyle w:val="TableParagraph"/>
              <w:spacing w:before="9"/>
              <w:rPr>
                <w:rFonts w:ascii="Arial"/>
                <w:b/>
                <w:sz w:val="25"/>
              </w:rPr>
            </w:pPr>
          </w:p>
          <w:p w14:paraId="16AD9CB8" w14:textId="77777777" w:rsidR="002F7C0E" w:rsidRDefault="002F7C0E">
            <w:pPr>
              <w:pStyle w:val="TableParagraph"/>
              <w:ind w:left="4"/>
              <w:jc w:val="center"/>
              <w:rPr>
                <w:sz w:val="20"/>
              </w:rPr>
            </w:pPr>
            <w:r>
              <w:rPr>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1D61EC7A" w14:textId="77777777" w:rsidR="002F7C0E" w:rsidRDefault="002F7C0E">
            <w:pPr>
              <w:pStyle w:val="TableParagraph"/>
              <w:numPr>
                <w:ilvl w:val="0"/>
                <w:numId w:val="34"/>
              </w:numPr>
              <w:tabs>
                <w:tab w:val="left" w:pos="376"/>
              </w:tabs>
              <w:spacing w:before="61" w:line="232" w:lineRule="auto"/>
              <w:ind w:right="713" w:firstLine="0"/>
              <w:rPr>
                <w:sz w:val="20"/>
              </w:rPr>
            </w:pPr>
            <w:r>
              <w:rPr>
                <w:sz w:val="20"/>
              </w:rPr>
              <w:t>Category 1: long half-</w:t>
            </w:r>
            <w:proofErr w:type="gramStart"/>
            <w:r>
              <w:rPr>
                <w:sz w:val="20"/>
              </w:rPr>
              <w:t>life ;</w:t>
            </w:r>
            <w:proofErr w:type="gramEnd"/>
            <w:r>
              <w:rPr>
                <w:sz w:val="20"/>
              </w:rPr>
              <w:t xml:space="preserve"> Category 0: short</w:t>
            </w:r>
            <w:r>
              <w:rPr>
                <w:spacing w:val="-54"/>
                <w:sz w:val="20"/>
              </w:rPr>
              <w:t xml:space="preserve"> </w:t>
            </w:r>
            <w:r>
              <w:rPr>
                <w:sz w:val="20"/>
              </w:rPr>
              <w:t>half-life;</w:t>
            </w:r>
          </w:p>
          <w:p w14:paraId="50B9CF8C" w14:textId="77777777" w:rsidR="002F7C0E" w:rsidRDefault="002F7C0E">
            <w:pPr>
              <w:pStyle w:val="TableParagraph"/>
              <w:numPr>
                <w:ilvl w:val="0"/>
                <w:numId w:val="34"/>
              </w:numPr>
              <w:tabs>
                <w:tab w:val="left" w:pos="376"/>
              </w:tabs>
              <w:spacing w:line="248" w:lineRule="exact"/>
              <w:ind w:left="375" w:hanging="257"/>
              <w:rPr>
                <w:sz w:val="20"/>
              </w:rPr>
            </w:pPr>
            <w:r>
              <w:rPr>
                <w:sz w:val="20"/>
              </w:rPr>
              <w:t>long half-life: &gt;3h; short half-life: &lt;3h</w:t>
            </w:r>
          </w:p>
          <w:p w14:paraId="035C15CA" w14:textId="77777777" w:rsidR="002F7C0E" w:rsidRDefault="002F7C0E">
            <w:pPr>
              <w:pStyle w:val="TableParagraph"/>
              <w:numPr>
                <w:ilvl w:val="0"/>
                <w:numId w:val="34"/>
              </w:numPr>
              <w:tabs>
                <w:tab w:val="left" w:pos="376"/>
              </w:tabs>
              <w:spacing w:line="232" w:lineRule="auto"/>
              <w:ind w:right="290" w:firstLine="0"/>
              <w:rPr>
                <w:sz w:val="20"/>
              </w:rPr>
            </w:pPr>
            <w:r>
              <w:rPr>
                <w:sz w:val="20"/>
              </w:rPr>
              <w:t>The output value is the probability of having long</w:t>
            </w:r>
            <w:r>
              <w:rPr>
                <w:spacing w:val="-54"/>
                <w:sz w:val="20"/>
              </w:rPr>
              <w:t xml:space="preserve"> </w:t>
            </w:r>
            <w:r>
              <w:rPr>
                <w:sz w:val="20"/>
              </w:rPr>
              <w:t>half-life.</w:t>
            </w:r>
          </w:p>
        </w:tc>
      </w:tr>
    </w:tbl>
    <w:p w14:paraId="240882DD" w14:textId="77777777" w:rsidR="002F7C0E" w:rsidRDefault="002F7C0E">
      <w:pPr>
        <w:pStyle w:val="ListParagraph"/>
        <w:widowControl w:val="0"/>
        <w:numPr>
          <w:ilvl w:val="0"/>
          <w:numId w:val="4"/>
        </w:numPr>
        <w:tabs>
          <w:tab w:val="left" w:pos="552"/>
        </w:tabs>
        <w:autoSpaceDE w:val="0"/>
        <w:autoSpaceDN w:val="0"/>
        <w:spacing w:before="255" w:after="0" w:line="240" w:lineRule="auto"/>
        <w:contextualSpacing w:val="0"/>
        <w:rPr>
          <w:rFonts w:ascii="Arial" w:eastAsia="Arial" w:hAnsi="Arial" w:cs="Arial"/>
          <w:b/>
          <w:sz w:val="28"/>
          <w:lang w:val="en-US"/>
        </w:rPr>
      </w:pPr>
      <w:r>
        <w:rPr>
          <w:b/>
          <w:sz w:val="28"/>
        </w:rPr>
        <w:t>Toxicity</w:t>
      </w:r>
    </w:p>
    <w:p w14:paraId="7591204A" w14:textId="77777777" w:rsidR="002F7C0E" w:rsidRDefault="002F7C0E" w:rsidP="002F7C0E">
      <w:pPr>
        <w:pStyle w:val="BodyText"/>
        <w:rPr>
          <w:sz w:val="12"/>
        </w:r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54"/>
        <w:gridCol w:w="1354"/>
        <w:gridCol w:w="1354"/>
        <w:gridCol w:w="4964"/>
      </w:tblGrid>
      <w:tr w:rsidR="002F7C0E" w14:paraId="3844A8E6" w14:textId="77777777" w:rsidTr="002F7C0E">
        <w:trPr>
          <w:trHeight w:val="355"/>
        </w:trPr>
        <w:tc>
          <w:tcPr>
            <w:tcW w:w="1354" w:type="dxa"/>
            <w:tcBorders>
              <w:top w:val="single" w:sz="2" w:space="0" w:color="000000"/>
              <w:left w:val="single" w:sz="2" w:space="0" w:color="000000"/>
              <w:bottom w:val="single" w:sz="2" w:space="0" w:color="000000"/>
              <w:right w:val="single" w:sz="2" w:space="0" w:color="000000"/>
            </w:tcBorders>
            <w:hideMark/>
          </w:tcPr>
          <w:p w14:paraId="5B90A613" w14:textId="77777777" w:rsidR="002F7C0E" w:rsidRDefault="002F7C0E">
            <w:pPr>
              <w:pStyle w:val="TableParagraph"/>
              <w:spacing w:before="71"/>
              <w:ind w:left="120"/>
              <w:rPr>
                <w:rFonts w:ascii="Arial"/>
                <w:b/>
              </w:rPr>
            </w:pPr>
            <w:r>
              <w:rPr>
                <w:rFonts w:ascii="Arial"/>
                <w:b/>
              </w:rPr>
              <w:t>Property</w:t>
            </w:r>
          </w:p>
        </w:tc>
        <w:tc>
          <w:tcPr>
            <w:tcW w:w="1354" w:type="dxa"/>
            <w:tcBorders>
              <w:top w:val="single" w:sz="2" w:space="0" w:color="000000"/>
              <w:left w:val="single" w:sz="2" w:space="0" w:color="000000"/>
              <w:bottom w:val="single" w:sz="2" w:space="0" w:color="000000"/>
              <w:right w:val="single" w:sz="2" w:space="0" w:color="000000"/>
            </w:tcBorders>
            <w:hideMark/>
          </w:tcPr>
          <w:p w14:paraId="57401605" w14:textId="77777777" w:rsidR="002F7C0E" w:rsidRDefault="002F7C0E">
            <w:pPr>
              <w:pStyle w:val="TableParagraph"/>
              <w:spacing w:before="71"/>
              <w:ind w:left="198" w:right="194"/>
              <w:jc w:val="center"/>
              <w:rPr>
                <w:rFonts w:ascii="Arial"/>
                <w:b/>
              </w:rPr>
            </w:pPr>
            <w:r>
              <w:rPr>
                <w:rFonts w:ascii="Arial"/>
                <w:b/>
              </w:rPr>
              <w:t>Value</w:t>
            </w:r>
          </w:p>
        </w:tc>
        <w:tc>
          <w:tcPr>
            <w:tcW w:w="1354" w:type="dxa"/>
            <w:tcBorders>
              <w:top w:val="single" w:sz="2" w:space="0" w:color="000000"/>
              <w:left w:val="single" w:sz="2" w:space="0" w:color="000000"/>
              <w:bottom w:val="single" w:sz="2" w:space="0" w:color="000000"/>
              <w:right w:val="single" w:sz="2" w:space="0" w:color="000000"/>
            </w:tcBorders>
            <w:hideMark/>
          </w:tcPr>
          <w:p w14:paraId="5099A5F7" w14:textId="77777777" w:rsidR="002F7C0E" w:rsidRDefault="002F7C0E">
            <w:pPr>
              <w:pStyle w:val="TableParagraph"/>
              <w:spacing w:before="71"/>
              <w:ind w:left="198" w:right="194"/>
              <w:jc w:val="center"/>
              <w:rPr>
                <w:rFonts w:ascii="Arial"/>
                <w:b/>
              </w:rPr>
            </w:pPr>
            <w:r>
              <w:rPr>
                <w:rFonts w:ascii="Arial"/>
                <w:b/>
              </w:rPr>
              <w:t>Decision</w:t>
            </w:r>
          </w:p>
        </w:tc>
        <w:tc>
          <w:tcPr>
            <w:tcW w:w="4964" w:type="dxa"/>
            <w:tcBorders>
              <w:top w:val="single" w:sz="2" w:space="0" w:color="000000"/>
              <w:left w:val="single" w:sz="2" w:space="0" w:color="000000"/>
              <w:bottom w:val="single" w:sz="2" w:space="0" w:color="000000"/>
              <w:right w:val="single" w:sz="2" w:space="0" w:color="000000"/>
            </w:tcBorders>
            <w:hideMark/>
          </w:tcPr>
          <w:p w14:paraId="3180E101" w14:textId="77777777" w:rsidR="002F7C0E" w:rsidRDefault="002F7C0E">
            <w:pPr>
              <w:pStyle w:val="TableParagraph"/>
              <w:spacing w:before="71"/>
              <w:ind w:left="119"/>
              <w:rPr>
                <w:rFonts w:ascii="Arial"/>
                <w:b/>
              </w:rPr>
            </w:pPr>
            <w:r>
              <w:rPr>
                <w:rFonts w:ascii="Arial"/>
                <w:b/>
              </w:rPr>
              <w:t>Comment</w:t>
            </w:r>
          </w:p>
        </w:tc>
      </w:tr>
      <w:tr w:rsidR="002F7C0E" w14:paraId="265EB083" w14:textId="77777777" w:rsidTr="002F7C0E">
        <w:trPr>
          <w:trHeight w:val="595"/>
        </w:trPr>
        <w:tc>
          <w:tcPr>
            <w:tcW w:w="1354" w:type="dxa"/>
            <w:tcBorders>
              <w:top w:val="single" w:sz="2" w:space="0" w:color="000000"/>
              <w:left w:val="single" w:sz="2" w:space="0" w:color="000000"/>
              <w:bottom w:val="single" w:sz="2" w:space="0" w:color="000000"/>
              <w:right w:val="single" w:sz="2" w:space="0" w:color="000000"/>
            </w:tcBorders>
            <w:hideMark/>
          </w:tcPr>
          <w:p w14:paraId="3D10489C" w14:textId="77777777" w:rsidR="002F7C0E" w:rsidRDefault="002F7C0E">
            <w:pPr>
              <w:pStyle w:val="TableParagraph"/>
              <w:spacing w:before="70"/>
              <w:ind w:left="120"/>
              <w:rPr>
                <w:sz w:val="20"/>
              </w:rPr>
            </w:pPr>
            <w:proofErr w:type="spellStart"/>
            <w:r>
              <w:rPr>
                <w:sz w:val="20"/>
              </w:rPr>
              <w:t>hERG</w:t>
            </w:r>
            <w:proofErr w:type="spellEnd"/>
          </w:p>
          <w:p w14:paraId="34BE6655" w14:textId="77777777" w:rsidR="002F7C0E" w:rsidRDefault="002F7C0E">
            <w:pPr>
              <w:pStyle w:val="TableParagraph"/>
              <w:spacing w:before="10"/>
              <w:ind w:left="120"/>
              <w:rPr>
                <w:sz w:val="20"/>
              </w:rPr>
            </w:pPr>
            <w:r>
              <w:rPr>
                <w:sz w:val="20"/>
              </w:rPr>
              <w:t>Blockers</w:t>
            </w:r>
          </w:p>
        </w:tc>
        <w:tc>
          <w:tcPr>
            <w:tcW w:w="1354" w:type="dxa"/>
            <w:tcBorders>
              <w:top w:val="single" w:sz="2" w:space="0" w:color="000000"/>
              <w:left w:val="single" w:sz="2" w:space="0" w:color="000000"/>
              <w:bottom w:val="single" w:sz="2" w:space="0" w:color="000000"/>
              <w:right w:val="single" w:sz="2" w:space="0" w:color="000000"/>
            </w:tcBorders>
            <w:hideMark/>
          </w:tcPr>
          <w:p w14:paraId="0768A6AB" w14:textId="77777777" w:rsidR="002F7C0E" w:rsidRDefault="002F7C0E">
            <w:pPr>
              <w:pStyle w:val="TableParagraph"/>
              <w:spacing w:before="190"/>
              <w:ind w:left="198" w:right="194"/>
              <w:jc w:val="center"/>
              <w:rPr>
                <w:sz w:val="20"/>
              </w:rPr>
            </w:pPr>
            <w:r>
              <w:rPr>
                <w:sz w:val="20"/>
              </w:rPr>
              <w:t>0.001</w:t>
            </w:r>
          </w:p>
        </w:tc>
        <w:tc>
          <w:tcPr>
            <w:tcW w:w="1354" w:type="dxa"/>
            <w:tcBorders>
              <w:top w:val="single" w:sz="2" w:space="0" w:color="000000"/>
              <w:left w:val="single" w:sz="2" w:space="0" w:color="000000"/>
              <w:bottom w:val="single" w:sz="2" w:space="0" w:color="000000"/>
              <w:right w:val="single" w:sz="2" w:space="0" w:color="000000"/>
            </w:tcBorders>
            <w:hideMark/>
          </w:tcPr>
          <w:p w14:paraId="54CEB527" w14:textId="77777777" w:rsidR="002F7C0E" w:rsidRDefault="002F7C0E">
            <w:pPr>
              <w:pStyle w:val="TableParagraph"/>
              <w:spacing w:before="177"/>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19087A81" w14:textId="77777777" w:rsidR="002F7C0E" w:rsidRDefault="002F7C0E">
            <w:pPr>
              <w:pStyle w:val="TableParagraph"/>
              <w:numPr>
                <w:ilvl w:val="0"/>
                <w:numId w:val="35"/>
              </w:numPr>
              <w:tabs>
                <w:tab w:val="left" w:pos="376"/>
              </w:tabs>
              <w:spacing w:before="57" w:line="248" w:lineRule="exact"/>
              <w:ind w:hanging="257"/>
              <w:rPr>
                <w:sz w:val="20"/>
              </w:rPr>
            </w:pPr>
            <w:r>
              <w:rPr>
                <w:sz w:val="20"/>
              </w:rPr>
              <w:t>Category 1: active; Category 0: inactive;</w:t>
            </w:r>
          </w:p>
          <w:p w14:paraId="75505876" w14:textId="77777777" w:rsidR="002F7C0E" w:rsidRDefault="002F7C0E">
            <w:pPr>
              <w:pStyle w:val="TableParagraph"/>
              <w:numPr>
                <w:ilvl w:val="0"/>
                <w:numId w:val="35"/>
              </w:numPr>
              <w:tabs>
                <w:tab w:val="left" w:pos="376"/>
              </w:tabs>
              <w:spacing w:line="248" w:lineRule="exact"/>
              <w:ind w:hanging="257"/>
              <w:rPr>
                <w:sz w:val="20"/>
              </w:rPr>
            </w:pPr>
            <w:r>
              <w:rPr>
                <w:sz w:val="20"/>
              </w:rPr>
              <w:t>The output value is the probability of being active.</w:t>
            </w:r>
          </w:p>
        </w:tc>
      </w:tr>
      <w:tr w:rsidR="002F7C0E" w14:paraId="59E5EDCE" w14:textId="77777777" w:rsidTr="002F7C0E">
        <w:trPr>
          <w:trHeight w:val="1075"/>
        </w:trPr>
        <w:tc>
          <w:tcPr>
            <w:tcW w:w="1354" w:type="dxa"/>
            <w:tcBorders>
              <w:top w:val="single" w:sz="2" w:space="0" w:color="000000"/>
              <w:left w:val="single" w:sz="2" w:space="0" w:color="000000"/>
              <w:bottom w:val="single" w:sz="2" w:space="0" w:color="000000"/>
              <w:right w:val="single" w:sz="2" w:space="0" w:color="000000"/>
            </w:tcBorders>
          </w:tcPr>
          <w:p w14:paraId="19A65EFE" w14:textId="77777777" w:rsidR="002F7C0E" w:rsidRDefault="002F7C0E">
            <w:pPr>
              <w:pStyle w:val="TableParagraph"/>
              <w:rPr>
                <w:rFonts w:ascii="Arial"/>
                <w:b/>
              </w:rPr>
            </w:pPr>
          </w:p>
          <w:p w14:paraId="1E97021A" w14:textId="77777777" w:rsidR="002F7C0E" w:rsidRDefault="002F7C0E">
            <w:pPr>
              <w:pStyle w:val="TableParagraph"/>
              <w:spacing w:before="177"/>
              <w:ind w:left="120"/>
              <w:rPr>
                <w:sz w:val="20"/>
              </w:rPr>
            </w:pPr>
            <w:r>
              <w:rPr>
                <w:sz w:val="20"/>
              </w:rPr>
              <w:t>H-HT</w:t>
            </w:r>
          </w:p>
        </w:tc>
        <w:tc>
          <w:tcPr>
            <w:tcW w:w="1354" w:type="dxa"/>
            <w:tcBorders>
              <w:top w:val="single" w:sz="2" w:space="0" w:color="000000"/>
              <w:left w:val="single" w:sz="2" w:space="0" w:color="000000"/>
              <w:bottom w:val="single" w:sz="2" w:space="0" w:color="000000"/>
              <w:right w:val="single" w:sz="2" w:space="0" w:color="000000"/>
            </w:tcBorders>
          </w:tcPr>
          <w:p w14:paraId="22387265" w14:textId="77777777" w:rsidR="002F7C0E" w:rsidRDefault="002F7C0E">
            <w:pPr>
              <w:pStyle w:val="TableParagraph"/>
              <w:rPr>
                <w:rFonts w:ascii="Arial"/>
                <w:b/>
              </w:rPr>
            </w:pPr>
          </w:p>
          <w:p w14:paraId="6A894316" w14:textId="77777777" w:rsidR="002F7C0E" w:rsidRDefault="002F7C0E">
            <w:pPr>
              <w:pStyle w:val="TableParagraph"/>
              <w:spacing w:before="177"/>
              <w:ind w:left="198" w:right="194"/>
              <w:jc w:val="center"/>
              <w:rPr>
                <w:sz w:val="20"/>
              </w:rPr>
            </w:pPr>
            <w:r>
              <w:rPr>
                <w:sz w:val="20"/>
              </w:rPr>
              <w:t>0.558</w:t>
            </w:r>
          </w:p>
        </w:tc>
        <w:tc>
          <w:tcPr>
            <w:tcW w:w="1354" w:type="dxa"/>
            <w:tcBorders>
              <w:top w:val="single" w:sz="2" w:space="0" w:color="000000"/>
              <w:left w:val="single" w:sz="2" w:space="0" w:color="000000"/>
              <w:bottom w:val="single" w:sz="2" w:space="0" w:color="000000"/>
              <w:right w:val="single" w:sz="2" w:space="0" w:color="000000"/>
            </w:tcBorders>
          </w:tcPr>
          <w:p w14:paraId="2EDF9E40" w14:textId="77777777" w:rsidR="002F7C0E" w:rsidRDefault="002F7C0E">
            <w:pPr>
              <w:pStyle w:val="TableParagraph"/>
              <w:rPr>
                <w:rFonts w:ascii="Arial"/>
                <w:b/>
                <w:sz w:val="20"/>
              </w:rPr>
            </w:pPr>
          </w:p>
          <w:p w14:paraId="53C6CF5F" w14:textId="77777777" w:rsidR="002F7C0E" w:rsidRDefault="002F7C0E">
            <w:pPr>
              <w:pStyle w:val="TableParagraph"/>
              <w:spacing w:before="3"/>
              <w:rPr>
                <w:rFonts w:ascii="Arial"/>
                <w:b/>
                <w:sz w:val="16"/>
              </w:rPr>
            </w:pPr>
          </w:p>
          <w:p w14:paraId="0D0E4C5A" w14:textId="77777777" w:rsidR="002F7C0E" w:rsidRDefault="002F7C0E">
            <w:pPr>
              <w:pStyle w:val="TableParagraph"/>
              <w:ind w:left="45"/>
              <w:jc w:val="center"/>
              <w:rPr>
                <w:rFonts w:ascii="MS UI Gothic" w:hAnsi="MS UI Gothic"/>
                <w:sz w:val="20"/>
              </w:rPr>
            </w:pPr>
            <w:r>
              <w:rPr>
                <w:rFonts w:ascii="MS UI Gothic" w:hAnsi="MS UI Gothic" w:hint="eastAsia"/>
                <w:color w:val="FFA5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7893CE31" w14:textId="77777777" w:rsidR="002F7C0E" w:rsidRDefault="002F7C0E">
            <w:pPr>
              <w:pStyle w:val="TableParagraph"/>
              <w:numPr>
                <w:ilvl w:val="0"/>
                <w:numId w:val="36"/>
              </w:numPr>
              <w:tabs>
                <w:tab w:val="left" w:pos="376"/>
              </w:tabs>
              <w:spacing w:before="57" w:line="248" w:lineRule="exact"/>
              <w:ind w:left="375" w:hanging="257"/>
              <w:rPr>
                <w:sz w:val="20"/>
              </w:rPr>
            </w:pPr>
            <w:r>
              <w:rPr>
                <w:sz w:val="20"/>
              </w:rPr>
              <w:t>Human Hepatotoxicity</w:t>
            </w:r>
          </w:p>
          <w:p w14:paraId="595A222A" w14:textId="77777777" w:rsidR="002F7C0E" w:rsidRDefault="002F7C0E">
            <w:pPr>
              <w:pStyle w:val="TableParagraph"/>
              <w:numPr>
                <w:ilvl w:val="0"/>
                <w:numId w:val="36"/>
              </w:numPr>
              <w:tabs>
                <w:tab w:val="left" w:pos="376"/>
              </w:tabs>
              <w:spacing w:line="232" w:lineRule="auto"/>
              <w:ind w:right="352" w:firstLine="0"/>
              <w:rPr>
                <w:sz w:val="20"/>
              </w:rPr>
            </w:pPr>
            <w:r>
              <w:rPr>
                <w:sz w:val="20"/>
              </w:rPr>
              <w:t xml:space="preserve">Category 1: H-HT </w:t>
            </w:r>
            <w:proofErr w:type="gramStart"/>
            <w:r>
              <w:rPr>
                <w:sz w:val="20"/>
              </w:rPr>
              <w:t>positive(</w:t>
            </w:r>
            <w:proofErr w:type="gramEnd"/>
            <w:r>
              <w:rPr>
                <w:sz w:val="20"/>
              </w:rPr>
              <w:t>+); Category 0: H-HT</w:t>
            </w:r>
            <w:r>
              <w:rPr>
                <w:spacing w:val="-54"/>
                <w:sz w:val="20"/>
              </w:rPr>
              <w:t xml:space="preserve"> </w:t>
            </w:r>
            <w:r>
              <w:rPr>
                <w:sz w:val="20"/>
              </w:rPr>
              <w:t>negative(-);</w:t>
            </w:r>
          </w:p>
          <w:p w14:paraId="71DD828A" w14:textId="77777777" w:rsidR="002F7C0E" w:rsidRDefault="002F7C0E">
            <w:pPr>
              <w:pStyle w:val="TableParagraph"/>
              <w:numPr>
                <w:ilvl w:val="0"/>
                <w:numId w:val="36"/>
              </w:numPr>
              <w:tabs>
                <w:tab w:val="left" w:pos="376"/>
              </w:tabs>
              <w:spacing w:line="256" w:lineRule="exact"/>
              <w:ind w:left="375" w:hanging="257"/>
              <w:rPr>
                <w:sz w:val="20"/>
              </w:rPr>
            </w:pPr>
            <w:r>
              <w:rPr>
                <w:sz w:val="20"/>
              </w:rPr>
              <w:t>The output value is the probability of being toxic.</w:t>
            </w:r>
          </w:p>
        </w:tc>
      </w:tr>
      <w:tr w:rsidR="002F7C0E" w14:paraId="122D9990" w14:textId="77777777" w:rsidTr="002F7C0E">
        <w:trPr>
          <w:trHeight w:val="1075"/>
        </w:trPr>
        <w:tc>
          <w:tcPr>
            <w:tcW w:w="1354" w:type="dxa"/>
            <w:tcBorders>
              <w:top w:val="single" w:sz="2" w:space="0" w:color="000000"/>
              <w:left w:val="single" w:sz="2" w:space="0" w:color="000000"/>
              <w:bottom w:val="single" w:sz="2" w:space="0" w:color="000000"/>
              <w:right w:val="single" w:sz="2" w:space="0" w:color="000000"/>
            </w:tcBorders>
          </w:tcPr>
          <w:p w14:paraId="64E0D379" w14:textId="77777777" w:rsidR="002F7C0E" w:rsidRDefault="002F7C0E">
            <w:pPr>
              <w:pStyle w:val="TableParagraph"/>
              <w:rPr>
                <w:rFonts w:ascii="Arial"/>
                <w:b/>
              </w:rPr>
            </w:pPr>
          </w:p>
          <w:p w14:paraId="201DA86B" w14:textId="77777777" w:rsidR="002F7C0E" w:rsidRDefault="002F7C0E">
            <w:pPr>
              <w:pStyle w:val="TableParagraph"/>
              <w:spacing w:before="177"/>
              <w:ind w:left="120"/>
              <w:rPr>
                <w:sz w:val="20"/>
              </w:rPr>
            </w:pPr>
            <w:r>
              <w:rPr>
                <w:sz w:val="20"/>
              </w:rPr>
              <w:t>DILI</w:t>
            </w:r>
          </w:p>
        </w:tc>
        <w:tc>
          <w:tcPr>
            <w:tcW w:w="1354" w:type="dxa"/>
            <w:tcBorders>
              <w:top w:val="single" w:sz="2" w:space="0" w:color="000000"/>
              <w:left w:val="single" w:sz="2" w:space="0" w:color="000000"/>
              <w:bottom w:val="single" w:sz="2" w:space="0" w:color="000000"/>
              <w:right w:val="single" w:sz="2" w:space="0" w:color="000000"/>
            </w:tcBorders>
          </w:tcPr>
          <w:p w14:paraId="2CD2D415" w14:textId="77777777" w:rsidR="002F7C0E" w:rsidRDefault="002F7C0E">
            <w:pPr>
              <w:pStyle w:val="TableParagraph"/>
              <w:rPr>
                <w:rFonts w:ascii="Arial"/>
                <w:b/>
              </w:rPr>
            </w:pPr>
          </w:p>
          <w:p w14:paraId="2F1F00D9" w14:textId="77777777" w:rsidR="002F7C0E" w:rsidRDefault="002F7C0E">
            <w:pPr>
              <w:pStyle w:val="TableParagraph"/>
              <w:spacing w:before="177"/>
              <w:ind w:left="198" w:right="194"/>
              <w:jc w:val="center"/>
              <w:rPr>
                <w:sz w:val="20"/>
              </w:rPr>
            </w:pPr>
            <w:r>
              <w:rPr>
                <w:sz w:val="20"/>
              </w:rPr>
              <w:t>0.99</w:t>
            </w:r>
          </w:p>
        </w:tc>
        <w:tc>
          <w:tcPr>
            <w:tcW w:w="1354" w:type="dxa"/>
            <w:tcBorders>
              <w:top w:val="single" w:sz="2" w:space="0" w:color="000000"/>
              <w:left w:val="single" w:sz="2" w:space="0" w:color="000000"/>
              <w:bottom w:val="single" w:sz="2" w:space="0" w:color="000000"/>
              <w:right w:val="single" w:sz="2" w:space="0" w:color="000000"/>
            </w:tcBorders>
          </w:tcPr>
          <w:p w14:paraId="537048CB" w14:textId="77777777" w:rsidR="002F7C0E" w:rsidRDefault="002F7C0E">
            <w:pPr>
              <w:pStyle w:val="TableParagraph"/>
              <w:rPr>
                <w:rFonts w:ascii="Arial"/>
                <w:b/>
                <w:sz w:val="20"/>
              </w:rPr>
            </w:pPr>
          </w:p>
          <w:p w14:paraId="15A563EC" w14:textId="77777777" w:rsidR="002F7C0E" w:rsidRDefault="002F7C0E">
            <w:pPr>
              <w:pStyle w:val="TableParagraph"/>
              <w:spacing w:before="3"/>
              <w:rPr>
                <w:rFonts w:ascii="Arial"/>
                <w:b/>
                <w:sz w:val="16"/>
              </w:rPr>
            </w:pPr>
          </w:p>
          <w:p w14:paraId="04F715DA" w14:textId="77777777" w:rsidR="002F7C0E" w:rsidRDefault="002F7C0E">
            <w:pPr>
              <w:pStyle w:val="TableParagraph"/>
              <w:ind w:left="45"/>
              <w:jc w:val="center"/>
              <w:rPr>
                <w:rFonts w:ascii="MS UI Gothic" w:hAnsi="MS UI Gothic"/>
                <w:sz w:val="20"/>
              </w:rPr>
            </w:pPr>
            <w:r>
              <w:rPr>
                <w:rFonts w:ascii="MS UI Gothic" w:hAnsi="MS UI Gothic" w:hint="eastAsia"/>
                <w:color w:val="FF0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160DF9C1" w14:textId="77777777" w:rsidR="002F7C0E" w:rsidRDefault="002F7C0E">
            <w:pPr>
              <w:pStyle w:val="TableParagraph"/>
              <w:numPr>
                <w:ilvl w:val="0"/>
                <w:numId w:val="37"/>
              </w:numPr>
              <w:tabs>
                <w:tab w:val="left" w:pos="376"/>
              </w:tabs>
              <w:spacing w:before="57" w:line="248" w:lineRule="exact"/>
              <w:ind w:left="375" w:hanging="257"/>
              <w:rPr>
                <w:sz w:val="20"/>
              </w:rPr>
            </w:pPr>
            <w:r>
              <w:rPr>
                <w:sz w:val="20"/>
              </w:rPr>
              <w:t>Drug Induced Liver Injury.</w:t>
            </w:r>
          </w:p>
          <w:p w14:paraId="31332560" w14:textId="77777777" w:rsidR="002F7C0E" w:rsidRDefault="002F7C0E">
            <w:pPr>
              <w:pStyle w:val="TableParagraph"/>
              <w:numPr>
                <w:ilvl w:val="0"/>
                <w:numId w:val="37"/>
              </w:numPr>
              <w:tabs>
                <w:tab w:val="left" w:pos="374"/>
              </w:tabs>
              <w:ind w:right="65" w:firstLine="0"/>
              <w:rPr>
                <w:sz w:val="20"/>
              </w:rPr>
            </w:pPr>
            <w:r>
              <w:rPr>
                <w:sz w:val="20"/>
              </w:rPr>
              <w:t>Category</w:t>
            </w:r>
            <w:r>
              <w:rPr>
                <w:spacing w:val="-4"/>
                <w:sz w:val="20"/>
              </w:rPr>
              <w:t xml:space="preserve"> </w:t>
            </w:r>
            <w:r>
              <w:rPr>
                <w:sz w:val="20"/>
              </w:rPr>
              <w:t>1:</w:t>
            </w:r>
            <w:r>
              <w:rPr>
                <w:spacing w:val="-4"/>
                <w:sz w:val="20"/>
              </w:rPr>
              <w:t xml:space="preserve"> </w:t>
            </w:r>
            <w:r>
              <w:rPr>
                <w:sz w:val="20"/>
              </w:rPr>
              <w:t>drugs</w:t>
            </w:r>
            <w:r>
              <w:rPr>
                <w:spacing w:val="-3"/>
                <w:sz w:val="20"/>
              </w:rPr>
              <w:t xml:space="preserve"> </w:t>
            </w:r>
            <w:r>
              <w:rPr>
                <w:sz w:val="20"/>
              </w:rPr>
              <w:t>with</w:t>
            </w:r>
            <w:r>
              <w:rPr>
                <w:spacing w:val="-4"/>
                <w:sz w:val="20"/>
              </w:rPr>
              <w:t xml:space="preserve"> </w:t>
            </w:r>
            <w:r>
              <w:rPr>
                <w:sz w:val="20"/>
              </w:rPr>
              <w:t>a</w:t>
            </w:r>
            <w:r>
              <w:rPr>
                <w:spacing w:val="-4"/>
                <w:sz w:val="20"/>
              </w:rPr>
              <w:t xml:space="preserve"> </w:t>
            </w:r>
            <w:r>
              <w:rPr>
                <w:sz w:val="20"/>
              </w:rPr>
              <w:t>high</w:t>
            </w:r>
            <w:r>
              <w:rPr>
                <w:spacing w:val="-3"/>
                <w:sz w:val="20"/>
              </w:rPr>
              <w:t xml:space="preserve"> </w:t>
            </w:r>
            <w:r>
              <w:rPr>
                <w:sz w:val="20"/>
              </w:rPr>
              <w:t>risk</w:t>
            </w:r>
            <w:r>
              <w:rPr>
                <w:spacing w:val="-4"/>
                <w:sz w:val="20"/>
              </w:rPr>
              <w:t xml:space="preserve"> </w:t>
            </w:r>
            <w:r>
              <w:rPr>
                <w:sz w:val="20"/>
              </w:rPr>
              <w:t>of</w:t>
            </w:r>
            <w:r>
              <w:rPr>
                <w:spacing w:val="-4"/>
                <w:sz w:val="20"/>
              </w:rPr>
              <w:t xml:space="preserve"> </w:t>
            </w:r>
            <w:r>
              <w:rPr>
                <w:sz w:val="20"/>
              </w:rPr>
              <w:t>DILI;</w:t>
            </w:r>
            <w:r>
              <w:rPr>
                <w:spacing w:val="-3"/>
                <w:sz w:val="20"/>
              </w:rPr>
              <w:t xml:space="preserve"> </w:t>
            </w:r>
            <w:r>
              <w:rPr>
                <w:sz w:val="20"/>
              </w:rPr>
              <w:t>Category</w:t>
            </w:r>
            <w:r>
              <w:rPr>
                <w:spacing w:val="-53"/>
                <w:sz w:val="20"/>
              </w:rPr>
              <w:t xml:space="preserve"> </w:t>
            </w:r>
            <w:r>
              <w:rPr>
                <w:sz w:val="20"/>
              </w:rPr>
              <w:t>0: drugs with no risk of DILI. The output value is the</w:t>
            </w:r>
            <w:r>
              <w:rPr>
                <w:spacing w:val="1"/>
                <w:sz w:val="20"/>
              </w:rPr>
              <w:t xml:space="preserve"> </w:t>
            </w:r>
            <w:r>
              <w:rPr>
                <w:sz w:val="20"/>
              </w:rPr>
              <w:t>probability of being toxic.</w:t>
            </w:r>
          </w:p>
        </w:tc>
      </w:tr>
      <w:tr w:rsidR="002F7C0E" w14:paraId="7EB7F324"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hideMark/>
          </w:tcPr>
          <w:p w14:paraId="7A68D9F0" w14:textId="77777777" w:rsidR="002F7C0E" w:rsidRDefault="002F7C0E">
            <w:pPr>
              <w:pStyle w:val="TableParagraph"/>
              <w:spacing w:before="190"/>
              <w:ind w:left="120"/>
              <w:rPr>
                <w:sz w:val="20"/>
              </w:rPr>
            </w:pPr>
            <w:r>
              <w:rPr>
                <w:sz w:val="20"/>
              </w:rPr>
              <w:t>AMES</w:t>
            </w:r>
          </w:p>
          <w:p w14:paraId="237DC7F9" w14:textId="77777777" w:rsidR="002F7C0E" w:rsidRDefault="002F7C0E">
            <w:pPr>
              <w:pStyle w:val="TableParagraph"/>
              <w:spacing w:before="10"/>
              <w:ind w:left="120"/>
              <w:rPr>
                <w:sz w:val="20"/>
              </w:rPr>
            </w:pPr>
            <w:r>
              <w:rPr>
                <w:sz w:val="20"/>
              </w:rPr>
              <w:t>Toxicity</w:t>
            </w:r>
          </w:p>
        </w:tc>
        <w:tc>
          <w:tcPr>
            <w:tcW w:w="1354" w:type="dxa"/>
            <w:tcBorders>
              <w:top w:val="single" w:sz="2" w:space="0" w:color="000000"/>
              <w:left w:val="single" w:sz="2" w:space="0" w:color="000000"/>
              <w:bottom w:val="single" w:sz="2" w:space="0" w:color="000000"/>
              <w:right w:val="single" w:sz="2" w:space="0" w:color="000000"/>
            </w:tcBorders>
          </w:tcPr>
          <w:p w14:paraId="2B6D51A2" w14:textId="77777777" w:rsidR="002F7C0E" w:rsidRDefault="002F7C0E">
            <w:pPr>
              <w:pStyle w:val="TableParagraph"/>
              <w:spacing w:before="10"/>
              <w:rPr>
                <w:rFonts w:ascii="Arial"/>
                <w:b/>
                <w:sz w:val="26"/>
              </w:rPr>
            </w:pPr>
          </w:p>
          <w:p w14:paraId="1BE173D8" w14:textId="77777777" w:rsidR="002F7C0E" w:rsidRDefault="002F7C0E">
            <w:pPr>
              <w:pStyle w:val="TableParagraph"/>
              <w:spacing w:before="1"/>
              <w:ind w:left="198" w:right="194"/>
              <w:jc w:val="center"/>
              <w:rPr>
                <w:sz w:val="20"/>
              </w:rPr>
            </w:pPr>
            <w:r>
              <w:rPr>
                <w:sz w:val="20"/>
              </w:rPr>
              <w:t>0.842</w:t>
            </w:r>
          </w:p>
        </w:tc>
        <w:tc>
          <w:tcPr>
            <w:tcW w:w="1354" w:type="dxa"/>
            <w:tcBorders>
              <w:top w:val="single" w:sz="2" w:space="0" w:color="000000"/>
              <w:left w:val="single" w:sz="2" w:space="0" w:color="000000"/>
              <w:bottom w:val="single" w:sz="2" w:space="0" w:color="000000"/>
              <w:right w:val="single" w:sz="2" w:space="0" w:color="000000"/>
            </w:tcBorders>
          </w:tcPr>
          <w:p w14:paraId="3325DD97" w14:textId="77777777" w:rsidR="002F7C0E" w:rsidRDefault="002F7C0E">
            <w:pPr>
              <w:pStyle w:val="TableParagraph"/>
              <w:spacing w:before="10"/>
              <w:rPr>
                <w:rFonts w:ascii="Arial"/>
                <w:b/>
                <w:sz w:val="25"/>
              </w:rPr>
            </w:pPr>
          </w:p>
          <w:p w14:paraId="4EB2C591" w14:textId="77777777" w:rsidR="002F7C0E" w:rsidRDefault="002F7C0E">
            <w:pPr>
              <w:pStyle w:val="TableParagraph"/>
              <w:ind w:left="45"/>
              <w:jc w:val="center"/>
              <w:rPr>
                <w:rFonts w:ascii="MS UI Gothic" w:hAnsi="MS UI Gothic"/>
                <w:sz w:val="20"/>
              </w:rPr>
            </w:pPr>
            <w:r>
              <w:rPr>
                <w:rFonts w:ascii="MS UI Gothic" w:hAnsi="MS UI Gothic" w:hint="eastAsia"/>
                <w:color w:val="FF0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3B52321A" w14:textId="77777777" w:rsidR="002F7C0E" w:rsidRDefault="002F7C0E">
            <w:pPr>
              <w:pStyle w:val="TableParagraph"/>
              <w:numPr>
                <w:ilvl w:val="0"/>
                <w:numId w:val="38"/>
              </w:numPr>
              <w:tabs>
                <w:tab w:val="left" w:pos="376"/>
              </w:tabs>
              <w:spacing w:before="61" w:line="232" w:lineRule="auto"/>
              <w:ind w:right="285" w:firstLine="0"/>
              <w:rPr>
                <w:sz w:val="20"/>
              </w:rPr>
            </w:pPr>
            <w:r>
              <w:rPr>
                <w:sz w:val="20"/>
              </w:rPr>
              <w:t xml:space="preserve">Category 1: Ames </w:t>
            </w:r>
            <w:proofErr w:type="gramStart"/>
            <w:r>
              <w:rPr>
                <w:sz w:val="20"/>
              </w:rPr>
              <w:t>positive(</w:t>
            </w:r>
            <w:proofErr w:type="gramEnd"/>
            <w:r>
              <w:rPr>
                <w:sz w:val="20"/>
              </w:rPr>
              <w:t>+); Category 0: Ames</w:t>
            </w:r>
            <w:r>
              <w:rPr>
                <w:spacing w:val="-54"/>
                <w:sz w:val="20"/>
              </w:rPr>
              <w:t xml:space="preserve"> </w:t>
            </w:r>
            <w:r>
              <w:rPr>
                <w:sz w:val="20"/>
              </w:rPr>
              <w:t>negative(-);</w:t>
            </w:r>
          </w:p>
          <w:p w14:paraId="5B58F4E6" w14:textId="77777777" w:rsidR="002F7C0E" w:rsidRDefault="002F7C0E">
            <w:pPr>
              <w:pStyle w:val="TableParagraph"/>
              <w:numPr>
                <w:ilvl w:val="0"/>
                <w:numId w:val="38"/>
              </w:numPr>
              <w:tabs>
                <w:tab w:val="left" w:pos="376"/>
              </w:tabs>
              <w:spacing w:line="256" w:lineRule="exact"/>
              <w:ind w:left="375" w:hanging="257"/>
              <w:rPr>
                <w:sz w:val="20"/>
              </w:rPr>
            </w:pPr>
            <w:r>
              <w:rPr>
                <w:sz w:val="20"/>
              </w:rPr>
              <w:t>The output value is the probability of being toxic.</w:t>
            </w:r>
          </w:p>
        </w:tc>
      </w:tr>
      <w:tr w:rsidR="002F7C0E" w14:paraId="4F69A5EA"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hideMark/>
          </w:tcPr>
          <w:p w14:paraId="71F7B93E" w14:textId="77777777" w:rsidR="002F7C0E" w:rsidRDefault="002F7C0E">
            <w:pPr>
              <w:pStyle w:val="TableParagraph"/>
              <w:spacing w:before="70" w:line="247" w:lineRule="auto"/>
              <w:ind w:left="120" w:right="464"/>
              <w:rPr>
                <w:sz w:val="20"/>
              </w:rPr>
            </w:pPr>
            <w:r>
              <w:rPr>
                <w:sz w:val="20"/>
              </w:rPr>
              <w:t>Rat Oral</w:t>
            </w:r>
            <w:r>
              <w:rPr>
                <w:spacing w:val="-54"/>
                <w:sz w:val="20"/>
              </w:rPr>
              <w:t xml:space="preserve"> </w:t>
            </w:r>
            <w:r>
              <w:rPr>
                <w:sz w:val="20"/>
              </w:rPr>
              <w:t>Acute</w:t>
            </w:r>
            <w:r>
              <w:rPr>
                <w:spacing w:val="1"/>
                <w:sz w:val="20"/>
              </w:rPr>
              <w:t xml:space="preserve"> </w:t>
            </w:r>
            <w:r>
              <w:rPr>
                <w:sz w:val="20"/>
              </w:rPr>
              <w:t>Toxicity</w:t>
            </w:r>
          </w:p>
        </w:tc>
        <w:tc>
          <w:tcPr>
            <w:tcW w:w="1354" w:type="dxa"/>
            <w:tcBorders>
              <w:top w:val="single" w:sz="2" w:space="0" w:color="000000"/>
              <w:left w:val="single" w:sz="2" w:space="0" w:color="000000"/>
              <w:bottom w:val="single" w:sz="2" w:space="0" w:color="000000"/>
              <w:right w:val="single" w:sz="2" w:space="0" w:color="000000"/>
            </w:tcBorders>
          </w:tcPr>
          <w:p w14:paraId="478A6174" w14:textId="77777777" w:rsidR="002F7C0E" w:rsidRDefault="002F7C0E">
            <w:pPr>
              <w:pStyle w:val="TableParagraph"/>
              <w:spacing w:before="10"/>
              <w:rPr>
                <w:rFonts w:ascii="Arial"/>
                <w:b/>
                <w:sz w:val="26"/>
              </w:rPr>
            </w:pPr>
          </w:p>
          <w:p w14:paraId="22C98891" w14:textId="77777777" w:rsidR="002F7C0E" w:rsidRDefault="002F7C0E">
            <w:pPr>
              <w:pStyle w:val="TableParagraph"/>
              <w:spacing w:before="1"/>
              <w:ind w:left="198" w:right="194"/>
              <w:jc w:val="center"/>
              <w:rPr>
                <w:sz w:val="20"/>
              </w:rPr>
            </w:pPr>
            <w:r>
              <w:rPr>
                <w:sz w:val="20"/>
              </w:rPr>
              <w:t>0.024</w:t>
            </w:r>
          </w:p>
        </w:tc>
        <w:tc>
          <w:tcPr>
            <w:tcW w:w="1354" w:type="dxa"/>
            <w:tcBorders>
              <w:top w:val="single" w:sz="2" w:space="0" w:color="000000"/>
              <w:left w:val="single" w:sz="2" w:space="0" w:color="000000"/>
              <w:bottom w:val="single" w:sz="2" w:space="0" w:color="000000"/>
              <w:right w:val="single" w:sz="2" w:space="0" w:color="000000"/>
            </w:tcBorders>
          </w:tcPr>
          <w:p w14:paraId="2888EBF5" w14:textId="77777777" w:rsidR="002F7C0E" w:rsidRDefault="002F7C0E">
            <w:pPr>
              <w:pStyle w:val="TableParagraph"/>
              <w:spacing w:before="10"/>
              <w:rPr>
                <w:rFonts w:ascii="Arial"/>
                <w:b/>
                <w:sz w:val="25"/>
              </w:rPr>
            </w:pPr>
          </w:p>
          <w:p w14:paraId="27D0E235"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1382DAAE" w14:textId="77777777" w:rsidR="002F7C0E" w:rsidRDefault="002F7C0E">
            <w:pPr>
              <w:pStyle w:val="TableParagraph"/>
              <w:numPr>
                <w:ilvl w:val="0"/>
                <w:numId w:val="39"/>
              </w:numPr>
              <w:tabs>
                <w:tab w:val="left" w:pos="376"/>
              </w:tabs>
              <w:spacing w:before="57" w:line="248" w:lineRule="exact"/>
              <w:ind w:left="375" w:hanging="257"/>
              <w:rPr>
                <w:sz w:val="20"/>
              </w:rPr>
            </w:pPr>
            <w:r>
              <w:rPr>
                <w:sz w:val="20"/>
              </w:rPr>
              <w:t>Category 0: low-toxicity; Category 1: high-toxicity;</w:t>
            </w:r>
          </w:p>
          <w:p w14:paraId="1E0C0D5F" w14:textId="77777777" w:rsidR="002F7C0E" w:rsidRDefault="002F7C0E">
            <w:pPr>
              <w:pStyle w:val="TableParagraph"/>
              <w:numPr>
                <w:ilvl w:val="0"/>
                <w:numId w:val="39"/>
              </w:numPr>
              <w:tabs>
                <w:tab w:val="left" w:pos="376"/>
              </w:tabs>
              <w:spacing w:line="232" w:lineRule="auto"/>
              <w:ind w:right="245" w:firstLine="0"/>
              <w:rPr>
                <w:sz w:val="20"/>
              </w:rPr>
            </w:pPr>
            <w:r>
              <w:rPr>
                <w:sz w:val="20"/>
              </w:rPr>
              <w:t>The output value is the probability of being highly</w:t>
            </w:r>
            <w:r>
              <w:rPr>
                <w:spacing w:val="-54"/>
                <w:sz w:val="20"/>
              </w:rPr>
              <w:t xml:space="preserve"> </w:t>
            </w:r>
            <w:r>
              <w:rPr>
                <w:sz w:val="20"/>
              </w:rPr>
              <w:t>toxic.</w:t>
            </w:r>
          </w:p>
        </w:tc>
      </w:tr>
      <w:tr w:rsidR="002F7C0E" w14:paraId="14C8D3AA" w14:textId="77777777" w:rsidTr="002F7C0E">
        <w:trPr>
          <w:trHeight w:val="1315"/>
        </w:trPr>
        <w:tc>
          <w:tcPr>
            <w:tcW w:w="1354" w:type="dxa"/>
            <w:tcBorders>
              <w:top w:val="single" w:sz="2" w:space="0" w:color="000000"/>
              <w:left w:val="single" w:sz="2" w:space="0" w:color="000000"/>
              <w:bottom w:val="single" w:sz="2" w:space="0" w:color="000000"/>
              <w:right w:val="single" w:sz="2" w:space="0" w:color="000000"/>
            </w:tcBorders>
          </w:tcPr>
          <w:p w14:paraId="230EE8E3" w14:textId="77777777" w:rsidR="002F7C0E" w:rsidRDefault="002F7C0E">
            <w:pPr>
              <w:pStyle w:val="TableParagraph"/>
              <w:rPr>
                <w:rFonts w:ascii="Arial"/>
                <w:b/>
              </w:rPr>
            </w:pPr>
          </w:p>
          <w:p w14:paraId="0E090F01" w14:textId="77777777" w:rsidR="002F7C0E" w:rsidRDefault="002F7C0E">
            <w:pPr>
              <w:pStyle w:val="TableParagraph"/>
              <w:spacing w:before="9"/>
              <w:rPr>
                <w:rFonts w:ascii="Arial"/>
                <w:b/>
                <w:sz w:val="25"/>
              </w:rPr>
            </w:pPr>
          </w:p>
          <w:p w14:paraId="0C91583B" w14:textId="77777777" w:rsidR="002F7C0E" w:rsidRDefault="002F7C0E">
            <w:pPr>
              <w:pStyle w:val="TableParagraph"/>
              <w:ind w:left="120"/>
              <w:rPr>
                <w:sz w:val="20"/>
              </w:rPr>
            </w:pPr>
            <w:r>
              <w:rPr>
                <w:sz w:val="20"/>
              </w:rPr>
              <w:t>FDAMDD</w:t>
            </w:r>
          </w:p>
        </w:tc>
        <w:tc>
          <w:tcPr>
            <w:tcW w:w="1354" w:type="dxa"/>
            <w:tcBorders>
              <w:top w:val="single" w:sz="2" w:space="0" w:color="000000"/>
              <w:left w:val="single" w:sz="2" w:space="0" w:color="000000"/>
              <w:bottom w:val="single" w:sz="2" w:space="0" w:color="000000"/>
              <w:right w:val="single" w:sz="2" w:space="0" w:color="000000"/>
            </w:tcBorders>
          </w:tcPr>
          <w:p w14:paraId="3EF2921F" w14:textId="77777777" w:rsidR="002F7C0E" w:rsidRDefault="002F7C0E">
            <w:pPr>
              <w:pStyle w:val="TableParagraph"/>
              <w:rPr>
                <w:rFonts w:ascii="Arial"/>
                <w:b/>
              </w:rPr>
            </w:pPr>
          </w:p>
          <w:p w14:paraId="7ADC7C0F" w14:textId="77777777" w:rsidR="002F7C0E" w:rsidRDefault="002F7C0E">
            <w:pPr>
              <w:pStyle w:val="TableParagraph"/>
              <w:spacing w:before="9"/>
              <w:rPr>
                <w:rFonts w:ascii="Arial"/>
                <w:b/>
                <w:sz w:val="25"/>
              </w:rPr>
            </w:pPr>
          </w:p>
          <w:p w14:paraId="7790529E" w14:textId="77777777" w:rsidR="002F7C0E" w:rsidRDefault="002F7C0E">
            <w:pPr>
              <w:pStyle w:val="TableParagraph"/>
              <w:ind w:left="198" w:right="194"/>
              <w:jc w:val="center"/>
              <w:rPr>
                <w:sz w:val="20"/>
              </w:rPr>
            </w:pPr>
            <w:r>
              <w:rPr>
                <w:sz w:val="20"/>
              </w:rPr>
              <w:t>0.031</w:t>
            </w:r>
          </w:p>
        </w:tc>
        <w:tc>
          <w:tcPr>
            <w:tcW w:w="1354" w:type="dxa"/>
            <w:tcBorders>
              <w:top w:val="single" w:sz="2" w:space="0" w:color="000000"/>
              <w:left w:val="single" w:sz="2" w:space="0" w:color="000000"/>
              <w:bottom w:val="single" w:sz="2" w:space="0" w:color="000000"/>
              <w:right w:val="single" w:sz="2" w:space="0" w:color="000000"/>
            </w:tcBorders>
          </w:tcPr>
          <w:p w14:paraId="76BE6B4F" w14:textId="77777777" w:rsidR="002F7C0E" w:rsidRDefault="002F7C0E">
            <w:pPr>
              <w:pStyle w:val="TableParagraph"/>
              <w:rPr>
                <w:rFonts w:ascii="Arial"/>
                <w:b/>
                <w:sz w:val="20"/>
              </w:rPr>
            </w:pPr>
          </w:p>
          <w:p w14:paraId="0227B5E8" w14:textId="77777777" w:rsidR="002F7C0E" w:rsidRDefault="002F7C0E">
            <w:pPr>
              <w:pStyle w:val="TableParagraph"/>
              <w:spacing w:before="8"/>
              <w:rPr>
                <w:rFonts w:ascii="Arial"/>
                <w:b/>
                <w:sz w:val="26"/>
              </w:rPr>
            </w:pPr>
          </w:p>
          <w:p w14:paraId="487A30AA"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12A9CA1F" w14:textId="77777777" w:rsidR="002F7C0E" w:rsidRDefault="002F7C0E">
            <w:pPr>
              <w:pStyle w:val="TableParagraph"/>
              <w:numPr>
                <w:ilvl w:val="0"/>
                <w:numId w:val="40"/>
              </w:numPr>
              <w:tabs>
                <w:tab w:val="left" w:pos="376"/>
              </w:tabs>
              <w:spacing w:before="57" w:line="248" w:lineRule="exact"/>
              <w:ind w:left="375" w:hanging="257"/>
              <w:rPr>
                <w:sz w:val="20"/>
              </w:rPr>
            </w:pPr>
            <w:r>
              <w:rPr>
                <w:sz w:val="20"/>
              </w:rPr>
              <w:t>Maximum Recommended Daily Dose</w:t>
            </w:r>
          </w:p>
          <w:p w14:paraId="16BBC202" w14:textId="77777777" w:rsidR="002F7C0E" w:rsidRDefault="002F7C0E">
            <w:pPr>
              <w:pStyle w:val="TableParagraph"/>
              <w:numPr>
                <w:ilvl w:val="0"/>
                <w:numId w:val="40"/>
              </w:numPr>
              <w:tabs>
                <w:tab w:val="left" w:pos="376"/>
              </w:tabs>
              <w:spacing w:line="232" w:lineRule="auto"/>
              <w:ind w:right="275" w:firstLine="0"/>
              <w:rPr>
                <w:sz w:val="20"/>
              </w:rPr>
            </w:pPr>
            <w:r>
              <w:rPr>
                <w:sz w:val="20"/>
              </w:rPr>
              <w:t>Category 1: FDAMDD (+); Category 0: FDAMDD</w:t>
            </w:r>
            <w:r>
              <w:rPr>
                <w:spacing w:val="-54"/>
                <w:sz w:val="20"/>
              </w:rPr>
              <w:t xml:space="preserve"> </w:t>
            </w:r>
            <w:r>
              <w:rPr>
                <w:sz w:val="20"/>
              </w:rPr>
              <w:t>(-)</w:t>
            </w:r>
          </w:p>
          <w:p w14:paraId="3C0E89CA" w14:textId="77777777" w:rsidR="002F7C0E" w:rsidRDefault="002F7C0E">
            <w:pPr>
              <w:pStyle w:val="TableParagraph"/>
              <w:numPr>
                <w:ilvl w:val="0"/>
                <w:numId w:val="40"/>
              </w:numPr>
              <w:tabs>
                <w:tab w:val="left" w:pos="376"/>
              </w:tabs>
              <w:spacing w:line="232" w:lineRule="auto"/>
              <w:ind w:right="823" w:firstLine="0"/>
              <w:rPr>
                <w:sz w:val="20"/>
              </w:rPr>
            </w:pPr>
            <w:r>
              <w:rPr>
                <w:sz w:val="20"/>
              </w:rPr>
              <w:t>The output value is the probability of being</w:t>
            </w:r>
            <w:r>
              <w:rPr>
                <w:spacing w:val="-54"/>
                <w:sz w:val="20"/>
              </w:rPr>
              <w:t xml:space="preserve"> </w:t>
            </w:r>
            <w:r>
              <w:rPr>
                <w:sz w:val="20"/>
              </w:rPr>
              <w:t>positive.</w:t>
            </w:r>
          </w:p>
        </w:tc>
      </w:tr>
      <w:tr w:rsidR="002F7C0E" w14:paraId="379102F4"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hideMark/>
          </w:tcPr>
          <w:p w14:paraId="776CECF5" w14:textId="77777777" w:rsidR="002F7C0E" w:rsidRDefault="002F7C0E">
            <w:pPr>
              <w:pStyle w:val="TableParagraph"/>
              <w:spacing w:before="190" w:line="247" w:lineRule="auto"/>
              <w:ind w:left="120" w:right="164"/>
              <w:rPr>
                <w:sz w:val="20"/>
              </w:rPr>
            </w:pPr>
            <w:r>
              <w:rPr>
                <w:sz w:val="20"/>
              </w:rPr>
              <w:t xml:space="preserve">Skin </w:t>
            </w:r>
            <w:proofErr w:type="spellStart"/>
            <w:r>
              <w:rPr>
                <w:sz w:val="20"/>
              </w:rPr>
              <w:t>Sensiti</w:t>
            </w:r>
            <w:proofErr w:type="spellEnd"/>
            <w:r>
              <w:rPr>
                <w:spacing w:val="-54"/>
                <w:sz w:val="20"/>
              </w:rPr>
              <w:t xml:space="preserve"> </w:t>
            </w:r>
            <w:proofErr w:type="spellStart"/>
            <w:r>
              <w:rPr>
                <w:sz w:val="20"/>
              </w:rPr>
              <w:t>zation</w:t>
            </w:r>
            <w:proofErr w:type="spellEnd"/>
          </w:p>
        </w:tc>
        <w:tc>
          <w:tcPr>
            <w:tcW w:w="1354" w:type="dxa"/>
            <w:tcBorders>
              <w:top w:val="single" w:sz="2" w:space="0" w:color="000000"/>
              <w:left w:val="single" w:sz="2" w:space="0" w:color="000000"/>
              <w:bottom w:val="single" w:sz="2" w:space="0" w:color="000000"/>
              <w:right w:val="single" w:sz="2" w:space="0" w:color="000000"/>
            </w:tcBorders>
          </w:tcPr>
          <w:p w14:paraId="28CB68CB" w14:textId="77777777" w:rsidR="002F7C0E" w:rsidRDefault="002F7C0E">
            <w:pPr>
              <w:pStyle w:val="TableParagraph"/>
              <w:spacing w:before="10"/>
              <w:rPr>
                <w:rFonts w:ascii="Arial"/>
                <w:b/>
                <w:sz w:val="26"/>
              </w:rPr>
            </w:pPr>
          </w:p>
          <w:p w14:paraId="1E7FFBE8" w14:textId="77777777" w:rsidR="002F7C0E" w:rsidRDefault="002F7C0E">
            <w:pPr>
              <w:pStyle w:val="TableParagraph"/>
              <w:spacing w:before="1"/>
              <w:ind w:left="198" w:right="194"/>
              <w:jc w:val="center"/>
              <w:rPr>
                <w:sz w:val="20"/>
              </w:rPr>
            </w:pPr>
            <w:r>
              <w:rPr>
                <w:sz w:val="20"/>
              </w:rPr>
              <w:t>0.48</w:t>
            </w:r>
          </w:p>
        </w:tc>
        <w:tc>
          <w:tcPr>
            <w:tcW w:w="1354" w:type="dxa"/>
            <w:tcBorders>
              <w:top w:val="single" w:sz="2" w:space="0" w:color="000000"/>
              <w:left w:val="single" w:sz="2" w:space="0" w:color="000000"/>
              <w:bottom w:val="single" w:sz="2" w:space="0" w:color="000000"/>
              <w:right w:val="single" w:sz="2" w:space="0" w:color="000000"/>
            </w:tcBorders>
          </w:tcPr>
          <w:p w14:paraId="2EEFA3B0" w14:textId="77777777" w:rsidR="002F7C0E" w:rsidRDefault="002F7C0E">
            <w:pPr>
              <w:pStyle w:val="TableParagraph"/>
              <w:spacing w:before="10"/>
              <w:rPr>
                <w:rFonts w:ascii="Arial"/>
                <w:b/>
                <w:sz w:val="25"/>
              </w:rPr>
            </w:pPr>
          </w:p>
          <w:p w14:paraId="3A675774" w14:textId="77777777" w:rsidR="002F7C0E" w:rsidRDefault="002F7C0E">
            <w:pPr>
              <w:pStyle w:val="TableParagraph"/>
              <w:ind w:left="45"/>
              <w:jc w:val="center"/>
              <w:rPr>
                <w:rFonts w:ascii="MS UI Gothic" w:hAnsi="MS UI Gothic"/>
                <w:sz w:val="20"/>
              </w:rPr>
            </w:pPr>
            <w:r>
              <w:rPr>
                <w:rFonts w:ascii="MS UI Gothic" w:hAnsi="MS UI Gothic" w:hint="eastAsia"/>
                <w:color w:val="FFA5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2992BFAE" w14:textId="77777777" w:rsidR="002F7C0E" w:rsidRDefault="002F7C0E">
            <w:pPr>
              <w:pStyle w:val="TableParagraph"/>
              <w:numPr>
                <w:ilvl w:val="0"/>
                <w:numId w:val="41"/>
              </w:numPr>
              <w:tabs>
                <w:tab w:val="left" w:pos="376"/>
              </w:tabs>
              <w:spacing w:before="57" w:line="248" w:lineRule="exact"/>
              <w:ind w:left="375" w:hanging="257"/>
              <w:rPr>
                <w:sz w:val="20"/>
              </w:rPr>
            </w:pPr>
            <w:r>
              <w:rPr>
                <w:sz w:val="20"/>
              </w:rPr>
              <w:t>Category 1: Sensitizer; Category 0: Non-sensitizer;</w:t>
            </w:r>
          </w:p>
          <w:p w14:paraId="7DD03513" w14:textId="77777777" w:rsidR="002F7C0E" w:rsidRDefault="002F7C0E">
            <w:pPr>
              <w:pStyle w:val="TableParagraph"/>
              <w:numPr>
                <w:ilvl w:val="0"/>
                <w:numId w:val="41"/>
              </w:numPr>
              <w:tabs>
                <w:tab w:val="left" w:pos="376"/>
              </w:tabs>
              <w:spacing w:line="232" w:lineRule="auto"/>
              <w:ind w:right="823" w:firstLine="0"/>
              <w:rPr>
                <w:sz w:val="20"/>
              </w:rPr>
            </w:pPr>
            <w:r>
              <w:rPr>
                <w:sz w:val="20"/>
              </w:rPr>
              <w:t>The output value is the probability of being</w:t>
            </w:r>
            <w:r>
              <w:rPr>
                <w:spacing w:val="-54"/>
                <w:sz w:val="20"/>
              </w:rPr>
              <w:t xml:space="preserve"> </w:t>
            </w:r>
            <w:r>
              <w:rPr>
                <w:sz w:val="20"/>
              </w:rPr>
              <w:t>sensitizer.</w:t>
            </w:r>
          </w:p>
        </w:tc>
      </w:tr>
      <w:tr w:rsidR="002F7C0E" w14:paraId="5EA1194B"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hideMark/>
          </w:tcPr>
          <w:p w14:paraId="512B1797" w14:textId="77777777" w:rsidR="002F7C0E" w:rsidRDefault="002F7C0E">
            <w:pPr>
              <w:pStyle w:val="TableParagraph"/>
              <w:spacing w:before="190" w:line="247" w:lineRule="auto"/>
              <w:ind w:left="120" w:right="186"/>
              <w:rPr>
                <w:sz w:val="20"/>
              </w:rPr>
            </w:pPr>
            <w:r>
              <w:rPr>
                <w:sz w:val="20"/>
              </w:rPr>
              <w:t>Carcinogen</w:t>
            </w:r>
            <w:r>
              <w:rPr>
                <w:spacing w:val="-54"/>
                <w:sz w:val="20"/>
              </w:rPr>
              <w:t xml:space="preserve"> </w:t>
            </w:r>
            <w:r>
              <w:rPr>
                <w:sz w:val="20"/>
              </w:rPr>
              <w:t>city</w:t>
            </w:r>
          </w:p>
        </w:tc>
        <w:tc>
          <w:tcPr>
            <w:tcW w:w="1354" w:type="dxa"/>
            <w:tcBorders>
              <w:top w:val="single" w:sz="2" w:space="0" w:color="000000"/>
              <w:left w:val="single" w:sz="2" w:space="0" w:color="000000"/>
              <w:bottom w:val="single" w:sz="2" w:space="0" w:color="000000"/>
              <w:right w:val="single" w:sz="2" w:space="0" w:color="000000"/>
            </w:tcBorders>
          </w:tcPr>
          <w:p w14:paraId="7D34EA99" w14:textId="77777777" w:rsidR="002F7C0E" w:rsidRDefault="002F7C0E">
            <w:pPr>
              <w:pStyle w:val="TableParagraph"/>
              <w:spacing w:before="10"/>
              <w:rPr>
                <w:rFonts w:ascii="Arial"/>
                <w:b/>
                <w:sz w:val="26"/>
              </w:rPr>
            </w:pPr>
          </w:p>
          <w:p w14:paraId="7218DB40" w14:textId="77777777" w:rsidR="002F7C0E" w:rsidRDefault="002F7C0E">
            <w:pPr>
              <w:pStyle w:val="TableParagraph"/>
              <w:spacing w:before="1"/>
              <w:ind w:left="198" w:right="194"/>
              <w:jc w:val="center"/>
              <w:rPr>
                <w:sz w:val="20"/>
              </w:rPr>
            </w:pPr>
            <w:r>
              <w:rPr>
                <w:sz w:val="20"/>
              </w:rPr>
              <w:t>0.988</w:t>
            </w:r>
          </w:p>
        </w:tc>
        <w:tc>
          <w:tcPr>
            <w:tcW w:w="1354" w:type="dxa"/>
            <w:tcBorders>
              <w:top w:val="single" w:sz="2" w:space="0" w:color="000000"/>
              <w:left w:val="single" w:sz="2" w:space="0" w:color="000000"/>
              <w:bottom w:val="single" w:sz="2" w:space="0" w:color="000000"/>
              <w:right w:val="single" w:sz="2" w:space="0" w:color="000000"/>
            </w:tcBorders>
          </w:tcPr>
          <w:p w14:paraId="3EA02734" w14:textId="77777777" w:rsidR="002F7C0E" w:rsidRDefault="002F7C0E">
            <w:pPr>
              <w:pStyle w:val="TableParagraph"/>
              <w:spacing w:before="10"/>
              <w:rPr>
                <w:rFonts w:ascii="Arial"/>
                <w:b/>
                <w:sz w:val="25"/>
              </w:rPr>
            </w:pPr>
          </w:p>
          <w:p w14:paraId="210CC099" w14:textId="77777777" w:rsidR="002F7C0E" w:rsidRDefault="002F7C0E">
            <w:pPr>
              <w:pStyle w:val="TableParagraph"/>
              <w:ind w:left="45"/>
              <w:jc w:val="center"/>
              <w:rPr>
                <w:rFonts w:ascii="MS UI Gothic" w:hAnsi="MS UI Gothic"/>
                <w:sz w:val="20"/>
              </w:rPr>
            </w:pPr>
            <w:r>
              <w:rPr>
                <w:rFonts w:ascii="MS UI Gothic" w:hAnsi="MS UI Gothic" w:hint="eastAsia"/>
                <w:color w:val="FF0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014564BC" w14:textId="77777777" w:rsidR="002F7C0E" w:rsidRDefault="002F7C0E">
            <w:pPr>
              <w:pStyle w:val="TableParagraph"/>
              <w:numPr>
                <w:ilvl w:val="0"/>
                <w:numId w:val="42"/>
              </w:numPr>
              <w:tabs>
                <w:tab w:val="left" w:pos="376"/>
              </w:tabs>
              <w:spacing w:before="61" w:line="232" w:lineRule="auto"/>
              <w:ind w:right="1269" w:firstLine="0"/>
              <w:rPr>
                <w:sz w:val="20"/>
              </w:rPr>
            </w:pPr>
            <w:r>
              <w:rPr>
                <w:sz w:val="20"/>
              </w:rPr>
              <w:t>Category 1: carcinogens; Category 0:</w:t>
            </w:r>
            <w:r>
              <w:rPr>
                <w:spacing w:val="-54"/>
                <w:sz w:val="20"/>
              </w:rPr>
              <w:t xml:space="preserve"> </w:t>
            </w:r>
            <w:r>
              <w:rPr>
                <w:sz w:val="20"/>
              </w:rPr>
              <w:t>non-carcinogens;</w:t>
            </w:r>
          </w:p>
          <w:p w14:paraId="5E3627C8" w14:textId="77777777" w:rsidR="002F7C0E" w:rsidRDefault="002F7C0E">
            <w:pPr>
              <w:pStyle w:val="TableParagraph"/>
              <w:numPr>
                <w:ilvl w:val="0"/>
                <w:numId w:val="42"/>
              </w:numPr>
              <w:tabs>
                <w:tab w:val="left" w:pos="376"/>
              </w:tabs>
              <w:spacing w:line="256" w:lineRule="exact"/>
              <w:ind w:left="375" w:hanging="257"/>
              <w:rPr>
                <w:sz w:val="20"/>
              </w:rPr>
            </w:pPr>
            <w:r>
              <w:rPr>
                <w:sz w:val="20"/>
              </w:rPr>
              <w:t>The output value is the probability of being toxic.</w:t>
            </w:r>
          </w:p>
        </w:tc>
      </w:tr>
      <w:tr w:rsidR="002F7C0E" w14:paraId="7453B986"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hideMark/>
          </w:tcPr>
          <w:p w14:paraId="65543E4A" w14:textId="77777777" w:rsidR="002F7C0E" w:rsidRDefault="002F7C0E">
            <w:pPr>
              <w:pStyle w:val="TableParagraph"/>
              <w:spacing w:before="190" w:line="247" w:lineRule="auto"/>
              <w:ind w:left="120" w:right="342"/>
              <w:rPr>
                <w:sz w:val="20"/>
              </w:rPr>
            </w:pPr>
            <w:r>
              <w:rPr>
                <w:sz w:val="20"/>
              </w:rPr>
              <w:t>Eye</w:t>
            </w:r>
            <w:r>
              <w:rPr>
                <w:spacing w:val="1"/>
                <w:sz w:val="20"/>
              </w:rPr>
              <w:t xml:space="preserve"> </w:t>
            </w:r>
            <w:r>
              <w:rPr>
                <w:sz w:val="20"/>
              </w:rPr>
              <w:t>Corrosion</w:t>
            </w:r>
          </w:p>
        </w:tc>
        <w:tc>
          <w:tcPr>
            <w:tcW w:w="1354" w:type="dxa"/>
            <w:tcBorders>
              <w:top w:val="single" w:sz="2" w:space="0" w:color="000000"/>
              <w:left w:val="single" w:sz="2" w:space="0" w:color="000000"/>
              <w:bottom w:val="single" w:sz="2" w:space="0" w:color="000000"/>
              <w:right w:val="single" w:sz="2" w:space="0" w:color="000000"/>
            </w:tcBorders>
          </w:tcPr>
          <w:p w14:paraId="6BE69A3C" w14:textId="77777777" w:rsidR="002F7C0E" w:rsidRDefault="002F7C0E">
            <w:pPr>
              <w:pStyle w:val="TableParagraph"/>
              <w:spacing w:before="10"/>
              <w:rPr>
                <w:rFonts w:ascii="Arial"/>
                <w:b/>
                <w:sz w:val="26"/>
              </w:rPr>
            </w:pPr>
          </w:p>
          <w:p w14:paraId="08B7EB95" w14:textId="77777777" w:rsidR="002F7C0E" w:rsidRDefault="002F7C0E">
            <w:pPr>
              <w:pStyle w:val="TableParagraph"/>
              <w:spacing w:before="1"/>
              <w:ind w:left="198" w:right="194"/>
              <w:jc w:val="center"/>
              <w:rPr>
                <w:sz w:val="20"/>
              </w:rPr>
            </w:pPr>
            <w:r>
              <w:rPr>
                <w:sz w:val="20"/>
              </w:rPr>
              <w:t>0.003</w:t>
            </w:r>
          </w:p>
        </w:tc>
        <w:tc>
          <w:tcPr>
            <w:tcW w:w="1354" w:type="dxa"/>
            <w:tcBorders>
              <w:top w:val="single" w:sz="2" w:space="0" w:color="000000"/>
              <w:left w:val="single" w:sz="2" w:space="0" w:color="000000"/>
              <w:bottom w:val="single" w:sz="2" w:space="0" w:color="000000"/>
              <w:right w:val="single" w:sz="2" w:space="0" w:color="000000"/>
            </w:tcBorders>
          </w:tcPr>
          <w:p w14:paraId="12D5694E" w14:textId="77777777" w:rsidR="002F7C0E" w:rsidRDefault="002F7C0E">
            <w:pPr>
              <w:pStyle w:val="TableParagraph"/>
              <w:spacing w:before="10"/>
              <w:rPr>
                <w:rFonts w:ascii="Arial"/>
                <w:b/>
                <w:sz w:val="25"/>
              </w:rPr>
            </w:pPr>
          </w:p>
          <w:p w14:paraId="20359554" w14:textId="77777777" w:rsidR="002F7C0E" w:rsidRDefault="002F7C0E">
            <w:pPr>
              <w:pStyle w:val="TableParagraph"/>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42AE6FA3" w14:textId="77777777" w:rsidR="002F7C0E" w:rsidRDefault="002F7C0E">
            <w:pPr>
              <w:pStyle w:val="TableParagraph"/>
              <w:numPr>
                <w:ilvl w:val="0"/>
                <w:numId w:val="43"/>
              </w:numPr>
              <w:tabs>
                <w:tab w:val="left" w:pos="376"/>
              </w:tabs>
              <w:spacing w:before="57" w:line="248" w:lineRule="exact"/>
              <w:ind w:left="375" w:hanging="257"/>
              <w:rPr>
                <w:sz w:val="20"/>
              </w:rPr>
            </w:pPr>
            <w:r>
              <w:rPr>
                <w:sz w:val="20"/>
              </w:rPr>
              <w:t xml:space="preserve">Category 1: </w:t>
            </w:r>
            <w:proofErr w:type="gramStart"/>
            <w:r>
              <w:rPr>
                <w:sz w:val="20"/>
              </w:rPr>
              <w:t>corrosives ;</w:t>
            </w:r>
            <w:proofErr w:type="gramEnd"/>
            <w:r>
              <w:rPr>
                <w:sz w:val="20"/>
              </w:rPr>
              <w:t xml:space="preserve"> Category 0: </w:t>
            </w:r>
            <w:proofErr w:type="spellStart"/>
            <w:r>
              <w:rPr>
                <w:sz w:val="20"/>
              </w:rPr>
              <w:t>noncorrosives</w:t>
            </w:r>
            <w:proofErr w:type="spellEnd"/>
          </w:p>
          <w:p w14:paraId="38FD9BEE" w14:textId="77777777" w:rsidR="002F7C0E" w:rsidRDefault="002F7C0E">
            <w:pPr>
              <w:pStyle w:val="TableParagraph"/>
              <w:numPr>
                <w:ilvl w:val="0"/>
                <w:numId w:val="43"/>
              </w:numPr>
              <w:tabs>
                <w:tab w:val="left" w:pos="376"/>
              </w:tabs>
              <w:spacing w:line="232" w:lineRule="auto"/>
              <w:ind w:right="823" w:firstLine="0"/>
              <w:rPr>
                <w:sz w:val="20"/>
              </w:rPr>
            </w:pPr>
            <w:r>
              <w:rPr>
                <w:sz w:val="20"/>
              </w:rPr>
              <w:t>The output value is the probability of being</w:t>
            </w:r>
            <w:r>
              <w:rPr>
                <w:spacing w:val="-54"/>
                <w:sz w:val="20"/>
              </w:rPr>
              <w:t xml:space="preserve"> </w:t>
            </w:r>
            <w:r>
              <w:rPr>
                <w:sz w:val="20"/>
              </w:rPr>
              <w:t>corrosives.</w:t>
            </w:r>
          </w:p>
        </w:tc>
      </w:tr>
      <w:tr w:rsidR="002F7C0E" w14:paraId="7014943D" w14:textId="77777777" w:rsidTr="002F7C0E">
        <w:trPr>
          <w:trHeight w:val="594"/>
        </w:trPr>
        <w:tc>
          <w:tcPr>
            <w:tcW w:w="1354" w:type="dxa"/>
            <w:tcBorders>
              <w:top w:val="single" w:sz="2" w:space="0" w:color="000000"/>
              <w:left w:val="single" w:sz="2" w:space="0" w:color="000000"/>
              <w:bottom w:val="single" w:sz="2" w:space="0" w:color="000000"/>
              <w:right w:val="single" w:sz="2" w:space="0" w:color="000000"/>
            </w:tcBorders>
            <w:hideMark/>
          </w:tcPr>
          <w:p w14:paraId="4B012F22" w14:textId="77777777" w:rsidR="002F7C0E" w:rsidRDefault="002F7C0E">
            <w:pPr>
              <w:pStyle w:val="TableParagraph"/>
              <w:spacing w:before="70" w:line="247" w:lineRule="auto"/>
              <w:ind w:left="120" w:right="486"/>
              <w:rPr>
                <w:sz w:val="20"/>
              </w:rPr>
            </w:pPr>
            <w:r>
              <w:rPr>
                <w:sz w:val="20"/>
              </w:rPr>
              <w:t>Eye</w:t>
            </w:r>
            <w:r>
              <w:rPr>
                <w:spacing w:val="1"/>
                <w:sz w:val="20"/>
              </w:rPr>
              <w:t xml:space="preserve"> </w:t>
            </w:r>
            <w:r>
              <w:rPr>
                <w:sz w:val="20"/>
              </w:rPr>
              <w:t>Irritation</w:t>
            </w:r>
          </w:p>
        </w:tc>
        <w:tc>
          <w:tcPr>
            <w:tcW w:w="1354" w:type="dxa"/>
            <w:tcBorders>
              <w:top w:val="single" w:sz="2" w:space="0" w:color="000000"/>
              <w:left w:val="single" w:sz="2" w:space="0" w:color="000000"/>
              <w:bottom w:val="single" w:sz="2" w:space="0" w:color="000000"/>
              <w:right w:val="single" w:sz="2" w:space="0" w:color="000000"/>
            </w:tcBorders>
            <w:hideMark/>
          </w:tcPr>
          <w:p w14:paraId="077A0319" w14:textId="77777777" w:rsidR="002F7C0E" w:rsidRDefault="002F7C0E">
            <w:pPr>
              <w:pStyle w:val="TableParagraph"/>
              <w:spacing w:before="190"/>
              <w:ind w:left="198" w:right="194"/>
              <w:jc w:val="center"/>
              <w:rPr>
                <w:sz w:val="20"/>
              </w:rPr>
            </w:pPr>
            <w:r>
              <w:rPr>
                <w:sz w:val="20"/>
              </w:rPr>
              <w:t>0.024</w:t>
            </w:r>
          </w:p>
        </w:tc>
        <w:tc>
          <w:tcPr>
            <w:tcW w:w="1354" w:type="dxa"/>
            <w:tcBorders>
              <w:top w:val="single" w:sz="2" w:space="0" w:color="000000"/>
              <w:left w:val="single" w:sz="2" w:space="0" w:color="000000"/>
              <w:bottom w:val="single" w:sz="2" w:space="0" w:color="000000"/>
              <w:right w:val="single" w:sz="2" w:space="0" w:color="000000"/>
            </w:tcBorders>
            <w:hideMark/>
          </w:tcPr>
          <w:p w14:paraId="6ED57E17" w14:textId="77777777" w:rsidR="002F7C0E" w:rsidRDefault="002F7C0E">
            <w:pPr>
              <w:pStyle w:val="TableParagraph"/>
              <w:spacing w:before="177"/>
              <w:ind w:left="45"/>
              <w:jc w:val="center"/>
              <w:rPr>
                <w:rFonts w:ascii="MS UI Gothic" w:hAnsi="MS UI Gothic"/>
                <w:sz w:val="20"/>
              </w:rPr>
            </w:pPr>
            <w:r>
              <w:rPr>
                <w:rFonts w:ascii="MS UI Gothic" w:hAnsi="MS UI Gothic" w:hint="eastAsia"/>
                <w:color w:val="0080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0F533869" w14:textId="77777777" w:rsidR="002F7C0E" w:rsidRDefault="002F7C0E">
            <w:pPr>
              <w:pStyle w:val="TableParagraph"/>
              <w:numPr>
                <w:ilvl w:val="0"/>
                <w:numId w:val="44"/>
              </w:numPr>
              <w:tabs>
                <w:tab w:val="left" w:pos="376"/>
              </w:tabs>
              <w:spacing w:before="57" w:line="248" w:lineRule="exact"/>
              <w:ind w:hanging="257"/>
              <w:rPr>
                <w:sz w:val="20"/>
              </w:rPr>
            </w:pPr>
            <w:r>
              <w:rPr>
                <w:sz w:val="20"/>
              </w:rPr>
              <w:t xml:space="preserve">Category 1: </w:t>
            </w:r>
            <w:proofErr w:type="gramStart"/>
            <w:r>
              <w:rPr>
                <w:sz w:val="20"/>
              </w:rPr>
              <w:t>irritants ;</w:t>
            </w:r>
            <w:proofErr w:type="gramEnd"/>
            <w:r>
              <w:rPr>
                <w:sz w:val="20"/>
              </w:rPr>
              <w:t xml:space="preserve"> Category 0: </w:t>
            </w:r>
            <w:proofErr w:type="spellStart"/>
            <w:r>
              <w:rPr>
                <w:sz w:val="20"/>
              </w:rPr>
              <w:t>nonirritants</w:t>
            </w:r>
            <w:proofErr w:type="spellEnd"/>
          </w:p>
          <w:p w14:paraId="06A7D7F5" w14:textId="77777777" w:rsidR="002F7C0E" w:rsidRDefault="002F7C0E">
            <w:pPr>
              <w:pStyle w:val="TableParagraph"/>
              <w:numPr>
                <w:ilvl w:val="0"/>
                <w:numId w:val="44"/>
              </w:numPr>
              <w:tabs>
                <w:tab w:val="left" w:pos="375"/>
              </w:tabs>
              <w:spacing w:line="248" w:lineRule="exact"/>
              <w:ind w:left="374"/>
              <w:rPr>
                <w:sz w:val="20"/>
              </w:rPr>
            </w:pPr>
            <w:r>
              <w:rPr>
                <w:sz w:val="20"/>
              </w:rPr>
              <w:t>The</w:t>
            </w:r>
            <w:r>
              <w:rPr>
                <w:spacing w:val="-1"/>
                <w:sz w:val="20"/>
              </w:rPr>
              <w:t xml:space="preserve"> </w:t>
            </w:r>
            <w:r>
              <w:rPr>
                <w:sz w:val="20"/>
              </w:rPr>
              <w:t>output</w:t>
            </w:r>
            <w:r>
              <w:rPr>
                <w:spacing w:val="-1"/>
                <w:sz w:val="20"/>
              </w:rPr>
              <w:t xml:space="preserve"> </w:t>
            </w:r>
            <w:r>
              <w:rPr>
                <w:sz w:val="20"/>
              </w:rPr>
              <w:t>value</w:t>
            </w:r>
            <w:r>
              <w:rPr>
                <w:spacing w:val="-1"/>
                <w:sz w:val="20"/>
              </w:rPr>
              <w:t xml:space="preserve"> </w:t>
            </w:r>
            <w:r>
              <w:rPr>
                <w:sz w:val="20"/>
              </w:rPr>
              <w:t>is</w:t>
            </w:r>
            <w:r>
              <w:rPr>
                <w:spacing w:val="-1"/>
                <w:sz w:val="20"/>
              </w:rPr>
              <w:t xml:space="preserve"> </w:t>
            </w:r>
            <w:r>
              <w:rPr>
                <w:sz w:val="20"/>
              </w:rPr>
              <w:t>the</w:t>
            </w:r>
            <w:r>
              <w:rPr>
                <w:spacing w:val="-1"/>
                <w:sz w:val="20"/>
              </w:rPr>
              <w:t xml:space="preserve"> </w:t>
            </w:r>
            <w:r>
              <w:rPr>
                <w:sz w:val="20"/>
              </w:rPr>
              <w:t>probability</w:t>
            </w:r>
            <w:r>
              <w:rPr>
                <w:spacing w:val="-1"/>
                <w:sz w:val="20"/>
              </w:rPr>
              <w:t xml:space="preserve"> </w:t>
            </w:r>
            <w:r>
              <w:rPr>
                <w:sz w:val="20"/>
              </w:rPr>
              <w:t>of</w:t>
            </w:r>
            <w:r>
              <w:rPr>
                <w:spacing w:val="-1"/>
                <w:sz w:val="20"/>
              </w:rPr>
              <w:t xml:space="preserve"> </w:t>
            </w:r>
            <w:r>
              <w:rPr>
                <w:sz w:val="20"/>
              </w:rPr>
              <w:t>being</w:t>
            </w:r>
            <w:r>
              <w:rPr>
                <w:spacing w:val="-1"/>
                <w:sz w:val="20"/>
              </w:rPr>
              <w:t xml:space="preserve"> </w:t>
            </w:r>
            <w:r>
              <w:rPr>
                <w:sz w:val="20"/>
              </w:rPr>
              <w:t>irritants.</w:t>
            </w:r>
          </w:p>
        </w:tc>
      </w:tr>
    </w:tbl>
    <w:p w14:paraId="6087D7E0" w14:textId="77777777" w:rsidR="002F7C0E" w:rsidRDefault="002F7C0E" w:rsidP="002F7C0E">
      <w:pPr>
        <w:rPr>
          <w:sz w:val="20"/>
        </w:rPr>
        <w:sectPr w:rsidR="002F7C0E">
          <w:pgSz w:w="11910" w:h="16840"/>
          <w:pgMar w:top="1480" w:right="1320" w:bottom="1240" w:left="1320" w:header="0" w:footer="1040" w:gutter="0"/>
          <w:cols w:space="720"/>
        </w:sect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54"/>
        <w:gridCol w:w="1354"/>
        <w:gridCol w:w="1354"/>
        <w:gridCol w:w="4964"/>
      </w:tblGrid>
      <w:tr w:rsidR="002F7C0E" w14:paraId="36219050" w14:textId="77777777" w:rsidTr="002F7C0E">
        <w:trPr>
          <w:trHeight w:val="835"/>
        </w:trPr>
        <w:tc>
          <w:tcPr>
            <w:tcW w:w="1354" w:type="dxa"/>
            <w:tcBorders>
              <w:top w:val="single" w:sz="2" w:space="0" w:color="000000"/>
              <w:left w:val="single" w:sz="2" w:space="0" w:color="000000"/>
              <w:bottom w:val="single" w:sz="2" w:space="0" w:color="000000"/>
              <w:right w:val="single" w:sz="2" w:space="0" w:color="000000"/>
            </w:tcBorders>
            <w:hideMark/>
          </w:tcPr>
          <w:p w14:paraId="5671A5FC" w14:textId="77777777" w:rsidR="002F7C0E" w:rsidRDefault="002F7C0E">
            <w:pPr>
              <w:pStyle w:val="TableParagraph"/>
              <w:spacing w:before="190" w:line="247" w:lineRule="auto"/>
              <w:ind w:left="120" w:right="186"/>
              <w:rPr>
                <w:sz w:val="20"/>
              </w:rPr>
            </w:pPr>
            <w:r>
              <w:rPr>
                <w:sz w:val="20"/>
              </w:rPr>
              <w:lastRenderedPageBreak/>
              <w:t>Respiratory</w:t>
            </w:r>
            <w:r>
              <w:rPr>
                <w:spacing w:val="-54"/>
                <w:sz w:val="20"/>
              </w:rPr>
              <w:t xml:space="preserve"> </w:t>
            </w:r>
            <w:r>
              <w:rPr>
                <w:sz w:val="20"/>
              </w:rPr>
              <w:t>Toxicity</w:t>
            </w:r>
          </w:p>
        </w:tc>
        <w:tc>
          <w:tcPr>
            <w:tcW w:w="1354" w:type="dxa"/>
            <w:tcBorders>
              <w:top w:val="single" w:sz="2" w:space="0" w:color="000000"/>
              <w:left w:val="single" w:sz="2" w:space="0" w:color="000000"/>
              <w:bottom w:val="single" w:sz="2" w:space="0" w:color="000000"/>
              <w:right w:val="single" w:sz="2" w:space="0" w:color="000000"/>
            </w:tcBorders>
          </w:tcPr>
          <w:p w14:paraId="60F986D1" w14:textId="77777777" w:rsidR="002F7C0E" w:rsidRDefault="002F7C0E">
            <w:pPr>
              <w:pStyle w:val="TableParagraph"/>
              <w:spacing w:before="10"/>
              <w:rPr>
                <w:rFonts w:ascii="Arial"/>
                <w:b/>
                <w:sz w:val="26"/>
              </w:rPr>
            </w:pPr>
          </w:p>
          <w:p w14:paraId="5FB5EAB2" w14:textId="77777777" w:rsidR="002F7C0E" w:rsidRDefault="002F7C0E">
            <w:pPr>
              <w:pStyle w:val="TableParagraph"/>
              <w:spacing w:before="1"/>
              <w:ind w:left="426"/>
              <w:rPr>
                <w:sz w:val="20"/>
              </w:rPr>
            </w:pPr>
            <w:r>
              <w:rPr>
                <w:sz w:val="20"/>
              </w:rPr>
              <w:t>0.629</w:t>
            </w:r>
          </w:p>
        </w:tc>
        <w:tc>
          <w:tcPr>
            <w:tcW w:w="1354" w:type="dxa"/>
            <w:tcBorders>
              <w:top w:val="single" w:sz="2" w:space="0" w:color="000000"/>
              <w:left w:val="single" w:sz="2" w:space="0" w:color="000000"/>
              <w:bottom w:val="single" w:sz="2" w:space="0" w:color="000000"/>
              <w:right w:val="single" w:sz="2" w:space="0" w:color="000000"/>
            </w:tcBorders>
          </w:tcPr>
          <w:p w14:paraId="60F9A8A5" w14:textId="77777777" w:rsidR="002F7C0E" w:rsidRDefault="002F7C0E">
            <w:pPr>
              <w:pStyle w:val="TableParagraph"/>
              <w:spacing w:before="10"/>
              <w:rPr>
                <w:rFonts w:ascii="Arial"/>
                <w:b/>
                <w:sz w:val="25"/>
              </w:rPr>
            </w:pPr>
          </w:p>
          <w:p w14:paraId="64C7B70D" w14:textId="77777777" w:rsidR="002F7C0E" w:rsidRDefault="002F7C0E">
            <w:pPr>
              <w:pStyle w:val="TableParagraph"/>
              <w:ind w:left="45"/>
              <w:jc w:val="center"/>
              <w:rPr>
                <w:rFonts w:ascii="MS UI Gothic" w:hAnsi="MS UI Gothic"/>
                <w:sz w:val="20"/>
              </w:rPr>
            </w:pPr>
            <w:r>
              <w:rPr>
                <w:rFonts w:ascii="MS UI Gothic" w:hAnsi="MS UI Gothic" w:hint="eastAsia"/>
                <w:color w:val="FFA500"/>
                <w:sz w:val="20"/>
              </w:rPr>
              <w:t>●</w:t>
            </w:r>
          </w:p>
        </w:tc>
        <w:tc>
          <w:tcPr>
            <w:tcW w:w="4964" w:type="dxa"/>
            <w:tcBorders>
              <w:top w:val="single" w:sz="2" w:space="0" w:color="000000"/>
              <w:left w:val="single" w:sz="2" w:space="0" w:color="000000"/>
              <w:bottom w:val="single" w:sz="2" w:space="0" w:color="000000"/>
              <w:right w:val="single" w:sz="2" w:space="0" w:color="000000"/>
            </w:tcBorders>
            <w:hideMark/>
          </w:tcPr>
          <w:p w14:paraId="5CC66A41" w14:textId="77777777" w:rsidR="002F7C0E" w:rsidRDefault="002F7C0E">
            <w:pPr>
              <w:pStyle w:val="TableParagraph"/>
              <w:numPr>
                <w:ilvl w:val="0"/>
                <w:numId w:val="45"/>
              </w:numPr>
              <w:tabs>
                <w:tab w:val="left" w:pos="376"/>
              </w:tabs>
              <w:spacing w:before="61" w:line="232" w:lineRule="auto"/>
              <w:ind w:right="557" w:firstLine="0"/>
              <w:rPr>
                <w:sz w:val="20"/>
              </w:rPr>
            </w:pPr>
            <w:r>
              <w:rPr>
                <w:sz w:val="20"/>
              </w:rPr>
              <w:t>Category 1: respiratory toxicants; Category 0:</w:t>
            </w:r>
            <w:r>
              <w:rPr>
                <w:spacing w:val="-54"/>
                <w:sz w:val="20"/>
              </w:rPr>
              <w:t xml:space="preserve"> </w:t>
            </w:r>
            <w:r>
              <w:rPr>
                <w:sz w:val="20"/>
              </w:rPr>
              <w:t xml:space="preserve">respiratory </w:t>
            </w:r>
            <w:proofErr w:type="spellStart"/>
            <w:r>
              <w:rPr>
                <w:sz w:val="20"/>
              </w:rPr>
              <w:t>nontoxicants</w:t>
            </w:r>
            <w:proofErr w:type="spellEnd"/>
          </w:p>
          <w:p w14:paraId="42E7151B" w14:textId="77777777" w:rsidR="002F7C0E" w:rsidRDefault="002F7C0E">
            <w:pPr>
              <w:pStyle w:val="TableParagraph"/>
              <w:numPr>
                <w:ilvl w:val="0"/>
                <w:numId w:val="45"/>
              </w:numPr>
              <w:tabs>
                <w:tab w:val="left" w:pos="376"/>
              </w:tabs>
              <w:spacing w:line="256" w:lineRule="exact"/>
              <w:ind w:left="375" w:hanging="257"/>
              <w:rPr>
                <w:sz w:val="20"/>
              </w:rPr>
            </w:pPr>
            <w:r>
              <w:rPr>
                <w:sz w:val="20"/>
              </w:rPr>
              <w:t>The output value is the probability of being toxic.</w:t>
            </w:r>
          </w:p>
        </w:tc>
      </w:tr>
    </w:tbl>
    <w:p w14:paraId="40AA2F4B" w14:textId="1639D227" w:rsidR="002F7C0E" w:rsidRDefault="002F7C0E" w:rsidP="002F7C0E">
      <w:pPr>
        <w:pStyle w:val="BodyText"/>
        <w:rPr>
          <w:sz w:val="14"/>
        </w:rPr>
      </w:pPr>
    </w:p>
    <w:p w14:paraId="5BE52F1B" w14:textId="77777777" w:rsidR="002F7C0E" w:rsidRDefault="002F7C0E">
      <w:pPr>
        <w:pStyle w:val="ListParagraph"/>
        <w:widowControl w:val="0"/>
        <w:numPr>
          <w:ilvl w:val="0"/>
          <w:numId w:val="4"/>
        </w:numPr>
        <w:tabs>
          <w:tab w:val="left" w:pos="552"/>
        </w:tabs>
        <w:autoSpaceDE w:val="0"/>
        <w:autoSpaceDN w:val="0"/>
        <w:spacing w:before="91" w:after="0" w:line="240" w:lineRule="auto"/>
        <w:contextualSpacing w:val="0"/>
        <w:rPr>
          <w:b/>
          <w:sz w:val="28"/>
        </w:rPr>
      </w:pPr>
      <w:r>
        <w:rPr>
          <w:b/>
          <w:sz w:val="28"/>
        </w:rPr>
        <w:t>Environmental toxicity</w:t>
      </w:r>
    </w:p>
    <w:p w14:paraId="024CF701" w14:textId="77777777" w:rsidR="002F7C0E" w:rsidRDefault="002F7C0E" w:rsidP="002F7C0E">
      <w:pPr>
        <w:pStyle w:val="BodyText"/>
        <w:rPr>
          <w:sz w:val="12"/>
        </w:r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05"/>
        <w:gridCol w:w="1354"/>
        <w:gridCol w:w="5867"/>
      </w:tblGrid>
      <w:tr w:rsidR="002F7C0E" w14:paraId="62960E66" w14:textId="77777777" w:rsidTr="002F7C0E">
        <w:trPr>
          <w:trHeight w:val="355"/>
        </w:trPr>
        <w:tc>
          <w:tcPr>
            <w:tcW w:w="1805" w:type="dxa"/>
            <w:tcBorders>
              <w:top w:val="single" w:sz="2" w:space="0" w:color="000000"/>
              <w:left w:val="single" w:sz="2" w:space="0" w:color="000000"/>
              <w:bottom w:val="single" w:sz="2" w:space="0" w:color="000000"/>
              <w:right w:val="single" w:sz="2" w:space="0" w:color="000000"/>
            </w:tcBorders>
            <w:hideMark/>
          </w:tcPr>
          <w:p w14:paraId="5DAC8CD2" w14:textId="77777777" w:rsidR="002F7C0E" w:rsidRDefault="002F7C0E">
            <w:pPr>
              <w:pStyle w:val="TableParagraph"/>
              <w:spacing w:before="71"/>
              <w:ind w:left="120"/>
              <w:rPr>
                <w:rFonts w:ascii="Arial"/>
                <w:b/>
              </w:rPr>
            </w:pPr>
            <w:r>
              <w:rPr>
                <w:rFonts w:ascii="Arial"/>
                <w:b/>
              </w:rPr>
              <w:t>Property</w:t>
            </w:r>
          </w:p>
        </w:tc>
        <w:tc>
          <w:tcPr>
            <w:tcW w:w="1354" w:type="dxa"/>
            <w:tcBorders>
              <w:top w:val="single" w:sz="2" w:space="0" w:color="000000"/>
              <w:left w:val="single" w:sz="2" w:space="0" w:color="000000"/>
              <w:bottom w:val="single" w:sz="2" w:space="0" w:color="000000"/>
              <w:right w:val="single" w:sz="2" w:space="0" w:color="000000"/>
            </w:tcBorders>
            <w:hideMark/>
          </w:tcPr>
          <w:p w14:paraId="3FA33B9E" w14:textId="77777777" w:rsidR="002F7C0E" w:rsidRDefault="002F7C0E">
            <w:pPr>
              <w:pStyle w:val="TableParagraph"/>
              <w:spacing w:before="71"/>
              <w:ind w:left="383"/>
              <w:rPr>
                <w:rFonts w:ascii="Arial"/>
                <w:b/>
              </w:rPr>
            </w:pPr>
            <w:r>
              <w:rPr>
                <w:rFonts w:ascii="Arial"/>
                <w:b/>
              </w:rPr>
              <w:t>Value</w:t>
            </w:r>
          </w:p>
        </w:tc>
        <w:tc>
          <w:tcPr>
            <w:tcW w:w="5867" w:type="dxa"/>
            <w:tcBorders>
              <w:top w:val="single" w:sz="2" w:space="0" w:color="000000"/>
              <w:left w:val="single" w:sz="2" w:space="0" w:color="000000"/>
              <w:bottom w:val="single" w:sz="2" w:space="0" w:color="000000"/>
              <w:right w:val="single" w:sz="2" w:space="0" w:color="000000"/>
            </w:tcBorders>
            <w:hideMark/>
          </w:tcPr>
          <w:p w14:paraId="7432F962" w14:textId="77777777" w:rsidR="002F7C0E" w:rsidRDefault="002F7C0E">
            <w:pPr>
              <w:pStyle w:val="TableParagraph"/>
              <w:spacing w:before="71"/>
              <w:ind w:left="119"/>
              <w:rPr>
                <w:rFonts w:ascii="Arial"/>
                <w:b/>
              </w:rPr>
            </w:pPr>
            <w:r>
              <w:rPr>
                <w:rFonts w:ascii="Arial"/>
                <w:b/>
              </w:rPr>
              <w:t>Comment</w:t>
            </w:r>
          </w:p>
        </w:tc>
      </w:tr>
      <w:tr w:rsidR="002F7C0E" w14:paraId="7F4DCC4B" w14:textId="77777777" w:rsidTr="002F7C0E">
        <w:trPr>
          <w:trHeight w:val="1075"/>
        </w:trPr>
        <w:tc>
          <w:tcPr>
            <w:tcW w:w="1805" w:type="dxa"/>
            <w:tcBorders>
              <w:top w:val="single" w:sz="2" w:space="0" w:color="000000"/>
              <w:left w:val="single" w:sz="2" w:space="0" w:color="000000"/>
              <w:bottom w:val="single" w:sz="2" w:space="0" w:color="000000"/>
              <w:right w:val="single" w:sz="2" w:space="0" w:color="000000"/>
            </w:tcBorders>
          </w:tcPr>
          <w:p w14:paraId="31B34B2D" w14:textId="77777777" w:rsidR="002F7C0E" w:rsidRDefault="002F7C0E">
            <w:pPr>
              <w:pStyle w:val="TableParagraph"/>
              <w:spacing w:before="10"/>
              <w:rPr>
                <w:rFonts w:ascii="Arial"/>
                <w:b/>
                <w:sz w:val="26"/>
              </w:rPr>
            </w:pPr>
          </w:p>
          <w:p w14:paraId="4657DB4F" w14:textId="77777777" w:rsidR="002F7C0E" w:rsidRDefault="002F7C0E">
            <w:pPr>
              <w:pStyle w:val="TableParagraph"/>
              <w:spacing w:before="1" w:line="247" w:lineRule="auto"/>
              <w:ind w:left="120" w:right="170"/>
              <w:rPr>
                <w:sz w:val="20"/>
              </w:rPr>
            </w:pPr>
            <w:r>
              <w:rPr>
                <w:sz w:val="20"/>
              </w:rPr>
              <w:t>Bioconcentration</w:t>
            </w:r>
            <w:r>
              <w:rPr>
                <w:spacing w:val="-54"/>
                <w:sz w:val="20"/>
              </w:rPr>
              <w:t xml:space="preserve"> </w:t>
            </w:r>
            <w:r>
              <w:rPr>
                <w:sz w:val="20"/>
              </w:rPr>
              <w:t>Factors</w:t>
            </w:r>
          </w:p>
        </w:tc>
        <w:tc>
          <w:tcPr>
            <w:tcW w:w="1354" w:type="dxa"/>
            <w:tcBorders>
              <w:top w:val="single" w:sz="2" w:space="0" w:color="000000"/>
              <w:left w:val="single" w:sz="2" w:space="0" w:color="000000"/>
              <w:bottom w:val="single" w:sz="2" w:space="0" w:color="000000"/>
              <w:right w:val="single" w:sz="2" w:space="0" w:color="000000"/>
            </w:tcBorders>
          </w:tcPr>
          <w:p w14:paraId="338536FF" w14:textId="77777777" w:rsidR="002F7C0E" w:rsidRDefault="002F7C0E">
            <w:pPr>
              <w:pStyle w:val="TableParagraph"/>
              <w:rPr>
                <w:rFonts w:ascii="Arial"/>
                <w:b/>
              </w:rPr>
            </w:pPr>
          </w:p>
          <w:p w14:paraId="189BB18D" w14:textId="77777777" w:rsidR="002F7C0E" w:rsidRDefault="002F7C0E">
            <w:pPr>
              <w:pStyle w:val="TableParagraph"/>
              <w:spacing w:before="177"/>
              <w:ind w:left="426"/>
              <w:rPr>
                <w:sz w:val="20"/>
              </w:rPr>
            </w:pPr>
            <w:r>
              <w:rPr>
                <w:sz w:val="20"/>
              </w:rPr>
              <w:t>0.412</w:t>
            </w:r>
          </w:p>
        </w:tc>
        <w:tc>
          <w:tcPr>
            <w:tcW w:w="5867" w:type="dxa"/>
            <w:tcBorders>
              <w:top w:val="single" w:sz="2" w:space="0" w:color="000000"/>
              <w:left w:val="single" w:sz="2" w:space="0" w:color="000000"/>
              <w:bottom w:val="single" w:sz="2" w:space="0" w:color="000000"/>
              <w:right w:val="single" w:sz="2" w:space="0" w:color="000000"/>
            </w:tcBorders>
            <w:hideMark/>
          </w:tcPr>
          <w:p w14:paraId="27F72AB1" w14:textId="77777777" w:rsidR="002F7C0E" w:rsidRDefault="002F7C0E">
            <w:pPr>
              <w:pStyle w:val="TableParagraph"/>
              <w:numPr>
                <w:ilvl w:val="0"/>
                <w:numId w:val="46"/>
              </w:numPr>
              <w:tabs>
                <w:tab w:val="left" w:pos="376"/>
              </w:tabs>
              <w:spacing w:before="57"/>
              <w:ind w:right="136" w:firstLine="0"/>
              <w:jc w:val="both"/>
              <w:rPr>
                <w:sz w:val="20"/>
              </w:rPr>
            </w:pPr>
            <w:r>
              <w:rPr>
                <w:sz w:val="20"/>
              </w:rPr>
              <w:t>Bioconcentration factors are used for considering secondary</w:t>
            </w:r>
            <w:r>
              <w:rPr>
                <w:spacing w:val="-53"/>
                <w:sz w:val="20"/>
              </w:rPr>
              <w:t xml:space="preserve"> </w:t>
            </w:r>
            <w:r>
              <w:rPr>
                <w:sz w:val="20"/>
              </w:rPr>
              <w:t>poisoning potential and assessing risks to human health via the</w:t>
            </w:r>
            <w:r>
              <w:rPr>
                <w:spacing w:val="-53"/>
                <w:sz w:val="20"/>
              </w:rPr>
              <w:t xml:space="preserve"> </w:t>
            </w:r>
            <w:r>
              <w:rPr>
                <w:sz w:val="20"/>
              </w:rPr>
              <w:t>food chain.</w:t>
            </w:r>
          </w:p>
          <w:p w14:paraId="502D922E" w14:textId="77777777" w:rsidR="002F7C0E" w:rsidRDefault="002F7C0E">
            <w:pPr>
              <w:pStyle w:val="TableParagraph"/>
              <w:numPr>
                <w:ilvl w:val="0"/>
                <w:numId w:val="46"/>
              </w:numPr>
              <w:tabs>
                <w:tab w:val="left" w:pos="376"/>
              </w:tabs>
              <w:spacing w:line="253" w:lineRule="exact"/>
              <w:ind w:left="375" w:hanging="257"/>
              <w:jc w:val="both"/>
              <w:rPr>
                <w:sz w:val="20"/>
              </w:rPr>
            </w:pPr>
            <w:r>
              <w:rPr>
                <w:sz w:val="20"/>
              </w:rPr>
              <w:t xml:space="preserve">The unit is </w:t>
            </w:r>
            <w:r>
              <w:rPr>
                <w:rFonts w:ascii="Symbol" w:hAnsi="Symbol"/>
                <w:sz w:val="20"/>
              </w:rPr>
              <w:t>-</w:t>
            </w:r>
            <w:r>
              <w:rPr>
                <w:sz w:val="20"/>
              </w:rPr>
              <w:t>log10[(mg/L)/(1000*MW)]</w:t>
            </w:r>
          </w:p>
        </w:tc>
      </w:tr>
      <w:tr w:rsidR="002F7C0E" w14:paraId="50C4EA20" w14:textId="77777777" w:rsidTr="002F7C0E">
        <w:trPr>
          <w:trHeight w:val="835"/>
        </w:trPr>
        <w:tc>
          <w:tcPr>
            <w:tcW w:w="1805" w:type="dxa"/>
            <w:tcBorders>
              <w:top w:val="single" w:sz="2" w:space="0" w:color="000000"/>
              <w:left w:val="single" w:sz="2" w:space="0" w:color="000000"/>
              <w:bottom w:val="single" w:sz="2" w:space="0" w:color="000000"/>
              <w:right w:val="single" w:sz="2" w:space="0" w:color="000000"/>
            </w:tcBorders>
          </w:tcPr>
          <w:p w14:paraId="66A3546D" w14:textId="77777777" w:rsidR="002F7C0E" w:rsidRDefault="002F7C0E">
            <w:pPr>
              <w:pStyle w:val="TableParagraph"/>
              <w:spacing w:before="10"/>
              <w:rPr>
                <w:rFonts w:ascii="Arial"/>
                <w:b/>
                <w:sz w:val="26"/>
              </w:rPr>
            </w:pPr>
          </w:p>
          <w:p w14:paraId="22EACB1E" w14:textId="77777777" w:rsidR="002F7C0E" w:rsidRDefault="002F7C0E">
            <w:pPr>
              <w:pStyle w:val="TableParagraph"/>
              <w:spacing w:before="1"/>
              <w:ind w:left="120"/>
              <w:rPr>
                <w:sz w:val="16"/>
              </w:rPr>
            </w:pPr>
            <w:r>
              <w:rPr>
                <w:sz w:val="20"/>
              </w:rPr>
              <w:t>IGC</w:t>
            </w:r>
            <w:r>
              <w:rPr>
                <w:position w:val="-9"/>
                <w:sz w:val="16"/>
              </w:rPr>
              <w:t>50</w:t>
            </w:r>
          </w:p>
        </w:tc>
        <w:tc>
          <w:tcPr>
            <w:tcW w:w="1354" w:type="dxa"/>
            <w:tcBorders>
              <w:top w:val="single" w:sz="2" w:space="0" w:color="000000"/>
              <w:left w:val="single" w:sz="2" w:space="0" w:color="000000"/>
              <w:bottom w:val="single" w:sz="2" w:space="0" w:color="000000"/>
              <w:right w:val="single" w:sz="2" w:space="0" w:color="000000"/>
            </w:tcBorders>
          </w:tcPr>
          <w:p w14:paraId="247EF87F" w14:textId="77777777" w:rsidR="002F7C0E" w:rsidRDefault="002F7C0E">
            <w:pPr>
              <w:pStyle w:val="TableParagraph"/>
              <w:spacing w:before="10"/>
              <w:rPr>
                <w:rFonts w:ascii="Arial"/>
                <w:b/>
                <w:sz w:val="26"/>
              </w:rPr>
            </w:pPr>
          </w:p>
          <w:p w14:paraId="360FD543" w14:textId="77777777" w:rsidR="002F7C0E" w:rsidRDefault="002F7C0E">
            <w:pPr>
              <w:pStyle w:val="TableParagraph"/>
              <w:spacing w:before="1"/>
              <w:ind w:left="426"/>
              <w:rPr>
                <w:sz w:val="20"/>
              </w:rPr>
            </w:pPr>
            <w:r>
              <w:rPr>
                <w:sz w:val="20"/>
              </w:rPr>
              <w:t>2.885</w:t>
            </w:r>
          </w:p>
        </w:tc>
        <w:tc>
          <w:tcPr>
            <w:tcW w:w="5867" w:type="dxa"/>
            <w:tcBorders>
              <w:top w:val="single" w:sz="2" w:space="0" w:color="000000"/>
              <w:left w:val="single" w:sz="2" w:space="0" w:color="000000"/>
              <w:bottom w:val="single" w:sz="2" w:space="0" w:color="000000"/>
              <w:right w:val="single" w:sz="2" w:space="0" w:color="000000"/>
            </w:tcBorders>
            <w:hideMark/>
          </w:tcPr>
          <w:p w14:paraId="18753CDD" w14:textId="77777777" w:rsidR="002F7C0E" w:rsidRDefault="002F7C0E">
            <w:pPr>
              <w:pStyle w:val="TableParagraph"/>
              <w:numPr>
                <w:ilvl w:val="0"/>
                <w:numId w:val="47"/>
              </w:numPr>
              <w:tabs>
                <w:tab w:val="left" w:pos="376"/>
              </w:tabs>
              <w:spacing w:before="61" w:line="232" w:lineRule="auto"/>
              <w:ind w:right="882" w:firstLine="0"/>
              <w:rPr>
                <w:sz w:val="20"/>
              </w:rPr>
            </w:pPr>
            <w:r>
              <w:rPr>
                <w:sz w:val="20"/>
              </w:rPr>
              <w:t>Tetrahymena pyriformis 50 percent growth inhibition</w:t>
            </w:r>
            <w:r>
              <w:rPr>
                <w:spacing w:val="-54"/>
                <w:sz w:val="20"/>
              </w:rPr>
              <w:t xml:space="preserve"> </w:t>
            </w:r>
            <w:r>
              <w:rPr>
                <w:sz w:val="20"/>
              </w:rPr>
              <w:t>concentration</w:t>
            </w:r>
          </w:p>
          <w:p w14:paraId="64ACB5BC" w14:textId="77777777" w:rsidR="002F7C0E" w:rsidRDefault="002F7C0E">
            <w:pPr>
              <w:pStyle w:val="TableParagraph"/>
              <w:numPr>
                <w:ilvl w:val="0"/>
                <w:numId w:val="47"/>
              </w:numPr>
              <w:tabs>
                <w:tab w:val="left" w:pos="376"/>
              </w:tabs>
              <w:spacing w:line="256" w:lineRule="exact"/>
              <w:ind w:left="375" w:hanging="257"/>
              <w:rPr>
                <w:sz w:val="20"/>
              </w:rPr>
            </w:pPr>
            <w:r>
              <w:rPr>
                <w:sz w:val="20"/>
              </w:rPr>
              <w:t xml:space="preserve">The unit is </w:t>
            </w:r>
            <w:r>
              <w:rPr>
                <w:rFonts w:ascii="Symbol" w:hAnsi="Symbol"/>
                <w:sz w:val="20"/>
              </w:rPr>
              <w:t>-</w:t>
            </w:r>
            <w:r>
              <w:rPr>
                <w:sz w:val="20"/>
              </w:rPr>
              <w:t>log10[(mg/L)/(1000*MW)]</w:t>
            </w:r>
          </w:p>
        </w:tc>
      </w:tr>
      <w:tr w:rsidR="002F7C0E" w14:paraId="751EF1A8"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2D56BEFE" w14:textId="77777777" w:rsidR="002F7C0E" w:rsidRDefault="002F7C0E">
            <w:pPr>
              <w:pStyle w:val="TableParagraph"/>
              <w:spacing w:before="190"/>
              <w:ind w:left="120"/>
              <w:rPr>
                <w:sz w:val="20"/>
              </w:rPr>
            </w:pPr>
            <w:r>
              <w:rPr>
                <w:sz w:val="20"/>
              </w:rPr>
              <w:t>LC</w:t>
            </w:r>
            <w:r>
              <w:rPr>
                <w:position w:val="-9"/>
                <w:sz w:val="16"/>
              </w:rPr>
              <w:t>50</w:t>
            </w:r>
            <w:r>
              <w:rPr>
                <w:sz w:val="20"/>
              </w:rPr>
              <w:t>FM</w:t>
            </w:r>
          </w:p>
        </w:tc>
        <w:tc>
          <w:tcPr>
            <w:tcW w:w="1354" w:type="dxa"/>
            <w:tcBorders>
              <w:top w:val="single" w:sz="2" w:space="0" w:color="000000"/>
              <w:left w:val="single" w:sz="2" w:space="0" w:color="000000"/>
              <w:bottom w:val="single" w:sz="2" w:space="0" w:color="000000"/>
              <w:right w:val="single" w:sz="2" w:space="0" w:color="000000"/>
            </w:tcBorders>
            <w:hideMark/>
          </w:tcPr>
          <w:p w14:paraId="73E9E94B" w14:textId="77777777" w:rsidR="002F7C0E" w:rsidRDefault="002F7C0E">
            <w:pPr>
              <w:pStyle w:val="TableParagraph"/>
              <w:spacing w:before="190"/>
              <w:ind w:left="426"/>
              <w:rPr>
                <w:sz w:val="20"/>
              </w:rPr>
            </w:pPr>
            <w:r>
              <w:rPr>
                <w:sz w:val="20"/>
              </w:rPr>
              <w:t>4.323</w:t>
            </w:r>
          </w:p>
        </w:tc>
        <w:tc>
          <w:tcPr>
            <w:tcW w:w="5867" w:type="dxa"/>
            <w:tcBorders>
              <w:top w:val="single" w:sz="2" w:space="0" w:color="000000"/>
              <w:left w:val="single" w:sz="2" w:space="0" w:color="000000"/>
              <w:bottom w:val="single" w:sz="2" w:space="0" w:color="000000"/>
              <w:right w:val="single" w:sz="2" w:space="0" w:color="000000"/>
            </w:tcBorders>
            <w:hideMark/>
          </w:tcPr>
          <w:p w14:paraId="6FA7C5F9" w14:textId="77777777" w:rsidR="002F7C0E" w:rsidRDefault="002F7C0E">
            <w:pPr>
              <w:pStyle w:val="TableParagraph"/>
              <w:numPr>
                <w:ilvl w:val="0"/>
                <w:numId w:val="48"/>
              </w:numPr>
              <w:tabs>
                <w:tab w:val="left" w:pos="376"/>
              </w:tabs>
              <w:spacing w:before="57" w:line="248" w:lineRule="exact"/>
              <w:ind w:hanging="257"/>
              <w:rPr>
                <w:sz w:val="20"/>
              </w:rPr>
            </w:pPr>
            <w:r>
              <w:rPr>
                <w:sz w:val="20"/>
              </w:rPr>
              <w:t>96-hour fathead minnow 50 percent lethal concentration</w:t>
            </w:r>
          </w:p>
          <w:p w14:paraId="1262D8AC" w14:textId="77777777" w:rsidR="002F7C0E" w:rsidRDefault="002F7C0E">
            <w:pPr>
              <w:pStyle w:val="TableParagraph"/>
              <w:numPr>
                <w:ilvl w:val="0"/>
                <w:numId w:val="48"/>
              </w:numPr>
              <w:tabs>
                <w:tab w:val="left" w:pos="376"/>
              </w:tabs>
              <w:spacing w:line="249" w:lineRule="exact"/>
              <w:ind w:hanging="257"/>
              <w:rPr>
                <w:sz w:val="20"/>
              </w:rPr>
            </w:pPr>
            <w:r>
              <w:rPr>
                <w:sz w:val="20"/>
              </w:rPr>
              <w:t xml:space="preserve">The unit is </w:t>
            </w:r>
            <w:r>
              <w:rPr>
                <w:rFonts w:ascii="Symbol" w:hAnsi="Symbol"/>
                <w:sz w:val="20"/>
              </w:rPr>
              <w:t>-</w:t>
            </w:r>
            <w:r>
              <w:rPr>
                <w:sz w:val="20"/>
              </w:rPr>
              <w:t>log10[(mg/L)/(1000*MW)]</w:t>
            </w:r>
          </w:p>
        </w:tc>
      </w:tr>
      <w:tr w:rsidR="002F7C0E" w14:paraId="54E63287" w14:textId="77777777" w:rsidTr="002F7C0E">
        <w:trPr>
          <w:trHeight w:val="595"/>
        </w:trPr>
        <w:tc>
          <w:tcPr>
            <w:tcW w:w="1805" w:type="dxa"/>
            <w:tcBorders>
              <w:top w:val="single" w:sz="2" w:space="0" w:color="000000"/>
              <w:left w:val="single" w:sz="2" w:space="0" w:color="000000"/>
              <w:bottom w:val="single" w:sz="2" w:space="0" w:color="000000"/>
              <w:right w:val="single" w:sz="2" w:space="0" w:color="000000"/>
            </w:tcBorders>
            <w:hideMark/>
          </w:tcPr>
          <w:p w14:paraId="3F29BC8F" w14:textId="77777777" w:rsidR="002F7C0E" w:rsidRDefault="002F7C0E">
            <w:pPr>
              <w:pStyle w:val="TableParagraph"/>
              <w:spacing w:before="190"/>
              <w:ind w:left="120"/>
              <w:rPr>
                <w:sz w:val="20"/>
              </w:rPr>
            </w:pPr>
            <w:r>
              <w:rPr>
                <w:sz w:val="20"/>
              </w:rPr>
              <w:t>LC</w:t>
            </w:r>
            <w:r>
              <w:rPr>
                <w:position w:val="-9"/>
                <w:sz w:val="16"/>
              </w:rPr>
              <w:t>50</w:t>
            </w:r>
            <w:r>
              <w:rPr>
                <w:sz w:val="20"/>
              </w:rPr>
              <w:t>DM</w:t>
            </w:r>
          </w:p>
        </w:tc>
        <w:tc>
          <w:tcPr>
            <w:tcW w:w="1354" w:type="dxa"/>
            <w:tcBorders>
              <w:top w:val="single" w:sz="2" w:space="0" w:color="000000"/>
              <w:left w:val="single" w:sz="2" w:space="0" w:color="000000"/>
              <w:bottom w:val="single" w:sz="2" w:space="0" w:color="000000"/>
              <w:right w:val="single" w:sz="2" w:space="0" w:color="000000"/>
            </w:tcBorders>
            <w:hideMark/>
          </w:tcPr>
          <w:p w14:paraId="3F337D9C" w14:textId="77777777" w:rsidR="002F7C0E" w:rsidRDefault="002F7C0E">
            <w:pPr>
              <w:pStyle w:val="TableParagraph"/>
              <w:spacing w:before="190"/>
              <w:ind w:left="426"/>
              <w:rPr>
                <w:sz w:val="20"/>
              </w:rPr>
            </w:pPr>
            <w:r>
              <w:rPr>
                <w:sz w:val="20"/>
              </w:rPr>
              <w:t>3.417</w:t>
            </w:r>
          </w:p>
        </w:tc>
        <w:tc>
          <w:tcPr>
            <w:tcW w:w="5867" w:type="dxa"/>
            <w:tcBorders>
              <w:top w:val="single" w:sz="2" w:space="0" w:color="000000"/>
              <w:left w:val="single" w:sz="2" w:space="0" w:color="000000"/>
              <w:bottom w:val="single" w:sz="2" w:space="0" w:color="000000"/>
              <w:right w:val="single" w:sz="2" w:space="0" w:color="000000"/>
            </w:tcBorders>
            <w:hideMark/>
          </w:tcPr>
          <w:p w14:paraId="3566A456" w14:textId="77777777" w:rsidR="002F7C0E" w:rsidRDefault="002F7C0E">
            <w:pPr>
              <w:pStyle w:val="TableParagraph"/>
              <w:numPr>
                <w:ilvl w:val="0"/>
                <w:numId w:val="49"/>
              </w:numPr>
              <w:tabs>
                <w:tab w:val="left" w:pos="376"/>
              </w:tabs>
              <w:spacing w:before="57" w:line="248" w:lineRule="exact"/>
              <w:ind w:hanging="257"/>
              <w:rPr>
                <w:sz w:val="20"/>
              </w:rPr>
            </w:pPr>
            <w:r>
              <w:rPr>
                <w:sz w:val="20"/>
              </w:rPr>
              <w:t>48-hour daphnia magna 50 percent lethal concentration</w:t>
            </w:r>
          </w:p>
          <w:p w14:paraId="3DBB48D7" w14:textId="77777777" w:rsidR="002F7C0E" w:rsidRDefault="002F7C0E">
            <w:pPr>
              <w:pStyle w:val="TableParagraph"/>
              <w:numPr>
                <w:ilvl w:val="0"/>
                <w:numId w:val="49"/>
              </w:numPr>
              <w:tabs>
                <w:tab w:val="left" w:pos="376"/>
              </w:tabs>
              <w:spacing w:line="249" w:lineRule="exact"/>
              <w:ind w:hanging="257"/>
              <w:rPr>
                <w:sz w:val="20"/>
              </w:rPr>
            </w:pPr>
            <w:r>
              <w:rPr>
                <w:sz w:val="20"/>
              </w:rPr>
              <w:t xml:space="preserve">The unit is </w:t>
            </w:r>
            <w:r>
              <w:rPr>
                <w:rFonts w:ascii="Symbol" w:hAnsi="Symbol"/>
                <w:sz w:val="20"/>
              </w:rPr>
              <w:t>-</w:t>
            </w:r>
            <w:r>
              <w:rPr>
                <w:sz w:val="20"/>
              </w:rPr>
              <w:t>log10[(mg/L)/(1000*MW)]</w:t>
            </w:r>
          </w:p>
        </w:tc>
      </w:tr>
    </w:tbl>
    <w:p w14:paraId="1E2D3764" w14:textId="77777777" w:rsidR="002F7C0E" w:rsidRDefault="002F7C0E">
      <w:pPr>
        <w:pStyle w:val="ListParagraph"/>
        <w:widowControl w:val="0"/>
        <w:numPr>
          <w:ilvl w:val="0"/>
          <w:numId w:val="4"/>
        </w:numPr>
        <w:tabs>
          <w:tab w:val="left" w:pos="552"/>
        </w:tabs>
        <w:autoSpaceDE w:val="0"/>
        <w:autoSpaceDN w:val="0"/>
        <w:spacing w:before="255" w:after="0" w:line="240" w:lineRule="auto"/>
        <w:contextualSpacing w:val="0"/>
        <w:rPr>
          <w:rFonts w:ascii="Arial" w:eastAsia="Arial" w:hAnsi="Arial" w:cs="Arial"/>
          <w:b/>
          <w:sz w:val="28"/>
          <w:lang w:val="en-US"/>
        </w:rPr>
      </w:pPr>
      <w:r>
        <w:rPr>
          <w:b/>
          <w:sz w:val="28"/>
        </w:rPr>
        <w:t>Tox21 pathway</w:t>
      </w:r>
    </w:p>
    <w:p w14:paraId="47B2C2B5" w14:textId="77777777" w:rsidR="002F7C0E" w:rsidRDefault="002F7C0E" w:rsidP="002F7C0E">
      <w:pPr>
        <w:pStyle w:val="BodyText"/>
        <w:rPr>
          <w:sz w:val="12"/>
        </w:r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25"/>
        <w:gridCol w:w="1083"/>
        <w:gridCol w:w="1263"/>
        <w:gridCol w:w="5054"/>
      </w:tblGrid>
      <w:tr w:rsidR="002F7C0E" w14:paraId="10A4BCE0" w14:textId="77777777" w:rsidTr="002F7C0E">
        <w:trPr>
          <w:trHeight w:val="355"/>
        </w:trPr>
        <w:tc>
          <w:tcPr>
            <w:tcW w:w="1625" w:type="dxa"/>
            <w:tcBorders>
              <w:top w:val="single" w:sz="2" w:space="0" w:color="000000"/>
              <w:left w:val="single" w:sz="2" w:space="0" w:color="000000"/>
              <w:bottom w:val="single" w:sz="2" w:space="0" w:color="000000"/>
              <w:right w:val="single" w:sz="2" w:space="0" w:color="000000"/>
            </w:tcBorders>
            <w:hideMark/>
          </w:tcPr>
          <w:p w14:paraId="2FE46941" w14:textId="77777777" w:rsidR="002F7C0E" w:rsidRDefault="002F7C0E">
            <w:pPr>
              <w:pStyle w:val="TableParagraph"/>
              <w:spacing w:before="71"/>
              <w:ind w:left="120"/>
              <w:rPr>
                <w:rFonts w:ascii="Arial"/>
                <w:b/>
              </w:rPr>
            </w:pPr>
            <w:r>
              <w:rPr>
                <w:rFonts w:ascii="Arial"/>
                <w:b/>
              </w:rPr>
              <w:t>Property</w:t>
            </w:r>
          </w:p>
        </w:tc>
        <w:tc>
          <w:tcPr>
            <w:tcW w:w="1083" w:type="dxa"/>
            <w:tcBorders>
              <w:top w:val="single" w:sz="2" w:space="0" w:color="000000"/>
              <w:left w:val="single" w:sz="2" w:space="0" w:color="000000"/>
              <w:bottom w:val="single" w:sz="2" w:space="0" w:color="000000"/>
              <w:right w:val="single" w:sz="2" w:space="0" w:color="000000"/>
            </w:tcBorders>
            <w:hideMark/>
          </w:tcPr>
          <w:p w14:paraId="68A6B1BC" w14:textId="77777777" w:rsidR="002F7C0E" w:rsidRDefault="002F7C0E">
            <w:pPr>
              <w:pStyle w:val="TableParagraph"/>
              <w:spacing w:before="71"/>
              <w:ind w:left="247"/>
              <w:rPr>
                <w:rFonts w:ascii="Arial"/>
                <w:b/>
              </w:rPr>
            </w:pPr>
            <w:r>
              <w:rPr>
                <w:rFonts w:ascii="Arial"/>
                <w:b/>
              </w:rPr>
              <w:t>Value</w:t>
            </w:r>
          </w:p>
        </w:tc>
        <w:tc>
          <w:tcPr>
            <w:tcW w:w="1263" w:type="dxa"/>
            <w:tcBorders>
              <w:top w:val="single" w:sz="2" w:space="0" w:color="000000"/>
              <w:left w:val="single" w:sz="2" w:space="0" w:color="000000"/>
              <w:bottom w:val="single" w:sz="2" w:space="0" w:color="000000"/>
              <w:right w:val="single" w:sz="2" w:space="0" w:color="000000"/>
            </w:tcBorders>
            <w:hideMark/>
          </w:tcPr>
          <w:p w14:paraId="5DFD724E" w14:textId="77777777" w:rsidR="002F7C0E" w:rsidRDefault="002F7C0E">
            <w:pPr>
              <w:pStyle w:val="TableParagraph"/>
              <w:spacing w:before="71"/>
              <w:ind w:left="152" w:right="148"/>
              <w:jc w:val="center"/>
              <w:rPr>
                <w:rFonts w:ascii="Arial"/>
                <w:b/>
              </w:rPr>
            </w:pPr>
            <w:r>
              <w:rPr>
                <w:rFonts w:ascii="Arial"/>
                <w:b/>
              </w:rPr>
              <w:t>Decision</w:t>
            </w:r>
          </w:p>
        </w:tc>
        <w:tc>
          <w:tcPr>
            <w:tcW w:w="5054" w:type="dxa"/>
            <w:tcBorders>
              <w:top w:val="single" w:sz="2" w:space="0" w:color="000000"/>
              <w:left w:val="single" w:sz="2" w:space="0" w:color="000000"/>
              <w:bottom w:val="single" w:sz="2" w:space="0" w:color="000000"/>
              <w:right w:val="single" w:sz="2" w:space="0" w:color="000000"/>
            </w:tcBorders>
            <w:hideMark/>
          </w:tcPr>
          <w:p w14:paraId="5F170196" w14:textId="77777777" w:rsidR="002F7C0E" w:rsidRDefault="002F7C0E">
            <w:pPr>
              <w:pStyle w:val="TableParagraph"/>
              <w:spacing w:before="71"/>
              <w:ind w:left="120"/>
              <w:rPr>
                <w:rFonts w:ascii="Arial"/>
                <w:b/>
              </w:rPr>
            </w:pPr>
            <w:r>
              <w:rPr>
                <w:rFonts w:ascii="Arial"/>
                <w:b/>
              </w:rPr>
              <w:t>Comment</w:t>
            </w:r>
          </w:p>
        </w:tc>
      </w:tr>
      <w:tr w:rsidR="002F7C0E" w14:paraId="6F4583A0"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1AEE87A3" w14:textId="77777777" w:rsidR="002F7C0E" w:rsidRDefault="002F7C0E">
            <w:pPr>
              <w:pStyle w:val="TableParagraph"/>
              <w:spacing w:before="10"/>
              <w:rPr>
                <w:rFonts w:ascii="Arial"/>
                <w:b/>
                <w:sz w:val="26"/>
              </w:rPr>
            </w:pPr>
          </w:p>
          <w:p w14:paraId="4BD63CC6" w14:textId="77777777" w:rsidR="002F7C0E" w:rsidRDefault="002F7C0E">
            <w:pPr>
              <w:pStyle w:val="TableParagraph"/>
              <w:spacing w:before="1"/>
              <w:ind w:left="120"/>
              <w:rPr>
                <w:sz w:val="20"/>
              </w:rPr>
            </w:pPr>
            <w:r>
              <w:rPr>
                <w:sz w:val="20"/>
              </w:rPr>
              <w:t>NR-AR</w:t>
            </w:r>
          </w:p>
        </w:tc>
        <w:tc>
          <w:tcPr>
            <w:tcW w:w="1083" w:type="dxa"/>
            <w:tcBorders>
              <w:top w:val="single" w:sz="2" w:space="0" w:color="000000"/>
              <w:left w:val="single" w:sz="2" w:space="0" w:color="000000"/>
              <w:bottom w:val="single" w:sz="2" w:space="0" w:color="000000"/>
              <w:right w:val="single" w:sz="2" w:space="0" w:color="000000"/>
            </w:tcBorders>
          </w:tcPr>
          <w:p w14:paraId="74E6597C" w14:textId="77777777" w:rsidR="002F7C0E" w:rsidRDefault="002F7C0E">
            <w:pPr>
              <w:pStyle w:val="TableParagraph"/>
              <w:spacing w:before="10"/>
              <w:rPr>
                <w:rFonts w:ascii="Arial"/>
                <w:b/>
                <w:sz w:val="26"/>
              </w:rPr>
            </w:pPr>
          </w:p>
          <w:p w14:paraId="4403D6EB" w14:textId="77777777" w:rsidR="002F7C0E" w:rsidRDefault="002F7C0E">
            <w:pPr>
              <w:pStyle w:val="TableParagraph"/>
              <w:spacing w:before="1"/>
              <w:ind w:left="290"/>
              <w:rPr>
                <w:sz w:val="20"/>
              </w:rPr>
            </w:pPr>
            <w:r>
              <w:rPr>
                <w:sz w:val="20"/>
              </w:rPr>
              <w:t>0.004</w:t>
            </w:r>
          </w:p>
        </w:tc>
        <w:tc>
          <w:tcPr>
            <w:tcW w:w="1263" w:type="dxa"/>
            <w:tcBorders>
              <w:top w:val="single" w:sz="2" w:space="0" w:color="000000"/>
              <w:left w:val="single" w:sz="2" w:space="0" w:color="000000"/>
              <w:bottom w:val="single" w:sz="2" w:space="0" w:color="000000"/>
              <w:right w:val="single" w:sz="2" w:space="0" w:color="000000"/>
            </w:tcBorders>
          </w:tcPr>
          <w:p w14:paraId="6258CC5C" w14:textId="77777777" w:rsidR="002F7C0E" w:rsidRDefault="002F7C0E">
            <w:pPr>
              <w:pStyle w:val="TableParagraph"/>
              <w:spacing w:before="10"/>
              <w:rPr>
                <w:rFonts w:ascii="Arial"/>
                <w:b/>
                <w:sz w:val="25"/>
              </w:rPr>
            </w:pPr>
          </w:p>
          <w:p w14:paraId="03A4E135" w14:textId="77777777" w:rsidR="002F7C0E" w:rsidRDefault="002F7C0E">
            <w:pPr>
              <w:pStyle w:val="TableParagraph"/>
              <w:ind w:left="46"/>
              <w:jc w:val="center"/>
              <w:rPr>
                <w:rFonts w:ascii="MS UI Gothic" w:hAnsi="MS UI Gothic"/>
                <w:sz w:val="20"/>
              </w:rPr>
            </w:pPr>
            <w:r>
              <w:rPr>
                <w:rFonts w:ascii="MS UI Gothic" w:hAnsi="MS UI Gothic" w:hint="eastAsia"/>
                <w:color w:val="008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6760646D" w14:textId="77777777" w:rsidR="002F7C0E" w:rsidRDefault="002F7C0E">
            <w:pPr>
              <w:pStyle w:val="TableParagraph"/>
              <w:numPr>
                <w:ilvl w:val="0"/>
                <w:numId w:val="50"/>
              </w:numPr>
              <w:tabs>
                <w:tab w:val="left" w:pos="376"/>
              </w:tabs>
              <w:spacing w:before="57" w:line="248" w:lineRule="exact"/>
              <w:rPr>
                <w:sz w:val="20"/>
              </w:rPr>
            </w:pPr>
            <w:r>
              <w:rPr>
                <w:sz w:val="20"/>
              </w:rPr>
              <w:t>Androgen receptor</w:t>
            </w:r>
          </w:p>
          <w:p w14:paraId="77F98FF2" w14:textId="77777777" w:rsidR="002F7C0E" w:rsidRDefault="002F7C0E">
            <w:pPr>
              <w:pStyle w:val="TableParagraph"/>
              <w:numPr>
                <w:ilvl w:val="0"/>
                <w:numId w:val="50"/>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3C143BC3" w14:textId="77777777" w:rsidR="002F7C0E" w:rsidRDefault="002F7C0E">
            <w:pPr>
              <w:pStyle w:val="TableParagraph"/>
              <w:numPr>
                <w:ilvl w:val="0"/>
                <w:numId w:val="50"/>
              </w:numPr>
              <w:tabs>
                <w:tab w:val="left" w:pos="376"/>
              </w:tabs>
              <w:spacing w:line="248" w:lineRule="exact"/>
              <w:rPr>
                <w:sz w:val="20"/>
              </w:rPr>
            </w:pPr>
            <w:r>
              <w:rPr>
                <w:sz w:val="20"/>
              </w:rPr>
              <w:t>The output value is the probability of being active.</w:t>
            </w:r>
          </w:p>
        </w:tc>
      </w:tr>
      <w:tr w:rsidR="002F7C0E" w14:paraId="56C4AF5D"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58D77E85" w14:textId="77777777" w:rsidR="002F7C0E" w:rsidRDefault="002F7C0E">
            <w:pPr>
              <w:pStyle w:val="TableParagraph"/>
              <w:spacing w:before="10"/>
              <w:rPr>
                <w:rFonts w:ascii="Arial"/>
                <w:b/>
                <w:sz w:val="26"/>
              </w:rPr>
            </w:pPr>
          </w:p>
          <w:p w14:paraId="5E1D95A6" w14:textId="77777777" w:rsidR="002F7C0E" w:rsidRDefault="002F7C0E">
            <w:pPr>
              <w:pStyle w:val="TableParagraph"/>
              <w:spacing w:before="1"/>
              <w:ind w:left="120"/>
              <w:rPr>
                <w:sz w:val="20"/>
              </w:rPr>
            </w:pPr>
            <w:r>
              <w:rPr>
                <w:sz w:val="20"/>
              </w:rPr>
              <w:t>NR-AR-LBD</w:t>
            </w:r>
          </w:p>
        </w:tc>
        <w:tc>
          <w:tcPr>
            <w:tcW w:w="1083" w:type="dxa"/>
            <w:tcBorders>
              <w:top w:val="single" w:sz="2" w:space="0" w:color="000000"/>
              <w:left w:val="single" w:sz="2" w:space="0" w:color="000000"/>
              <w:bottom w:val="single" w:sz="2" w:space="0" w:color="000000"/>
              <w:right w:val="single" w:sz="2" w:space="0" w:color="000000"/>
            </w:tcBorders>
          </w:tcPr>
          <w:p w14:paraId="3002D946" w14:textId="77777777" w:rsidR="002F7C0E" w:rsidRDefault="002F7C0E">
            <w:pPr>
              <w:pStyle w:val="TableParagraph"/>
              <w:spacing w:before="10"/>
              <w:rPr>
                <w:rFonts w:ascii="Arial"/>
                <w:b/>
                <w:sz w:val="26"/>
              </w:rPr>
            </w:pPr>
          </w:p>
          <w:p w14:paraId="78560F58" w14:textId="77777777" w:rsidR="002F7C0E" w:rsidRDefault="002F7C0E">
            <w:pPr>
              <w:pStyle w:val="TableParagraph"/>
              <w:spacing w:before="1"/>
              <w:ind w:left="290"/>
              <w:rPr>
                <w:sz w:val="20"/>
              </w:rPr>
            </w:pPr>
            <w:r>
              <w:rPr>
                <w:sz w:val="20"/>
              </w:rPr>
              <w:t>0.008</w:t>
            </w:r>
          </w:p>
        </w:tc>
        <w:tc>
          <w:tcPr>
            <w:tcW w:w="1263" w:type="dxa"/>
            <w:tcBorders>
              <w:top w:val="single" w:sz="2" w:space="0" w:color="000000"/>
              <w:left w:val="single" w:sz="2" w:space="0" w:color="000000"/>
              <w:bottom w:val="single" w:sz="2" w:space="0" w:color="000000"/>
              <w:right w:val="single" w:sz="2" w:space="0" w:color="000000"/>
            </w:tcBorders>
          </w:tcPr>
          <w:p w14:paraId="189796A9" w14:textId="77777777" w:rsidR="002F7C0E" w:rsidRDefault="002F7C0E">
            <w:pPr>
              <w:pStyle w:val="TableParagraph"/>
              <w:spacing w:before="10"/>
              <w:rPr>
                <w:rFonts w:ascii="Arial"/>
                <w:b/>
                <w:sz w:val="25"/>
              </w:rPr>
            </w:pPr>
          </w:p>
          <w:p w14:paraId="0A7B9642" w14:textId="77777777" w:rsidR="002F7C0E" w:rsidRDefault="002F7C0E">
            <w:pPr>
              <w:pStyle w:val="TableParagraph"/>
              <w:ind w:left="46"/>
              <w:jc w:val="center"/>
              <w:rPr>
                <w:rFonts w:ascii="MS UI Gothic" w:hAnsi="MS UI Gothic"/>
                <w:sz w:val="20"/>
              </w:rPr>
            </w:pPr>
            <w:r>
              <w:rPr>
                <w:rFonts w:ascii="MS UI Gothic" w:hAnsi="MS UI Gothic" w:hint="eastAsia"/>
                <w:color w:val="008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424012AE" w14:textId="77777777" w:rsidR="002F7C0E" w:rsidRDefault="002F7C0E">
            <w:pPr>
              <w:pStyle w:val="TableParagraph"/>
              <w:numPr>
                <w:ilvl w:val="0"/>
                <w:numId w:val="51"/>
              </w:numPr>
              <w:tabs>
                <w:tab w:val="left" w:pos="376"/>
              </w:tabs>
              <w:spacing w:before="57" w:line="248" w:lineRule="exact"/>
              <w:rPr>
                <w:sz w:val="20"/>
              </w:rPr>
            </w:pPr>
            <w:r>
              <w:rPr>
                <w:sz w:val="20"/>
              </w:rPr>
              <w:t>Androgen receptor ligand-binding domain</w:t>
            </w:r>
          </w:p>
          <w:p w14:paraId="2F197999" w14:textId="77777777" w:rsidR="002F7C0E" w:rsidRDefault="002F7C0E">
            <w:pPr>
              <w:pStyle w:val="TableParagraph"/>
              <w:numPr>
                <w:ilvl w:val="0"/>
                <w:numId w:val="51"/>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7F5ABAFE" w14:textId="77777777" w:rsidR="002F7C0E" w:rsidRDefault="002F7C0E">
            <w:pPr>
              <w:pStyle w:val="TableParagraph"/>
              <w:numPr>
                <w:ilvl w:val="0"/>
                <w:numId w:val="51"/>
              </w:numPr>
              <w:tabs>
                <w:tab w:val="left" w:pos="376"/>
              </w:tabs>
              <w:spacing w:line="248" w:lineRule="exact"/>
              <w:rPr>
                <w:sz w:val="20"/>
              </w:rPr>
            </w:pPr>
            <w:r>
              <w:rPr>
                <w:sz w:val="20"/>
              </w:rPr>
              <w:t>The output value is the probability of being active.</w:t>
            </w:r>
          </w:p>
        </w:tc>
      </w:tr>
      <w:tr w:rsidR="002F7C0E" w14:paraId="424F5668"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52885DD2" w14:textId="77777777" w:rsidR="002F7C0E" w:rsidRDefault="002F7C0E">
            <w:pPr>
              <w:pStyle w:val="TableParagraph"/>
              <w:spacing w:before="10"/>
              <w:rPr>
                <w:rFonts w:ascii="Arial"/>
                <w:b/>
                <w:sz w:val="26"/>
              </w:rPr>
            </w:pPr>
          </w:p>
          <w:p w14:paraId="548435BA" w14:textId="77777777" w:rsidR="002F7C0E" w:rsidRDefault="002F7C0E">
            <w:pPr>
              <w:pStyle w:val="TableParagraph"/>
              <w:spacing w:before="1"/>
              <w:ind w:left="120"/>
              <w:rPr>
                <w:sz w:val="20"/>
              </w:rPr>
            </w:pPr>
            <w:r>
              <w:rPr>
                <w:sz w:val="20"/>
              </w:rPr>
              <w:t>NR-AhR</w:t>
            </w:r>
          </w:p>
        </w:tc>
        <w:tc>
          <w:tcPr>
            <w:tcW w:w="1083" w:type="dxa"/>
            <w:tcBorders>
              <w:top w:val="single" w:sz="2" w:space="0" w:color="000000"/>
              <w:left w:val="single" w:sz="2" w:space="0" w:color="000000"/>
              <w:bottom w:val="single" w:sz="2" w:space="0" w:color="000000"/>
              <w:right w:val="single" w:sz="2" w:space="0" w:color="000000"/>
            </w:tcBorders>
          </w:tcPr>
          <w:p w14:paraId="6F0E04BF" w14:textId="77777777" w:rsidR="002F7C0E" w:rsidRDefault="002F7C0E">
            <w:pPr>
              <w:pStyle w:val="TableParagraph"/>
              <w:spacing w:before="10"/>
              <w:rPr>
                <w:rFonts w:ascii="Arial"/>
                <w:b/>
                <w:sz w:val="26"/>
              </w:rPr>
            </w:pPr>
          </w:p>
          <w:p w14:paraId="07D90DF9" w14:textId="77777777" w:rsidR="002F7C0E" w:rsidRDefault="002F7C0E">
            <w:pPr>
              <w:pStyle w:val="TableParagraph"/>
              <w:spacing w:before="1"/>
              <w:ind w:left="290"/>
              <w:rPr>
                <w:sz w:val="20"/>
              </w:rPr>
            </w:pPr>
            <w:r>
              <w:rPr>
                <w:sz w:val="20"/>
              </w:rPr>
              <w:t>0.656</w:t>
            </w:r>
          </w:p>
        </w:tc>
        <w:tc>
          <w:tcPr>
            <w:tcW w:w="1263" w:type="dxa"/>
            <w:tcBorders>
              <w:top w:val="single" w:sz="2" w:space="0" w:color="000000"/>
              <w:left w:val="single" w:sz="2" w:space="0" w:color="000000"/>
              <w:bottom w:val="single" w:sz="2" w:space="0" w:color="000000"/>
              <w:right w:val="single" w:sz="2" w:space="0" w:color="000000"/>
            </w:tcBorders>
          </w:tcPr>
          <w:p w14:paraId="2CF9C33A" w14:textId="77777777" w:rsidR="002F7C0E" w:rsidRDefault="002F7C0E">
            <w:pPr>
              <w:pStyle w:val="TableParagraph"/>
              <w:spacing w:before="10"/>
              <w:rPr>
                <w:rFonts w:ascii="Arial"/>
                <w:b/>
                <w:sz w:val="25"/>
              </w:rPr>
            </w:pPr>
          </w:p>
          <w:p w14:paraId="04C363A3" w14:textId="77777777" w:rsidR="002F7C0E" w:rsidRDefault="002F7C0E">
            <w:pPr>
              <w:pStyle w:val="TableParagraph"/>
              <w:ind w:left="46"/>
              <w:jc w:val="center"/>
              <w:rPr>
                <w:rFonts w:ascii="MS UI Gothic" w:hAnsi="MS UI Gothic"/>
                <w:sz w:val="20"/>
              </w:rPr>
            </w:pPr>
            <w:r>
              <w:rPr>
                <w:rFonts w:ascii="MS UI Gothic" w:hAnsi="MS UI Gothic" w:hint="eastAsia"/>
                <w:color w:val="FFA5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56D21657" w14:textId="77777777" w:rsidR="002F7C0E" w:rsidRDefault="002F7C0E">
            <w:pPr>
              <w:pStyle w:val="TableParagraph"/>
              <w:numPr>
                <w:ilvl w:val="0"/>
                <w:numId w:val="52"/>
              </w:numPr>
              <w:tabs>
                <w:tab w:val="left" w:pos="376"/>
              </w:tabs>
              <w:spacing w:before="57" w:line="248" w:lineRule="exact"/>
              <w:rPr>
                <w:sz w:val="20"/>
              </w:rPr>
            </w:pPr>
            <w:r>
              <w:rPr>
                <w:sz w:val="20"/>
              </w:rPr>
              <w:t>Aryl hydrocarbon receptor</w:t>
            </w:r>
          </w:p>
          <w:p w14:paraId="54AFF54D" w14:textId="77777777" w:rsidR="002F7C0E" w:rsidRDefault="002F7C0E">
            <w:pPr>
              <w:pStyle w:val="TableParagraph"/>
              <w:numPr>
                <w:ilvl w:val="0"/>
                <w:numId w:val="52"/>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7D6261D0" w14:textId="77777777" w:rsidR="002F7C0E" w:rsidRDefault="002F7C0E">
            <w:pPr>
              <w:pStyle w:val="TableParagraph"/>
              <w:numPr>
                <w:ilvl w:val="0"/>
                <w:numId w:val="52"/>
              </w:numPr>
              <w:tabs>
                <w:tab w:val="left" w:pos="376"/>
              </w:tabs>
              <w:spacing w:line="248" w:lineRule="exact"/>
              <w:rPr>
                <w:sz w:val="20"/>
              </w:rPr>
            </w:pPr>
            <w:r>
              <w:rPr>
                <w:sz w:val="20"/>
              </w:rPr>
              <w:t>The output value is the probability of being active.</w:t>
            </w:r>
          </w:p>
        </w:tc>
      </w:tr>
      <w:tr w:rsidR="002F7C0E" w14:paraId="03572DA8" w14:textId="77777777" w:rsidTr="002F7C0E">
        <w:trPr>
          <w:trHeight w:val="595"/>
        </w:trPr>
        <w:tc>
          <w:tcPr>
            <w:tcW w:w="1625" w:type="dxa"/>
            <w:tcBorders>
              <w:top w:val="single" w:sz="2" w:space="0" w:color="000000"/>
              <w:left w:val="single" w:sz="2" w:space="0" w:color="000000"/>
              <w:bottom w:val="single" w:sz="2" w:space="0" w:color="000000"/>
              <w:right w:val="single" w:sz="2" w:space="0" w:color="000000"/>
            </w:tcBorders>
            <w:hideMark/>
          </w:tcPr>
          <w:p w14:paraId="78B2B8B5" w14:textId="77777777" w:rsidR="002F7C0E" w:rsidRDefault="002F7C0E">
            <w:pPr>
              <w:pStyle w:val="TableParagraph"/>
              <w:spacing w:before="190"/>
              <w:ind w:left="120"/>
              <w:rPr>
                <w:sz w:val="20"/>
              </w:rPr>
            </w:pPr>
            <w:r>
              <w:rPr>
                <w:sz w:val="20"/>
              </w:rPr>
              <w:t>NR-Aromatase</w:t>
            </w:r>
          </w:p>
        </w:tc>
        <w:tc>
          <w:tcPr>
            <w:tcW w:w="1083" w:type="dxa"/>
            <w:tcBorders>
              <w:top w:val="single" w:sz="2" w:space="0" w:color="000000"/>
              <w:left w:val="single" w:sz="2" w:space="0" w:color="000000"/>
              <w:bottom w:val="single" w:sz="2" w:space="0" w:color="000000"/>
              <w:right w:val="single" w:sz="2" w:space="0" w:color="000000"/>
            </w:tcBorders>
            <w:hideMark/>
          </w:tcPr>
          <w:p w14:paraId="7B64EB4A" w14:textId="77777777" w:rsidR="002F7C0E" w:rsidRDefault="002F7C0E">
            <w:pPr>
              <w:pStyle w:val="TableParagraph"/>
              <w:spacing w:before="190"/>
              <w:ind w:left="290"/>
              <w:rPr>
                <w:sz w:val="20"/>
              </w:rPr>
            </w:pPr>
            <w:r>
              <w:rPr>
                <w:sz w:val="20"/>
              </w:rPr>
              <w:t>0.759</w:t>
            </w:r>
          </w:p>
        </w:tc>
        <w:tc>
          <w:tcPr>
            <w:tcW w:w="1263" w:type="dxa"/>
            <w:tcBorders>
              <w:top w:val="single" w:sz="2" w:space="0" w:color="000000"/>
              <w:left w:val="single" w:sz="2" w:space="0" w:color="000000"/>
              <w:bottom w:val="single" w:sz="2" w:space="0" w:color="000000"/>
              <w:right w:val="single" w:sz="2" w:space="0" w:color="000000"/>
            </w:tcBorders>
            <w:hideMark/>
          </w:tcPr>
          <w:p w14:paraId="69A379AE" w14:textId="77777777" w:rsidR="002F7C0E" w:rsidRDefault="002F7C0E">
            <w:pPr>
              <w:pStyle w:val="TableParagraph"/>
              <w:spacing w:before="177"/>
              <w:ind w:left="46"/>
              <w:jc w:val="center"/>
              <w:rPr>
                <w:rFonts w:ascii="MS UI Gothic" w:hAnsi="MS UI Gothic"/>
                <w:sz w:val="20"/>
              </w:rPr>
            </w:pPr>
            <w:r>
              <w:rPr>
                <w:rFonts w:ascii="MS UI Gothic" w:hAnsi="MS UI Gothic" w:hint="eastAsia"/>
                <w:color w:val="FF0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3F7FF588" w14:textId="77777777" w:rsidR="002F7C0E" w:rsidRDefault="002F7C0E">
            <w:pPr>
              <w:pStyle w:val="TableParagraph"/>
              <w:numPr>
                <w:ilvl w:val="0"/>
                <w:numId w:val="53"/>
              </w:numPr>
              <w:tabs>
                <w:tab w:val="left" w:pos="376"/>
              </w:tabs>
              <w:spacing w:before="57" w:line="248"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2AFB3CC5" w14:textId="77777777" w:rsidR="002F7C0E" w:rsidRDefault="002F7C0E">
            <w:pPr>
              <w:pStyle w:val="TableParagraph"/>
              <w:numPr>
                <w:ilvl w:val="0"/>
                <w:numId w:val="53"/>
              </w:numPr>
              <w:tabs>
                <w:tab w:val="left" w:pos="376"/>
              </w:tabs>
              <w:spacing w:line="248" w:lineRule="exact"/>
              <w:rPr>
                <w:sz w:val="20"/>
              </w:rPr>
            </w:pPr>
            <w:r>
              <w:rPr>
                <w:sz w:val="20"/>
              </w:rPr>
              <w:t>The output value is the probability of being active.</w:t>
            </w:r>
          </w:p>
        </w:tc>
      </w:tr>
      <w:tr w:rsidR="002F7C0E" w14:paraId="2F5C3EAE"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427F4293" w14:textId="77777777" w:rsidR="002F7C0E" w:rsidRDefault="002F7C0E">
            <w:pPr>
              <w:pStyle w:val="TableParagraph"/>
              <w:spacing w:before="10"/>
              <w:rPr>
                <w:rFonts w:ascii="Arial"/>
                <w:b/>
                <w:sz w:val="26"/>
              </w:rPr>
            </w:pPr>
          </w:p>
          <w:p w14:paraId="2729D240" w14:textId="77777777" w:rsidR="002F7C0E" w:rsidRDefault="002F7C0E">
            <w:pPr>
              <w:pStyle w:val="TableParagraph"/>
              <w:spacing w:before="1"/>
              <w:ind w:left="120"/>
              <w:rPr>
                <w:sz w:val="20"/>
              </w:rPr>
            </w:pPr>
            <w:r>
              <w:rPr>
                <w:sz w:val="20"/>
              </w:rPr>
              <w:t>NR-ER</w:t>
            </w:r>
          </w:p>
        </w:tc>
        <w:tc>
          <w:tcPr>
            <w:tcW w:w="1083" w:type="dxa"/>
            <w:tcBorders>
              <w:top w:val="single" w:sz="2" w:space="0" w:color="000000"/>
              <w:left w:val="single" w:sz="2" w:space="0" w:color="000000"/>
              <w:bottom w:val="single" w:sz="2" w:space="0" w:color="000000"/>
              <w:right w:val="single" w:sz="2" w:space="0" w:color="000000"/>
            </w:tcBorders>
          </w:tcPr>
          <w:p w14:paraId="0A73BAB8" w14:textId="77777777" w:rsidR="002F7C0E" w:rsidRDefault="002F7C0E">
            <w:pPr>
              <w:pStyle w:val="TableParagraph"/>
              <w:spacing w:before="10"/>
              <w:rPr>
                <w:rFonts w:ascii="Arial"/>
                <w:b/>
                <w:sz w:val="26"/>
              </w:rPr>
            </w:pPr>
          </w:p>
          <w:p w14:paraId="14CED3AD" w14:textId="77777777" w:rsidR="002F7C0E" w:rsidRDefault="002F7C0E">
            <w:pPr>
              <w:pStyle w:val="TableParagraph"/>
              <w:spacing w:before="1"/>
              <w:ind w:left="290"/>
              <w:rPr>
                <w:sz w:val="20"/>
              </w:rPr>
            </w:pPr>
            <w:r>
              <w:rPr>
                <w:sz w:val="20"/>
              </w:rPr>
              <w:t>0.436</w:t>
            </w:r>
          </w:p>
        </w:tc>
        <w:tc>
          <w:tcPr>
            <w:tcW w:w="1263" w:type="dxa"/>
            <w:tcBorders>
              <w:top w:val="single" w:sz="2" w:space="0" w:color="000000"/>
              <w:left w:val="single" w:sz="2" w:space="0" w:color="000000"/>
              <w:bottom w:val="single" w:sz="2" w:space="0" w:color="000000"/>
              <w:right w:val="single" w:sz="2" w:space="0" w:color="000000"/>
            </w:tcBorders>
          </w:tcPr>
          <w:p w14:paraId="5D9B5B7A" w14:textId="77777777" w:rsidR="002F7C0E" w:rsidRDefault="002F7C0E">
            <w:pPr>
              <w:pStyle w:val="TableParagraph"/>
              <w:spacing w:before="10"/>
              <w:rPr>
                <w:rFonts w:ascii="Arial"/>
                <w:b/>
                <w:sz w:val="25"/>
              </w:rPr>
            </w:pPr>
          </w:p>
          <w:p w14:paraId="2C114A09" w14:textId="77777777" w:rsidR="002F7C0E" w:rsidRDefault="002F7C0E">
            <w:pPr>
              <w:pStyle w:val="TableParagraph"/>
              <w:ind w:left="46"/>
              <w:jc w:val="center"/>
              <w:rPr>
                <w:rFonts w:ascii="MS UI Gothic" w:hAnsi="MS UI Gothic"/>
                <w:sz w:val="20"/>
              </w:rPr>
            </w:pPr>
            <w:r>
              <w:rPr>
                <w:rFonts w:ascii="MS UI Gothic" w:hAnsi="MS UI Gothic" w:hint="eastAsia"/>
                <w:color w:val="FFA5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2E5218A2" w14:textId="77777777" w:rsidR="002F7C0E" w:rsidRDefault="002F7C0E">
            <w:pPr>
              <w:pStyle w:val="TableParagraph"/>
              <w:numPr>
                <w:ilvl w:val="0"/>
                <w:numId w:val="54"/>
              </w:numPr>
              <w:tabs>
                <w:tab w:val="left" w:pos="376"/>
              </w:tabs>
              <w:spacing w:before="57" w:line="248" w:lineRule="exact"/>
              <w:rPr>
                <w:sz w:val="20"/>
              </w:rPr>
            </w:pPr>
            <w:r>
              <w:rPr>
                <w:sz w:val="20"/>
              </w:rPr>
              <w:t>Estrogen receptor</w:t>
            </w:r>
          </w:p>
          <w:p w14:paraId="1E87BEC5" w14:textId="77777777" w:rsidR="002F7C0E" w:rsidRDefault="002F7C0E">
            <w:pPr>
              <w:pStyle w:val="TableParagraph"/>
              <w:numPr>
                <w:ilvl w:val="0"/>
                <w:numId w:val="54"/>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58AE3CB8" w14:textId="77777777" w:rsidR="002F7C0E" w:rsidRDefault="002F7C0E">
            <w:pPr>
              <w:pStyle w:val="TableParagraph"/>
              <w:numPr>
                <w:ilvl w:val="0"/>
                <w:numId w:val="54"/>
              </w:numPr>
              <w:tabs>
                <w:tab w:val="left" w:pos="376"/>
              </w:tabs>
              <w:spacing w:line="248" w:lineRule="exact"/>
              <w:rPr>
                <w:sz w:val="20"/>
              </w:rPr>
            </w:pPr>
            <w:r>
              <w:rPr>
                <w:sz w:val="20"/>
              </w:rPr>
              <w:t>The output value is the probability of being active.</w:t>
            </w:r>
          </w:p>
        </w:tc>
      </w:tr>
      <w:tr w:rsidR="002F7C0E" w14:paraId="51E89993"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00DD58E7" w14:textId="77777777" w:rsidR="002F7C0E" w:rsidRDefault="002F7C0E">
            <w:pPr>
              <w:pStyle w:val="TableParagraph"/>
              <w:spacing w:before="10"/>
              <w:rPr>
                <w:rFonts w:ascii="Arial"/>
                <w:b/>
                <w:sz w:val="26"/>
              </w:rPr>
            </w:pPr>
          </w:p>
          <w:p w14:paraId="46A85887" w14:textId="77777777" w:rsidR="002F7C0E" w:rsidRDefault="002F7C0E">
            <w:pPr>
              <w:pStyle w:val="TableParagraph"/>
              <w:spacing w:before="1"/>
              <w:ind w:left="120"/>
              <w:rPr>
                <w:sz w:val="20"/>
              </w:rPr>
            </w:pPr>
            <w:r>
              <w:rPr>
                <w:sz w:val="20"/>
              </w:rPr>
              <w:t>NR-ER-LBD</w:t>
            </w:r>
          </w:p>
        </w:tc>
        <w:tc>
          <w:tcPr>
            <w:tcW w:w="1083" w:type="dxa"/>
            <w:tcBorders>
              <w:top w:val="single" w:sz="2" w:space="0" w:color="000000"/>
              <w:left w:val="single" w:sz="2" w:space="0" w:color="000000"/>
              <w:bottom w:val="single" w:sz="2" w:space="0" w:color="000000"/>
              <w:right w:val="single" w:sz="2" w:space="0" w:color="000000"/>
            </w:tcBorders>
          </w:tcPr>
          <w:p w14:paraId="43591F3E" w14:textId="77777777" w:rsidR="002F7C0E" w:rsidRDefault="002F7C0E">
            <w:pPr>
              <w:pStyle w:val="TableParagraph"/>
              <w:spacing w:before="10"/>
              <w:rPr>
                <w:rFonts w:ascii="Arial"/>
                <w:b/>
                <w:sz w:val="26"/>
              </w:rPr>
            </w:pPr>
          </w:p>
          <w:p w14:paraId="4D10578D" w14:textId="77777777" w:rsidR="002F7C0E" w:rsidRDefault="002F7C0E">
            <w:pPr>
              <w:pStyle w:val="TableParagraph"/>
              <w:spacing w:before="1"/>
              <w:ind w:left="290"/>
              <w:rPr>
                <w:sz w:val="20"/>
              </w:rPr>
            </w:pPr>
            <w:r>
              <w:rPr>
                <w:sz w:val="20"/>
              </w:rPr>
              <w:t>0.005</w:t>
            </w:r>
          </w:p>
        </w:tc>
        <w:tc>
          <w:tcPr>
            <w:tcW w:w="1263" w:type="dxa"/>
            <w:tcBorders>
              <w:top w:val="single" w:sz="2" w:space="0" w:color="000000"/>
              <w:left w:val="single" w:sz="2" w:space="0" w:color="000000"/>
              <w:bottom w:val="single" w:sz="2" w:space="0" w:color="000000"/>
              <w:right w:val="single" w:sz="2" w:space="0" w:color="000000"/>
            </w:tcBorders>
          </w:tcPr>
          <w:p w14:paraId="06FBA7C0" w14:textId="77777777" w:rsidR="002F7C0E" w:rsidRDefault="002F7C0E">
            <w:pPr>
              <w:pStyle w:val="TableParagraph"/>
              <w:spacing w:before="10"/>
              <w:rPr>
                <w:rFonts w:ascii="Arial"/>
                <w:b/>
                <w:sz w:val="25"/>
              </w:rPr>
            </w:pPr>
          </w:p>
          <w:p w14:paraId="7F5F16F6" w14:textId="77777777" w:rsidR="002F7C0E" w:rsidRDefault="002F7C0E">
            <w:pPr>
              <w:pStyle w:val="TableParagraph"/>
              <w:ind w:left="46"/>
              <w:jc w:val="center"/>
              <w:rPr>
                <w:rFonts w:ascii="MS UI Gothic" w:hAnsi="MS UI Gothic"/>
                <w:sz w:val="20"/>
              </w:rPr>
            </w:pPr>
            <w:r>
              <w:rPr>
                <w:rFonts w:ascii="MS UI Gothic" w:hAnsi="MS UI Gothic" w:hint="eastAsia"/>
                <w:color w:val="008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7E00CDA1" w14:textId="77777777" w:rsidR="002F7C0E" w:rsidRDefault="002F7C0E">
            <w:pPr>
              <w:pStyle w:val="TableParagraph"/>
              <w:numPr>
                <w:ilvl w:val="0"/>
                <w:numId w:val="55"/>
              </w:numPr>
              <w:tabs>
                <w:tab w:val="left" w:pos="376"/>
              </w:tabs>
              <w:spacing w:before="57" w:line="248" w:lineRule="exact"/>
              <w:rPr>
                <w:sz w:val="20"/>
              </w:rPr>
            </w:pPr>
            <w:r>
              <w:rPr>
                <w:sz w:val="20"/>
              </w:rPr>
              <w:t>Estrogen receptor ligand-binding domain</w:t>
            </w:r>
          </w:p>
          <w:p w14:paraId="7FDD99D6" w14:textId="77777777" w:rsidR="002F7C0E" w:rsidRDefault="002F7C0E">
            <w:pPr>
              <w:pStyle w:val="TableParagraph"/>
              <w:numPr>
                <w:ilvl w:val="0"/>
                <w:numId w:val="55"/>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7363ACC9" w14:textId="77777777" w:rsidR="002F7C0E" w:rsidRDefault="002F7C0E">
            <w:pPr>
              <w:pStyle w:val="TableParagraph"/>
              <w:numPr>
                <w:ilvl w:val="0"/>
                <w:numId w:val="55"/>
              </w:numPr>
              <w:tabs>
                <w:tab w:val="left" w:pos="376"/>
              </w:tabs>
              <w:spacing w:line="248" w:lineRule="exact"/>
              <w:rPr>
                <w:sz w:val="20"/>
              </w:rPr>
            </w:pPr>
            <w:r>
              <w:rPr>
                <w:sz w:val="20"/>
              </w:rPr>
              <w:t>The output value is the probability of being active.</w:t>
            </w:r>
          </w:p>
        </w:tc>
      </w:tr>
      <w:tr w:rsidR="002F7C0E" w14:paraId="5CF2A072"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hideMark/>
          </w:tcPr>
          <w:p w14:paraId="63586E4C" w14:textId="77777777" w:rsidR="002F7C0E" w:rsidRDefault="002F7C0E">
            <w:pPr>
              <w:pStyle w:val="TableParagraph"/>
              <w:spacing w:before="190"/>
              <w:ind w:left="120"/>
              <w:rPr>
                <w:sz w:val="20"/>
              </w:rPr>
            </w:pPr>
            <w:r>
              <w:rPr>
                <w:sz w:val="20"/>
              </w:rPr>
              <w:t>NR-PPAR-</w:t>
            </w:r>
          </w:p>
          <w:p w14:paraId="528C47E7" w14:textId="77777777" w:rsidR="002F7C0E" w:rsidRDefault="002F7C0E">
            <w:pPr>
              <w:pStyle w:val="TableParagraph"/>
              <w:spacing w:before="10"/>
              <w:ind w:left="120"/>
              <w:rPr>
                <w:sz w:val="20"/>
              </w:rPr>
            </w:pPr>
            <w:r>
              <w:rPr>
                <w:sz w:val="20"/>
              </w:rPr>
              <w:t>gamma</w:t>
            </w:r>
          </w:p>
        </w:tc>
        <w:tc>
          <w:tcPr>
            <w:tcW w:w="1083" w:type="dxa"/>
            <w:tcBorders>
              <w:top w:val="single" w:sz="2" w:space="0" w:color="000000"/>
              <w:left w:val="single" w:sz="2" w:space="0" w:color="000000"/>
              <w:bottom w:val="single" w:sz="2" w:space="0" w:color="000000"/>
              <w:right w:val="single" w:sz="2" w:space="0" w:color="000000"/>
            </w:tcBorders>
          </w:tcPr>
          <w:p w14:paraId="6AAF5124" w14:textId="77777777" w:rsidR="002F7C0E" w:rsidRDefault="002F7C0E">
            <w:pPr>
              <w:pStyle w:val="TableParagraph"/>
              <w:spacing w:before="10"/>
              <w:rPr>
                <w:rFonts w:ascii="Arial"/>
                <w:b/>
                <w:sz w:val="26"/>
              </w:rPr>
            </w:pPr>
          </w:p>
          <w:p w14:paraId="62C8C551" w14:textId="77777777" w:rsidR="002F7C0E" w:rsidRDefault="002F7C0E">
            <w:pPr>
              <w:pStyle w:val="TableParagraph"/>
              <w:spacing w:before="1"/>
              <w:ind w:left="290"/>
              <w:rPr>
                <w:sz w:val="20"/>
              </w:rPr>
            </w:pPr>
            <w:r>
              <w:rPr>
                <w:sz w:val="20"/>
              </w:rPr>
              <w:t>0.006</w:t>
            </w:r>
          </w:p>
        </w:tc>
        <w:tc>
          <w:tcPr>
            <w:tcW w:w="1263" w:type="dxa"/>
            <w:tcBorders>
              <w:top w:val="single" w:sz="2" w:space="0" w:color="000000"/>
              <w:left w:val="single" w:sz="2" w:space="0" w:color="000000"/>
              <w:bottom w:val="single" w:sz="2" w:space="0" w:color="000000"/>
              <w:right w:val="single" w:sz="2" w:space="0" w:color="000000"/>
            </w:tcBorders>
          </w:tcPr>
          <w:p w14:paraId="4B469C33" w14:textId="77777777" w:rsidR="002F7C0E" w:rsidRDefault="002F7C0E">
            <w:pPr>
              <w:pStyle w:val="TableParagraph"/>
              <w:spacing w:before="10"/>
              <w:rPr>
                <w:rFonts w:ascii="Arial"/>
                <w:b/>
                <w:sz w:val="25"/>
              </w:rPr>
            </w:pPr>
          </w:p>
          <w:p w14:paraId="6EE34051" w14:textId="77777777" w:rsidR="002F7C0E" w:rsidRDefault="002F7C0E">
            <w:pPr>
              <w:pStyle w:val="TableParagraph"/>
              <w:ind w:left="46"/>
              <w:jc w:val="center"/>
              <w:rPr>
                <w:rFonts w:ascii="MS UI Gothic" w:hAnsi="MS UI Gothic"/>
                <w:sz w:val="20"/>
              </w:rPr>
            </w:pPr>
            <w:r>
              <w:rPr>
                <w:rFonts w:ascii="MS UI Gothic" w:hAnsi="MS UI Gothic" w:hint="eastAsia"/>
                <w:color w:val="008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1F2763EE" w14:textId="77777777" w:rsidR="002F7C0E" w:rsidRDefault="002F7C0E">
            <w:pPr>
              <w:pStyle w:val="TableParagraph"/>
              <w:numPr>
                <w:ilvl w:val="0"/>
                <w:numId w:val="56"/>
              </w:numPr>
              <w:tabs>
                <w:tab w:val="left" w:pos="376"/>
              </w:tabs>
              <w:spacing w:before="57" w:line="248" w:lineRule="exact"/>
              <w:rPr>
                <w:sz w:val="20"/>
              </w:rPr>
            </w:pPr>
            <w:r>
              <w:rPr>
                <w:sz w:val="20"/>
              </w:rPr>
              <w:t>Peroxisome proliferator-activated receptor gamma</w:t>
            </w:r>
          </w:p>
          <w:p w14:paraId="453168B8" w14:textId="77777777" w:rsidR="002F7C0E" w:rsidRDefault="002F7C0E">
            <w:pPr>
              <w:pStyle w:val="TableParagraph"/>
              <w:numPr>
                <w:ilvl w:val="0"/>
                <w:numId w:val="56"/>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138B2AB8" w14:textId="77777777" w:rsidR="002F7C0E" w:rsidRDefault="002F7C0E">
            <w:pPr>
              <w:pStyle w:val="TableParagraph"/>
              <w:numPr>
                <w:ilvl w:val="0"/>
                <w:numId w:val="56"/>
              </w:numPr>
              <w:tabs>
                <w:tab w:val="left" w:pos="376"/>
              </w:tabs>
              <w:spacing w:line="248" w:lineRule="exact"/>
              <w:rPr>
                <w:sz w:val="20"/>
              </w:rPr>
            </w:pPr>
            <w:r>
              <w:rPr>
                <w:sz w:val="20"/>
              </w:rPr>
              <w:t>The output value is the probability of being active.</w:t>
            </w:r>
          </w:p>
        </w:tc>
      </w:tr>
      <w:tr w:rsidR="002F7C0E" w14:paraId="59350118"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630219D1" w14:textId="77777777" w:rsidR="002F7C0E" w:rsidRDefault="002F7C0E">
            <w:pPr>
              <w:pStyle w:val="TableParagraph"/>
              <w:spacing w:before="10"/>
              <w:rPr>
                <w:rFonts w:ascii="Arial"/>
                <w:b/>
                <w:sz w:val="26"/>
              </w:rPr>
            </w:pPr>
          </w:p>
          <w:p w14:paraId="62A5500C" w14:textId="77777777" w:rsidR="002F7C0E" w:rsidRDefault="002F7C0E">
            <w:pPr>
              <w:pStyle w:val="TableParagraph"/>
              <w:spacing w:before="1"/>
              <w:ind w:left="120"/>
              <w:rPr>
                <w:sz w:val="20"/>
              </w:rPr>
            </w:pPr>
            <w:r>
              <w:rPr>
                <w:sz w:val="20"/>
              </w:rPr>
              <w:t>SR-ARE</w:t>
            </w:r>
          </w:p>
        </w:tc>
        <w:tc>
          <w:tcPr>
            <w:tcW w:w="1083" w:type="dxa"/>
            <w:tcBorders>
              <w:top w:val="single" w:sz="2" w:space="0" w:color="000000"/>
              <w:left w:val="single" w:sz="2" w:space="0" w:color="000000"/>
              <w:bottom w:val="single" w:sz="2" w:space="0" w:color="000000"/>
              <w:right w:val="single" w:sz="2" w:space="0" w:color="000000"/>
            </w:tcBorders>
          </w:tcPr>
          <w:p w14:paraId="7AFCD67D" w14:textId="77777777" w:rsidR="002F7C0E" w:rsidRDefault="002F7C0E">
            <w:pPr>
              <w:pStyle w:val="TableParagraph"/>
              <w:spacing w:before="10"/>
              <w:rPr>
                <w:rFonts w:ascii="Arial"/>
                <w:b/>
                <w:sz w:val="26"/>
              </w:rPr>
            </w:pPr>
          </w:p>
          <w:p w14:paraId="50BD7C76" w14:textId="77777777" w:rsidR="002F7C0E" w:rsidRDefault="002F7C0E">
            <w:pPr>
              <w:pStyle w:val="TableParagraph"/>
              <w:spacing w:before="1"/>
              <w:ind w:left="290"/>
              <w:rPr>
                <w:sz w:val="20"/>
              </w:rPr>
            </w:pPr>
            <w:r>
              <w:rPr>
                <w:sz w:val="20"/>
              </w:rPr>
              <w:t>0.899</w:t>
            </w:r>
          </w:p>
        </w:tc>
        <w:tc>
          <w:tcPr>
            <w:tcW w:w="1263" w:type="dxa"/>
            <w:tcBorders>
              <w:top w:val="single" w:sz="2" w:space="0" w:color="000000"/>
              <w:left w:val="single" w:sz="2" w:space="0" w:color="000000"/>
              <w:bottom w:val="single" w:sz="2" w:space="0" w:color="000000"/>
              <w:right w:val="single" w:sz="2" w:space="0" w:color="000000"/>
            </w:tcBorders>
          </w:tcPr>
          <w:p w14:paraId="105C88DF" w14:textId="77777777" w:rsidR="002F7C0E" w:rsidRDefault="002F7C0E">
            <w:pPr>
              <w:pStyle w:val="TableParagraph"/>
              <w:spacing w:before="10"/>
              <w:rPr>
                <w:rFonts w:ascii="Arial"/>
                <w:b/>
                <w:sz w:val="25"/>
              </w:rPr>
            </w:pPr>
          </w:p>
          <w:p w14:paraId="48FB89DC" w14:textId="77777777" w:rsidR="002F7C0E" w:rsidRDefault="002F7C0E">
            <w:pPr>
              <w:pStyle w:val="TableParagraph"/>
              <w:ind w:left="46"/>
              <w:jc w:val="center"/>
              <w:rPr>
                <w:rFonts w:ascii="MS UI Gothic" w:hAnsi="MS UI Gothic"/>
                <w:sz w:val="20"/>
              </w:rPr>
            </w:pPr>
            <w:r>
              <w:rPr>
                <w:rFonts w:ascii="MS UI Gothic" w:hAnsi="MS UI Gothic" w:hint="eastAsia"/>
                <w:color w:val="FF0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74E49542" w14:textId="77777777" w:rsidR="002F7C0E" w:rsidRDefault="002F7C0E">
            <w:pPr>
              <w:pStyle w:val="TableParagraph"/>
              <w:numPr>
                <w:ilvl w:val="0"/>
                <w:numId w:val="57"/>
              </w:numPr>
              <w:tabs>
                <w:tab w:val="left" w:pos="376"/>
              </w:tabs>
              <w:spacing w:before="57" w:line="248" w:lineRule="exact"/>
              <w:rPr>
                <w:sz w:val="20"/>
              </w:rPr>
            </w:pPr>
            <w:r>
              <w:rPr>
                <w:sz w:val="20"/>
              </w:rPr>
              <w:t>Antioxidant response element</w:t>
            </w:r>
          </w:p>
          <w:p w14:paraId="003F0B1A" w14:textId="77777777" w:rsidR="002F7C0E" w:rsidRDefault="002F7C0E">
            <w:pPr>
              <w:pStyle w:val="TableParagraph"/>
              <w:numPr>
                <w:ilvl w:val="0"/>
                <w:numId w:val="57"/>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0D999D52" w14:textId="77777777" w:rsidR="002F7C0E" w:rsidRDefault="002F7C0E">
            <w:pPr>
              <w:pStyle w:val="TableParagraph"/>
              <w:numPr>
                <w:ilvl w:val="0"/>
                <w:numId w:val="57"/>
              </w:numPr>
              <w:tabs>
                <w:tab w:val="left" w:pos="376"/>
              </w:tabs>
              <w:spacing w:line="248" w:lineRule="exact"/>
              <w:rPr>
                <w:sz w:val="20"/>
              </w:rPr>
            </w:pPr>
            <w:r>
              <w:rPr>
                <w:sz w:val="20"/>
              </w:rPr>
              <w:t>The output value is the probability of being active.</w:t>
            </w:r>
          </w:p>
        </w:tc>
      </w:tr>
      <w:tr w:rsidR="002F7C0E" w14:paraId="4DD80CEA" w14:textId="77777777" w:rsidTr="002F7C0E">
        <w:trPr>
          <w:trHeight w:val="834"/>
        </w:trPr>
        <w:tc>
          <w:tcPr>
            <w:tcW w:w="1625" w:type="dxa"/>
            <w:tcBorders>
              <w:top w:val="single" w:sz="2" w:space="0" w:color="000000"/>
              <w:left w:val="single" w:sz="2" w:space="0" w:color="000000"/>
              <w:bottom w:val="single" w:sz="2" w:space="0" w:color="000000"/>
              <w:right w:val="single" w:sz="2" w:space="0" w:color="000000"/>
            </w:tcBorders>
          </w:tcPr>
          <w:p w14:paraId="6177E7AA" w14:textId="77777777" w:rsidR="002F7C0E" w:rsidRDefault="002F7C0E">
            <w:pPr>
              <w:pStyle w:val="TableParagraph"/>
              <w:spacing w:before="10"/>
              <w:rPr>
                <w:rFonts w:ascii="Arial"/>
                <w:b/>
                <w:sz w:val="26"/>
              </w:rPr>
            </w:pPr>
          </w:p>
          <w:p w14:paraId="4FFF5107" w14:textId="77777777" w:rsidR="002F7C0E" w:rsidRDefault="002F7C0E">
            <w:pPr>
              <w:pStyle w:val="TableParagraph"/>
              <w:spacing w:before="1"/>
              <w:ind w:left="120"/>
              <w:rPr>
                <w:sz w:val="20"/>
              </w:rPr>
            </w:pPr>
            <w:r>
              <w:rPr>
                <w:sz w:val="20"/>
              </w:rPr>
              <w:t>SR-ATAD5</w:t>
            </w:r>
          </w:p>
        </w:tc>
        <w:tc>
          <w:tcPr>
            <w:tcW w:w="1083" w:type="dxa"/>
            <w:tcBorders>
              <w:top w:val="single" w:sz="2" w:space="0" w:color="000000"/>
              <w:left w:val="single" w:sz="2" w:space="0" w:color="000000"/>
              <w:bottom w:val="single" w:sz="2" w:space="0" w:color="000000"/>
              <w:right w:val="single" w:sz="2" w:space="0" w:color="000000"/>
            </w:tcBorders>
          </w:tcPr>
          <w:p w14:paraId="10D46571" w14:textId="77777777" w:rsidR="002F7C0E" w:rsidRDefault="002F7C0E">
            <w:pPr>
              <w:pStyle w:val="TableParagraph"/>
              <w:spacing w:before="10"/>
              <w:rPr>
                <w:rFonts w:ascii="Arial"/>
                <w:b/>
                <w:sz w:val="26"/>
              </w:rPr>
            </w:pPr>
          </w:p>
          <w:p w14:paraId="3F44691B" w14:textId="77777777" w:rsidR="002F7C0E" w:rsidRDefault="002F7C0E">
            <w:pPr>
              <w:pStyle w:val="TableParagraph"/>
              <w:spacing w:before="1"/>
              <w:ind w:left="290"/>
              <w:rPr>
                <w:sz w:val="20"/>
              </w:rPr>
            </w:pPr>
            <w:r>
              <w:rPr>
                <w:sz w:val="20"/>
              </w:rPr>
              <w:t>0.062</w:t>
            </w:r>
          </w:p>
        </w:tc>
        <w:tc>
          <w:tcPr>
            <w:tcW w:w="1263" w:type="dxa"/>
            <w:tcBorders>
              <w:top w:val="single" w:sz="2" w:space="0" w:color="000000"/>
              <w:left w:val="single" w:sz="2" w:space="0" w:color="000000"/>
              <w:bottom w:val="single" w:sz="2" w:space="0" w:color="000000"/>
              <w:right w:val="single" w:sz="2" w:space="0" w:color="000000"/>
            </w:tcBorders>
          </w:tcPr>
          <w:p w14:paraId="3E810E78" w14:textId="77777777" w:rsidR="002F7C0E" w:rsidRDefault="002F7C0E">
            <w:pPr>
              <w:pStyle w:val="TableParagraph"/>
              <w:spacing w:before="10"/>
              <w:rPr>
                <w:rFonts w:ascii="Arial"/>
                <w:b/>
                <w:sz w:val="25"/>
              </w:rPr>
            </w:pPr>
          </w:p>
          <w:p w14:paraId="7814ED61" w14:textId="77777777" w:rsidR="002F7C0E" w:rsidRDefault="002F7C0E">
            <w:pPr>
              <w:pStyle w:val="TableParagraph"/>
              <w:ind w:left="46"/>
              <w:jc w:val="center"/>
              <w:rPr>
                <w:rFonts w:ascii="MS UI Gothic" w:hAnsi="MS UI Gothic"/>
                <w:sz w:val="20"/>
              </w:rPr>
            </w:pPr>
            <w:r>
              <w:rPr>
                <w:rFonts w:ascii="MS UI Gothic" w:hAnsi="MS UI Gothic" w:hint="eastAsia"/>
                <w:color w:val="008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55E38FA2" w14:textId="77777777" w:rsidR="002F7C0E" w:rsidRDefault="002F7C0E">
            <w:pPr>
              <w:pStyle w:val="TableParagraph"/>
              <w:numPr>
                <w:ilvl w:val="0"/>
                <w:numId w:val="58"/>
              </w:numPr>
              <w:tabs>
                <w:tab w:val="left" w:pos="376"/>
              </w:tabs>
              <w:spacing w:before="57" w:line="248" w:lineRule="exact"/>
              <w:rPr>
                <w:sz w:val="20"/>
              </w:rPr>
            </w:pPr>
            <w:r>
              <w:rPr>
                <w:sz w:val="20"/>
              </w:rPr>
              <w:t>ATPase family AAA domain-containing protein 5</w:t>
            </w:r>
          </w:p>
          <w:p w14:paraId="160A1B30" w14:textId="77777777" w:rsidR="002F7C0E" w:rsidRDefault="002F7C0E">
            <w:pPr>
              <w:pStyle w:val="TableParagraph"/>
              <w:numPr>
                <w:ilvl w:val="0"/>
                <w:numId w:val="58"/>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1CC1B20B" w14:textId="77777777" w:rsidR="002F7C0E" w:rsidRDefault="002F7C0E">
            <w:pPr>
              <w:pStyle w:val="TableParagraph"/>
              <w:numPr>
                <w:ilvl w:val="0"/>
                <w:numId w:val="58"/>
              </w:numPr>
              <w:tabs>
                <w:tab w:val="left" w:pos="376"/>
              </w:tabs>
              <w:spacing w:line="248" w:lineRule="exact"/>
              <w:rPr>
                <w:sz w:val="20"/>
              </w:rPr>
            </w:pPr>
            <w:r>
              <w:rPr>
                <w:sz w:val="20"/>
              </w:rPr>
              <w:t>The output value is the probability of being active.</w:t>
            </w:r>
          </w:p>
        </w:tc>
      </w:tr>
    </w:tbl>
    <w:p w14:paraId="74743A55" w14:textId="77777777" w:rsidR="002F7C0E" w:rsidRDefault="002F7C0E" w:rsidP="002F7C0E">
      <w:pPr>
        <w:rPr>
          <w:sz w:val="20"/>
        </w:rPr>
        <w:sectPr w:rsidR="002F7C0E">
          <w:pgSz w:w="11910" w:h="16840"/>
          <w:pgMar w:top="1540" w:right="1320" w:bottom="1240" w:left="1320" w:header="0" w:footer="1040" w:gutter="0"/>
          <w:cols w:space="720"/>
        </w:sect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625"/>
        <w:gridCol w:w="1083"/>
        <w:gridCol w:w="1263"/>
        <w:gridCol w:w="5054"/>
      </w:tblGrid>
      <w:tr w:rsidR="002F7C0E" w14:paraId="11D6FE66"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29EEBA1A" w14:textId="77777777" w:rsidR="002F7C0E" w:rsidRDefault="002F7C0E">
            <w:pPr>
              <w:pStyle w:val="TableParagraph"/>
              <w:spacing w:before="10"/>
              <w:rPr>
                <w:rFonts w:ascii="Arial"/>
                <w:b/>
                <w:sz w:val="26"/>
              </w:rPr>
            </w:pPr>
          </w:p>
          <w:p w14:paraId="46664E96" w14:textId="77777777" w:rsidR="002F7C0E" w:rsidRDefault="002F7C0E">
            <w:pPr>
              <w:pStyle w:val="TableParagraph"/>
              <w:spacing w:before="1"/>
              <w:ind w:left="120"/>
              <w:rPr>
                <w:sz w:val="20"/>
              </w:rPr>
            </w:pPr>
            <w:r>
              <w:rPr>
                <w:sz w:val="20"/>
              </w:rPr>
              <w:t>SR-HSE</w:t>
            </w:r>
          </w:p>
        </w:tc>
        <w:tc>
          <w:tcPr>
            <w:tcW w:w="1083" w:type="dxa"/>
            <w:tcBorders>
              <w:top w:val="single" w:sz="2" w:space="0" w:color="000000"/>
              <w:left w:val="single" w:sz="2" w:space="0" w:color="000000"/>
              <w:bottom w:val="single" w:sz="2" w:space="0" w:color="000000"/>
              <w:right w:val="single" w:sz="2" w:space="0" w:color="000000"/>
            </w:tcBorders>
          </w:tcPr>
          <w:p w14:paraId="5DE1B3D8" w14:textId="77777777" w:rsidR="002F7C0E" w:rsidRDefault="002F7C0E">
            <w:pPr>
              <w:pStyle w:val="TableParagraph"/>
              <w:spacing w:before="10"/>
              <w:rPr>
                <w:rFonts w:ascii="Arial"/>
                <w:b/>
                <w:sz w:val="26"/>
              </w:rPr>
            </w:pPr>
          </w:p>
          <w:p w14:paraId="36BD6021" w14:textId="77777777" w:rsidR="002F7C0E" w:rsidRDefault="002F7C0E">
            <w:pPr>
              <w:pStyle w:val="TableParagraph"/>
              <w:spacing w:before="1"/>
              <w:ind w:left="270" w:right="266"/>
              <w:jc w:val="center"/>
              <w:rPr>
                <w:sz w:val="20"/>
              </w:rPr>
            </w:pPr>
            <w:r>
              <w:rPr>
                <w:sz w:val="20"/>
              </w:rPr>
              <w:t>0.164</w:t>
            </w:r>
          </w:p>
        </w:tc>
        <w:tc>
          <w:tcPr>
            <w:tcW w:w="1263" w:type="dxa"/>
            <w:tcBorders>
              <w:top w:val="single" w:sz="2" w:space="0" w:color="000000"/>
              <w:left w:val="single" w:sz="2" w:space="0" w:color="000000"/>
              <w:bottom w:val="single" w:sz="2" w:space="0" w:color="000000"/>
              <w:right w:val="single" w:sz="2" w:space="0" w:color="000000"/>
            </w:tcBorders>
          </w:tcPr>
          <w:p w14:paraId="1A1D92BB" w14:textId="77777777" w:rsidR="002F7C0E" w:rsidRDefault="002F7C0E">
            <w:pPr>
              <w:pStyle w:val="TableParagraph"/>
              <w:spacing w:before="10"/>
              <w:rPr>
                <w:rFonts w:ascii="Arial"/>
                <w:b/>
                <w:sz w:val="25"/>
              </w:rPr>
            </w:pPr>
          </w:p>
          <w:p w14:paraId="7B92C102" w14:textId="77777777" w:rsidR="002F7C0E" w:rsidRDefault="002F7C0E">
            <w:pPr>
              <w:pStyle w:val="TableParagraph"/>
              <w:ind w:left="46"/>
              <w:jc w:val="center"/>
              <w:rPr>
                <w:rFonts w:ascii="MS UI Gothic" w:hAnsi="MS UI Gothic"/>
                <w:sz w:val="20"/>
              </w:rPr>
            </w:pPr>
            <w:r>
              <w:rPr>
                <w:rFonts w:ascii="MS UI Gothic" w:hAnsi="MS UI Gothic" w:hint="eastAsia"/>
                <w:color w:val="008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480368F4" w14:textId="77777777" w:rsidR="002F7C0E" w:rsidRDefault="002F7C0E">
            <w:pPr>
              <w:pStyle w:val="TableParagraph"/>
              <w:numPr>
                <w:ilvl w:val="0"/>
                <w:numId w:val="59"/>
              </w:numPr>
              <w:tabs>
                <w:tab w:val="left" w:pos="376"/>
              </w:tabs>
              <w:spacing w:before="57" w:line="248" w:lineRule="exact"/>
              <w:rPr>
                <w:sz w:val="20"/>
              </w:rPr>
            </w:pPr>
            <w:r>
              <w:rPr>
                <w:sz w:val="20"/>
              </w:rPr>
              <w:t>Heat shock factor response element</w:t>
            </w:r>
          </w:p>
          <w:p w14:paraId="45DE42F7" w14:textId="77777777" w:rsidR="002F7C0E" w:rsidRDefault="002F7C0E">
            <w:pPr>
              <w:pStyle w:val="TableParagraph"/>
              <w:numPr>
                <w:ilvl w:val="0"/>
                <w:numId w:val="59"/>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7ABBCDE7" w14:textId="77777777" w:rsidR="002F7C0E" w:rsidRDefault="002F7C0E">
            <w:pPr>
              <w:pStyle w:val="TableParagraph"/>
              <w:numPr>
                <w:ilvl w:val="0"/>
                <w:numId w:val="59"/>
              </w:numPr>
              <w:tabs>
                <w:tab w:val="left" w:pos="376"/>
              </w:tabs>
              <w:spacing w:line="248" w:lineRule="exact"/>
              <w:rPr>
                <w:sz w:val="20"/>
              </w:rPr>
            </w:pPr>
            <w:r>
              <w:rPr>
                <w:sz w:val="20"/>
              </w:rPr>
              <w:t>The output value is the probability of being active.</w:t>
            </w:r>
          </w:p>
        </w:tc>
      </w:tr>
      <w:tr w:rsidR="002F7C0E" w14:paraId="57E703BE" w14:textId="77777777" w:rsidTr="002F7C0E">
        <w:trPr>
          <w:trHeight w:val="835"/>
        </w:trPr>
        <w:tc>
          <w:tcPr>
            <w:tcW w:w="1625" w:type="dxa"/>
            <w:tcBorders>
              <w:top w:val="single" w:sz="2" w:space="0" w:color="000000"/>
              <w:left w:val="single" w:sz="2" w:space="0" w:color="000000"/>
              <w:bottom w:val="single" w:sz="2" w:space="0" w:color="000000"/>
              <w:right w:val="single" w:sz="2" w:space="0" w:color="000000"/>
            </w:tcBorders>
          </w:tcPr>
          <w:p w14:paraId="7FEA3CAF" w14:textId="77777777" w:rsidR="002F7C0E" w:rsidRDefault="002F7C0E">
            <w:pPr>
              <w:pStyle w:val="TableParagraph"/>
              <w:spacing w:before="10"/>
              <w:rPr>
                <w:rFonts w:ascii="Arial"/>
                <w:b/>
                <w:sz w:val="26"/>
              </w:rPr>
            </w:pPr>
          </w:p>
          <w:p w14:paraId="5826F72A" w14:textId="77777777" w:rsidR="002F7C0E" w:rsidRDefault="002F7C0E">
            <w:pPr>
              <w:pStyle w:val="TableParagraph"/>
              <w:spacing w:before="1"/>
              <w:ind w:left="120"/>
              <w:rPr>
                <w:sz w:val="20"/>
              </w:rPr>
            </w:pPr>
            <w:r>
              <w:rPr>
                <w:sz w:val="20"/>
              </w:rPr>
              <w:t>SR-MMP</w:t>
            </w:r>
          </w:p>
        </w:tc>
        <w:tc>
          <w:tcPr>
            <w:tcW w:w="1083" w:type="dxa"/>
            <w:tcBorders>
              <w:top w:val="single" w:sz="2" w:space="0" w:color="000000"/>
              <w:left w:val="single" w:sz="2" w:space="0" w:color="000000"/>
              <w:bottom w:val="single" w:sz="2" w:space="0" w:color="000000"/>
              <w:right w:val="single" w:sz="2" w:space="0" w:color="000000"/>
            </w:tcBorders>
          </w:tcPr>
          <w:p w14:paraId="69E4EE2E" w14:textId="77777777" w:rsidR="002F7C0E" w:rsidRDefault="002F7C0E">
            <w:pPr>
              <w:pStyle w:val="TableParagraph"/>
              <w:spacing w:before="10"/>
              <w:rPr>
                <w:rFonts w:ascii="Arial"/>
                <w:b/>
                <w:sz w:val="26"/>
              </w:rPr>
            </w:pPr>
          </w:p>
          <w:p w14:paraId="0E925872" w14:textId="77777777" w:rsidR="002F7C0E" w:rsidRDefault="002F7C0E">
            <w:pPr>
              <w:pStyle w:val="TableParagraph"/>
              <w:spacing w:before="1"/>
              <w:ind w:left="270" w:right="266"/>
              <w:jc w:val="center"/>
              <w:rPr>
                <w:sz w:val="20"/>
              </w:rPr>
            </w:pPr>
            <w:r>
              <w:rPr>
                <w:sz w:val="20"/>
              </w:rPr>
              <w:t>0.86</w:t>
            </w:r>
          </w:p>
        </w:tc>
        <w:tc>
          <w:tcPr>
            <w:tcW w:w="1263" w:type="dxa"/>
            <w:tcBorders>
              <w:top w:val="single" w:sz="2" w:space="0" w:color="000000"/>
              <w:left w:val="single" w:sz="2" w:space="0" w:color="000000"/>
              <w:bottom w:val="single" w:sz="2" w:space="0" w:color="000000"/>
              <w:right w:val="single" w:sz="2" w:space="0" w:color="000000"/>
            </w:tcBorders>
          </w:tcPr>
          <w:p w14:paraId="1F57B8F3" w14:textId="77777777" w:rsidR="002F7C0E" w:rsidRDefault="002F7C0E">
            <w:pPr>
              <w:pStyle w:val="TableParagraph"/>
              <w:spacing w:before="10"/>
              <w:rPr>
                <w:rFonts w:ascii="Arial"/>
                <w:b/>
                <w:sz w:val="25"/>
              </w:rPr>
            </w:pPr>
          </w:p>
          <w:p w14:paraId="035F0A36" w14:textId="77777777" w:rsidR="002F7C0E" w:rsidRDefault="002F7C0E">
            <w:pPr>
              <w:pStyle w:val="TableParagraph"/>
              <w:ind w:left="46"/>
              <w:jc w:val="center"/>
              <w:rPr>
                <w:rFonts w:ascii="MS UI Gothic" w:hAnsi="MS UI Gothic"/>
                <w:sz w:val="20"/>
              </w:rPr>
            </w:pPr>
            <w:r>
              <w:rPr>
                <w:rFonts w:ascii="MS UI Gothic" w:hAnsi="MS UI Gothic" w:hint="eastAsia"/>
                <w:color w:val="FF0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70177B7A" w14:textId="77777777" w:rsidR="002F7C0E" w:rsidRDefault="002F7C0E">
            <w:pPr>
              <w:pStyle w:val="TableParagraph"/>
              <w:numPr>
                <w:ilvl w:val="0"/>
                <w:numId w:val="60"/>
              </w:numPr>
              <w:tabs>
                <w:tab w:val="left" w:pos="376"/>
              </w:tabs>
              <w:spacing w:before="57" w:line="248" w:lineRule="exact"/>
              <w:rPr>
                <w:sz w:val="20"/>
              </w:rPr>
            </w:pPr>
            <w:r>
              <w:rPr>
                <w:sz w:val="20"/>
              </w:rPr>
              <w:t>Mitochondrial membrane potential</w:t>
            </w:r>
          </w:p>
          <w:p w14:paraId="4FE8EA8F" w14:textId="77777777" w:rsidR="002F7C0E" w:rsidRDefault="002F7C0E">
            <w:pPr>
              <w:pStyle w:val="TableParagraph"/>
              <w:numPr>
                <w:ilvl w:val="0"/>
                <w:numId w:val="60"/>
              </w:numPr>
              <w:tabs>
                <w:tab w:val="left" w:pos="376"/>
              </w:tabs>
              <w:spacing w:line="240"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357B57E0" w14:textId="77777777" w:rsidR="002F7C0E" w:rsidRDefault="002F7C0E">
            <w:pPr>
              <w:pStyle w:val="TableParagraph"/>
              <w:numPr>
                <w:ilvl w:val="0"/>
                <w:numId w:val="60"/>
              </w:numPr>
              <w:tabs>
                <w:tab w:val="left" w:pos="376"/>
              </w:tabs>
              <w:spacing w:line="248" w:lineRule="exact"/>
              <w:rPr>
                <w:sz w:val="20"/>
              </w:rPr>
            </w:pPr>
            <w:r>
              <w:rPr>
                <w:sz w:val="20"/>
              </w:rPr>
              <w:t>The output value is the probability of being active.</w:t>
            </w:r>
          </w:p>
        </w:tc>
      </w:tr>
      <w:tr w:rsidR="002F7C0E" w14:paraId="27558E85" w14:textId="77777777" w:rsidTr="002F7C0E">
        <w:trPr>
          <w:trHeight w:val="595"/>
        </w:trPr>
        <w:tc>
          <w:tcPr>
            <w:tcW w:w="1625" w:type="dxa"/>
            <w:tcBorders>
              <w:top w:val="single" w:sz="2" w:space="0" w:color="000000"/>
              <w:left w:val="single" w:sz="2" w:space="0" w:color="000000"/>
              <w:bottom w:val="single" w:sz="2" w:space="0" w:color="000000"/>
              <w:right w:val="single" w:sz="2" w:space="0" w:color="000000"/>
            </w:tcBorders>
            <w:hideMark/>
          </w:tcPr>
          <w:p w14:paraId="548761EB" w14:textId="77777777" w:rsidR="002F7C0E" w:rsidRDefault="002F7C0E">
            <w:pPr>
              <w:pStyle w:val="TableParagraph"/>
              <w:spacing w:before="190"/>
              <w:ind w:left="120"/>
              <w:rPr>
                <w:sz w:val="20"/>
              </w:rPr>
            </w:pPr>
            <w:r>
              <w:rPr>
                <w:sz w:val="20"/>
              </w:rPr>
              <w:t>SR-p53</w:t>
            </w:r>
          </w:p>
        </w:tc>
        <w:tc>
          <w:tcPr>
            <w:tcW w:w="1083" w:type="dxa"/>
            <w:tcBorders>
              <w:top w:val="single" w:sz="2" w:space="0" w:color="000000"/>
              <w:left w:val="single" w:sz="2" w:space="0" w:color="000000"/>
              <w:bottom w:val="single" w:sz="2" w:space="0" w:color="000000"/>
              <w:right w:val="single" w:sz="2" w:space="0" w:color="000000"/>
            </w:tcBorders>
            <w:hideMark/>
          </w:tcPr>
          <w:p w14:paraId="68C462AA" w14:textId="77777777" w:rsidR="002F7C0E" w:rsidRDefault="002F7C0E">
            <w:pPr>
              <w:pStyle w:val="TableParagraph"/>
              <w:spacing w:before="190"/>
              <w:ind w:left="270" w:right="266"/>
              <w:jc w:val="center"/>
              <w:rPr>
                <w:sz w:val="20"/>
              </w:rPr>
            </w:pPr>
            <w:r>
              <w:rPr>
                <w:sz w:val="20"/>
              </w:rPr>
              <w:t>0.884</w:t>
            </w:r>
          </w:p>
        </w:tc>
        <w:tc>
          <w:tcPr>
            <w:tcW w:w="1263" w:type="dxa"/>
            <w:tcBorders>
              <w:top w:val="single" w:sz="2" w:space="0" w:color="000000"/>
              <w:left w:val="single" w:sz="2" w:space="0" w:color="000000"/>
              <w:bottom w:val="single" w:sz="2" w:space="0" w:color="000000"/>
              <w:right w:val="single" w:sz="2" w:space="0" w:color="000000"/>
            </w:tcBorders>
            <w:hideMark/>
          </w:tcPr>
          <w:p w14:paraId="5109FBFB" w14:textId="77777777" w:rsidR="002F7C0E" w:rsidRDefault="002F7C0E">
            <w:pPr>
              <w:pStyle w:val="TableParagraph"/>
              <w:spacing w:before="177"/>
              <w:ind w:left="46"/>
              <w:jc w:val="center"/>
              <w:rPr>
                <w:rFonts w:ascii="MS UI Gothic" w:hAnsi="MS UI Gothic"/>
                <w:sz w:val="20"/>
              </w:rPr>
            </w:pPr>
            <w:r>
              <w:rPr>
                <w:rFonts w:ascii="MS UI Gothic" w:hAnsi="MS UI Gothic" w:hint="eastAsia"/>
                <w:color w:val="FF0000"/>
                <w:sz w:val="20"/>
              </w:rPr>
              <w:t>●</w:t>
            </w:r>
          </w:p>
        </w:tc>
        <w:tc>
          <w:tcPr>
            <w:tcW w:w="5054" w:type="dxa"/>
            <w:tcBorders>
              <w:top w:val="single" w:sz="2" w:space="0" w:color="000000"/>
              <w:left w:val="single" w:sz="2" w:space="0" w:color="000000"/>
              <w:bottom w:val="single" w:sz="2" w:space="0" w:color="000000"/>
              <w:right w:val="single" w:sz="2" w:space="0" w:color="000000"/>
            </w:tcBorders>
            <w:hideMark/>
          </w:tcPr>
          <w:p w14:paraId="0714BF6D" w14:textId="77777777" w:rsidR="002F7C0E" w:rsidRDefault="002F7C0E">
            <w:pPr>
              <w:pStyle w:val="TableParagraph"/>
              <w:numPr>
                <w:ilvl w:val="0"/>
                <w:numId w:val="61"/>
              </w:numPr>
              <w:tabs>
                <w:tab w:val="left" w:pos="376"/>
              </w:tabs>
              <w:spacing w:before="57" w:line="248" w:lineRule="exact"/>
              <w:rPr>
                <w:sz w:val="20"/>
              </w:rPr>
            </w:pPr>
            <w:r>
              <w:rPr>
                <w:sz w:val="20"/>
              </w:rPr>
              <w:t xml:space="preserve">Category 1: </w:t>
            </w:r>
            <w:proofErr w:type="gramStart"/>
            <w:r>
              <w:rPr>
                <w:sz w:val="20"/>
              </w:rPr>
              <w:t>actives ;</w:t>
            </w:r>
            <w:proofErr w:type="gramEnd"/>
            <w:r>
              <w:rPr>
                <w:sz w:val="20"/>
              </w:rPr>
              <w:t xml:space="preserve"> Category 0: </w:t>
            </w:r>
            <w:proofErr w:type="spellStart"/>
            <w:r>
              <w:rPr>
                <w:sz w:val="20"/>
              </w:rPr>
              <w:t>inactives</w:t>
            </w:r>
            <w:proofErr w:type="spellEnd"/>
            <w:r>
              <w:rPr>
                <w:sz w:val="20"/>
              </w:rPr>
              <w:t>;</w:t>
            </w:r>
          </w:p>
          <w:p w14:paraId="42007A03" w14:textId="77777777" w:rsidR="002F7C0E" w:rsidRDefault="002F7C0E">
            <w:pPr>
              <w:pStyle w:val="TableParagraph"/>
              <w:numPr>
                <w:ilvl w:val="0"/>
                <w:numId w:val="61"/>
              </w:numPr>
              <w:tabs>
                <w:tab w:val="left" w:pos="376"/>
              </w:tabs>
              <w:spacing w:line="248" w:lineRule="exact"/>
              <w:rPr>
                <w:sz w:val="20"/>
              </w:rPr>
            </w:pPr>
            <w:r>
              <w:rPr>
                <w:sz w:val="20"/>
              </w:rPr>
              <w:t>The output value is the probability of being active.</w:t>
            </w:r>
          </w:p>
        </w:tc>
      </w:tr>
    </w:tbl>
    <w:p w14:paraId="18495E75" w14:textId="3B2AD317" w:rsidR="002F7C0E" w:rsidRDefault="002F7C0E" w:rsidP="002F7C0E">
      <w:pPr>
        <w:pStyle w:val="BodyText"/>
        <w:rPr>
          <w:sz w:val="14"/>
        </w:rPr>
      </w:pPr>
    </w:p>
    <w:p w14:paraId="51B975AF" w14:textId="77777777" w:rsidR="002F7C0E" w:rsidRDefault="002F7C0E">
      <w:pPr>
        <w:pStyle w:val="ListParagraph"/>
        <w:widowControl w:val="0"/>
        <w:numPr>
          <w:ilvl w:val="0"/>
          <w:numId w:val="4"/>
        </w:numPr>
        <w:tabs>
          <w:tab w:val="left" w:pos="708"/>
        </w:tabs>
        <w:autoSpaceDE w:val="0"/>
        <w:autoSpaceDN w:val="0"/>
        <w:spacing w:before="91" w:after="0" w:line="240" w:lineRule="auto"/>
        <w:ind w:left="707" w:hanging="468"/>
        <w:contextualSpacing w:val="0"/>
        <w:rPr>
          <w:b/>
          <w:sz w:val="28"/>
        </w:rPr>
      </w:pPr>
      <w:proofErr w:type="spellStart"/>
      <w:r>
        <w:rPr>
          <w:b/>
          <w:sz w:val="28"/>
        </w:rPr>
        <w:t>Toxicophore</w:t>
      </w:r>
      <w:proofErr w:type="spellEnd"/>
      <w:r>
        <w:rPr>
          <w:b/>
          <w:sz w:val="28"/>
        </w:rPr>
        <w:t xml:space="preserve"> Rules</w:t>
      </w:r>
    </w:p>
    <w:p w14:paraId="52E4A9D8" w14:textId="27E26E22" w:rsidR="002F7C0E" w:rsidRDefault="002F7C0E" w:rsidP="002F7C0E">
      <w:pPr>
        <w:pStyle w:val="BodyText"/>
        <w:rPr>
          <w:sz w:val="12"/>
        </w:rPr>
      </w:pPr>
    </w:p>
    <w:tbl>
      <w:tblPr>
        <w:tblW w:w="0" w:type="auto"/>
        <w:tblInd w:w="12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986"/>
        <w:gridCol w:w="1625"/>
        <w:gridCol w:w="5416"/>
      </w:tblGrid>
      <w:tr w:rsidR="002F7C0E" w14:paraId="5E98BAC5" w14:textId="77777777" w:rsidTr="002F7C0E">
        <w:trPr>
          <w:trHeight w:val="355"/>
        </w:trPr>
        <w:tc>
          <w:tcPr>
            <w:tcW w:w="1986" w:type="dxa"/>
            <w:tcBorders>
              <w:top w:val="single" w:sz="2" w:space="0" w:color="000000"/>
              <w:left w:val="single" w:sz="2" w:space="0" w:color="000000"/>
              <w:bottom w:val="single" w:sz="2" w:space="0" w:color="000000"/>
              <w:right w:val="single" w:sz="2" w:space="0" w:color="000000"/>
            </w:tcBorders>
            <w:hideMark/>
          </w:tcPr>
          <w:p w14:paraId="29549332" w14:textId="77777777" w:rsidR="002F7C0E" w:rsidRDefault="002F7C0E">
            <w:pPr>
              <w:pStyle w:val="TableParagraph"/>
              <w:spacing w:before="71"/>
              <w:ind w:left="120"/>
              <w:rPr>
                <w:rFonts w:ascii="Arial"/>
                <w:b/>
              </w:rPr>
            </w:pPr>
            <w:r>
              <w:rPr>
                <w:rFonts w:ascii="Arial"/>
                <w:b/>
              </w:rPr>
              <w:t>Property</w:t>
            </w:r>
          </w:p>
        </w:tc>
        <w:tc>
          <w:tcPr>
            <w:tcW w:w="1625" w:type="dxa"/>
            <w:tcBorders>
              <w:top w:val="single" w:sz="2" w:space="0" w:color="000000"/>
              <w:left w:val="single" w:sz="2" w:space="0" w:color="000000"/>
              <w:bottom w:val="single" w:sz="2" w:space="0" w:color="000000"/>
              <w:right w:val="single" w:sz="2" w:space="0" w:color="000000"/>
            </w:tcBorders>
            <w:hideMark/>
          </w:tcPr>
          <w:p w14:paraId="2C9FA2D5" w14:textId="77777777" w:rsidR="002F7C0E" w:rsidRDefault="002F7C0E">
            <w:pPr>
              <w:pStyle w:val="TableParagraph"/>
              <w:spacing w:before="71"/>
              <w:ind w:left="463" w:right="460"/>
              <w:jc w:val="center"/>
              <w:rPr>
                <w:rFonts w:ascii="Arial"/>
                <w:b/>
              </w:rPr>
            </w:pPr>
            <w:r>
              <w:rPr>
                <w:rFonts w:ascii="Arial"/>
                <w:b/>
              </w:rPr>
              <w:t>Value</w:t>
            </w:r>
          </w:p>
        </w:tc>
        <w:tc>
          <w:tcPr>
            <w:tcW w:w="5416" w:type="dxa"/>
            <w:tcBorders>
              <w:top w:val="single" w:sz="2" w:space="0" w:color="000000"/>
              <w:left w:val="single" w:sz="2" w:space="0" w:color="000000"/>
              <w:bottom w:val="single" w:sz="2" w:space="0" w:color="000000"/>
              <w:right w:val="single" w:sz="2" w:space="0" w:color="000000"/>
            </w:tcBorders>
            <w:hideMark/>
          </w:tcPr>
          <w:p w14:paraId="03368BAA" w14:textId="77777777" w:rsidR="002F7C0E" w:rsidRDefault="002F7C0E">
            <w:pPr>
              <w:pStyle w:val="TableParagraph"/>
              <w:spacing w:before="71"/>
              <w:ind w:left="119"/>
              <w:rPr>
                <w:rFonts w:ascii="Arial"/>
                <w:b/>
              </w:rPr>
            </w:pPr>
            <w:r>
              <w:rPr>
                <w:rFonts w:ascii="Arial"/>
                <w:b/>
              </w:rPr>
              <w:t>Comment</w:t>
            </w:r>
          </w:p>
        </w:tc>
      </w:tr>
      <w:tr w:rsidR="002F7C0E" w14:paraId="2DFA5AA7" w14:textId="77777777" w:rsidTr="002F7C0E">
        <w:trPr>
          <w:trHeight w:val="595"/>
        </w:trPr>
        <w:tc>
          <w:tcPr>
            <w:tcW w:w="1986" w:type="dxa"/>
            <w:tcBorders>
              <w:top w:val="single" w:sz="2" w:space="0" w:color="000000"/>
              <w:left w:val="single" w:sz="2" w:space="0" w:color="000000"/>
              <w:bottom w:val="single" w:sz="2" w:space="0" w:color="000000"/>
              <w:right w:val="single" w:sz="2" w:space="0" w:color="000000"/>
            </w:tcBorders>
            <w:hideMark/>
          </w:tcPr>
          <w:p w14:paraId="2441F262" w14:textId="77777777" w:rsidR="002F7C0E" w:rsidRDefault="002F7C0E">
            <w:pPr>
              <w:pStyle w:val="TableParagraph"/>
              <w:spacing w:before="190"/>
              <w:ind w:left="120"/>
              <w:rPr>
                <w:sz w:val="20"/>
              </w:rPr>
            </w:pPr>
            <w:r>
              <w:rPr>
                <w:sz w:val="20"/>
              </w:rPr>
              <w:t>Acute Toxicity Rule</w:t>
            </w:r>
          </w:p>
        </w:tc>
        <w:tc>
          <w:tcPr>
            <w:tcW w:w="1625" w:type="dxa"/>
            <w:tcBorders>
              <w:top w:val="single" w:sz="2" w:space="0" w:color="000000"/>
              <w:left w:val="single" w:sz="2" w:space="0" w:color="000000"/>
              <w:bottom w:val="single" w:sz="2" w:space="0" w:color="000000"/>
              <w:right w:val="single" w:sz="2" w:space="0" w:color="000000"/>
            </w:tcBorders>
            <w:hideMark/>
          </w:tcPr>
          <w:p w14:paraId="10FC69C7" w14:textId="77777777" w:rsidR="002F7C0E" w:rsidRDefault="002F7C0E">
            <w:pPr>
              <w:pStyle w:val="TableParagraph"/>
              <w:spacing w:before="190"/>
              <w:ind w:left="463" w:right="460"/>
              <w:jc w:val="center"/>
              <w:rPr>
                <w:sz w:val="20"/>
              </w:rPr>
            </w:pPr>
            <w:r>
              <w:rPr>
                <w:sz w:val="20"/>
              </w:rPr>
              <w:t>0 alerts</w:t>
            </w:r>
          </w:p>
        </w:tc>
        <w:tc>
          <w:tcPr>
            <w:tcW w:w="5416" w:type="dxa"/>
            <w:tcBorders>
              <w:top w:val="single" w:sz="2" w:space="0" w:color="000000"/>
              <w:left w:val="single" w:sz="2" w:space="0" w:color="000000"/>
              <w:bottom w:val="single" w:sz="2" w:space="0" w:color="000000"/>
              <w:right w:val="single" w:sz="2" w:space="0" w:color="000000"/>
            </w:tcBorders>
            <w:hideMark/>
          </w:tcPr>
          <w:p w14:paraId="3E72B868" w14:textId="77777777" w:rsidR="002F7C0E" w:rsidRDefault="002F7C0E">
            <w:pPr>
              <w:pStyle w:val="TableParagraph"/>
              <w:numPr>
                <w:ilvl w:val="0"/>
                <w:numId w:val="62"/>
              </w:numPr>
              <w:tabs>
                <w:tab w:val="left" w:pos="375"/>
              </w:tabs>
              <w:spacing w:before="57" w:line="248" w:lineRule="exact"/>
              <w:rPr>
                <w:sz w:val="20"/>
              </w:rPr>
            </w:pPr>
            <w:r>
              <w:rPr>
                <w:sz w:val="20"/>
              </w:rPr>
              <w:t>20 substructures</w:t>
            </w:r>
          </w:p>
          <w:p w14:paraId="521941B3" w14:textId="77777777" w:rsidR="002F7C0E" w:rsidRDefault="002F7C0E">
            <w:pPr>
              <w:pStyle w:val="TableParagraph"/>
              <w:numPr>
                <w:ilvl w:val="0"/>
                <w:numId w:val="62"/>
              </w:numPr>
              <w:tabs>
                <w:tab w:val="left" w:pos="375"/>
              </w:tabs>
              <w:spacing w:line="248" w:lineRule="exact"/>
              <w:rPr>
                <w:sz w:val="20"/>
              </w:rPr>
            </w:pPr>
            <w:r>
              <w:rPr>
                <w:sz w:val="20"/>
              </w:rPr>
              <w:t>acute toxicity during oral administration</w:t>
            </w:r>
          </w:p>
        </w:tc>
      </w:tr>
      <w:tr w:rsidR="002F7C0E" w14:paraId="031311BB" w14:textId="77777777" w:rsidTr="002F7C0E">
        <w:trPr>
          <w:trHeight w:val="835"/>
        </w:trPr>
        <w:tc>
          <w:tcPr>
            <w:tcW w:w="1986" w:type="dxa"/>
            <w:tcBorders>
              <w:top w:val="single" w:sz="2" w:space="0" w:color="000000"/>
              <w:left w:val="single" w:sz="2" w:space="0" w:color="000000"/>
              <w:bottom w:val="single" w:sz="2" w:space="0" w:color="000000"/>
              <w:right w:val="single" w:sz="2" w:space="0" w:color="000000"/>
            </w:tcBorders>
            <w:hideMark/>
          </w:tcPr>
          <w:p w14:paraId="78747E59" w14:textId="77777777" w:rsidR="002F7C0E" w:rsidRDefault="002F7C0E">
            <w:pPr>
              <w:pStyle w:val="TableParagraph"/>
              <w:spacing w:before="70" w:line="247" w:lineRule="auto"/>
              <w:ind w:left="120" w:right="473"/>
              <w:rPr>
                <w:sz w:val="20"/>
              </w:rPr>
            </w:pPr>
            <w:r>
              <w:rPr>
                <w:sz w:val="20"/>
              </w:rPr>
              <w:t>Genotoxic</w:t>
            </w:r>
            <w:r>
              <w:rPr>
                <w:spacing w:val="1"/>
                <w:sz w:val="20"/>
              </w:rPr>
              <w:t xml:space="preserve"> </w:t>
            </w:r>
            <w:r>
              <w:rPr>
                <w:sz w:val="20"/>
              </w:rPr>
              <w:t>Carcinogenicity</w:t>
            </w:r>
            <w:r>
              <w:rPr>
                <w:spacing w:val="-54"/>
                <w:sz w:val="20"/>
              </w:rPr>
              <w:t xml:space="preserve"> </w:t>
            </w:r>
            <w:r>
              <w:rPr>
                <w:sz w:val="20"/>
              </w:rPr>
              <w:t>Rule</w:t>
            </w:r>
          </w:p>
        </w:tc>
        <w:tc>
          <w:tcPr>
            <w:tcW w:w="1625" w:type="dxa"/>
            <w:tcBorders>
              <w:top w:val="single" w:sz="2" w:space="0" w:color="000000"/>
              <w:left w:val="single" w:sz="2" w:space="0" w:color="000000"/>
              <w:bottom w:val="single" w:sz="2" w:space="0" w:color="000000"/>
              <w:right w:val="single" w:sz="2" w:space="0" w:color="000000"/>
            </w:tcBorders>
          </w:tcPr>
          <w:p w14:paraId="282019B0" w14:textId="77777777" w:rsidR="002F7C0E" w:rsidRDefault="002F7C0E">
            <w:pPr>
              <w:pStyle w:val="TableParagraph"/>
              <w:spacing w:before="10"/>
              <w:rPr>
                <w:rFonts w:ascii="Arial"/>
                <w:b/>
                <w:sz w:val="26"/>
              </w:rPr>
            </w:pPr>
          </w:p>
          <w:p w14:paraId="72864A6E" w14:textId="77777777" w:rsidR="002F7C0E" w:rsidRDefault="002F7C0E">
            <w:pPr>
              <w:pStyle w:val="TableParagraph"/>
              <w:spacing w:before="1"/>
              <w:ind w:left="463" w:right="460"/>
              <w:jc w:val="center"/>
              <w:rPr>
                <w:sz w:val="20"/>
              </w:rPr>
            </w:pPr>
            <w:r>
              <w:rPr>
                <w:sz w:val="20"/>
              </w:rPr>
              <w:t>0 alerts</w:t>
            </w:r>
          </w:p>
        </w:tc>
        <w:tc>
          <w:tcPr>
            <w:tcW w:w="5416" w:type="dxa"/>
            <w:tcBorders>
              <w:top w:val="single" w:sz="2" w:space="0" w:color="000000"/>
              <w:left w:val="single" w:sz="2" w:space="0" w:color="000000"/>
              <w:bottom w:val="single" w:sz="2" w:space="0" w:color="000000"/>
              <w:right w:val="single" w:sz="2" w:space="0" w:color="000000"/>
            </w:tcBorders>
            <w:hideMark/>
          </w:tcPr>
          <w:p w14:paraId="24E24178" w14:textId="77777777" w:rsidR="002F7C0E" w:rsidRDefault="002F7C0E">
            <w:pPr>
              <w:pStyle w:val="TableParagraph"/>
              <w:numPr>
                <w:ilvl w:val="0"/>
                <w:numId w:val="63"/>
              </w:numPr>
              <w:tabs>
                <w:tab w:val="left" w:pos="375"/>
              </w:tabs>
              <w:spacing w:before="177" w:line="248" w:lineRule="exact"/>
              <w:rPr>
                <w:sz w:val="20"/>
              </w:rPr>
            </w:pPr>
            <w:r>
              <w:rPr>
                <w:sz w:val="20"/>
              </w:rPr>
              <w:t>117 substructures</w:t>
            </w:r>
          </w:p>
          <w:p w14:paraId="16F65477" w14:textId="77777777" w:rsidR="002F7C0E" w:rsidRDefault="002F7C0E">
            <w:pPr>
              <w:pStyle w:val="TableParagraph"/>
              <w:numPr>
                <w:ilvl w:val="0"/>
                <w:numId w:val="63"/>
              </w:numPr>
              <w:tabs>
                <w:tab w:val="left" w:pos="375"/>
              </w:tabs>
              <w:spacing w:line="248" w:lineRule="exact"/>
              <w:rPr>
                <w:sz w:val="20"/>
              </w:rPr>
            </w:pPr>
            <w:r>
              <w:rPr>
                <w:sz w:val="20"/>
              </w:rPr>
              <w:t>carcinogenicity or mutagenicity</w:t>
            </w:r>
          </w:p>
        </w:tc>
      </w:tr>
      <w:tr w:rsidR="002F7C0E" w14:paraId="73FDCE84" w14:textId="77777777" w:rsidTr="002F7C0E">
        <w:trPr>
          <w:trHeight w:val="835"/>
        </w:trPr>
        <w:tc>
          <w:tcPr>
            <w:tcW w:w="1986" w:type="dxa"/>
            <w:tcBorders>
              <w:top w:val="single" w:sz="2" w:space="0" w:color="000000"/>
              <w:left w:val="single" w:sz="2" w:space="0" w:color="000000"/>
              <w:bottom w:val="single" w:sz="2" w:space="0" w:color="000000"/>
              <w:right w:val="single" w:sz="2" w:space="0" w:color="000000"/>
            </w:tcBorders>
            <w:hideMark/>
          </w:tcPr>
          <w:p w14:paraId="0D9BE4C4" w14:textId="77777777" w:rsidR="002F7C0E" w:rsidRDefault="002F7C0E">
            <w:pPr>
              <w:pStyle w:val="TableParagraph"/>
              <w:spacing w:before="70" w:line="247" w:lineRule="auto"/>
              <w:ind w:left="120" w:right="473"/>
              <w:rPr>
                <w:sz w:val="20"/>
              </w:rPr>
            </w:pPr>
            <w:proofErr w:type="spellStart"/>
            <w:r>
              <w:rPr>
                <w:sz w:val="20"/>
              </w:rPr>
              <w:t>NonGenotoxic</w:t>
            </w:r>
            <w:proofErr w:type="spellEnd"/>
            <w:r>
              <w:rPr>
                <w:spacing w:val="1"/>
                <w:sz w:val="20"/>
              </w:rPr>
              <w:t xml:space="preserve"> </w:t>
            </w:r>
            <w:r>
              <w:rPr>
                <w:sz w:val="20"/>
              </w:rPr>
              <w:t>Carcinogenicity</w:t>
            </w:r>
            <w:r>
              <w:rPr>
                <w:spacing w:val="-54"/>
                <w:sz w:val="20"/>
              </w:rPr>
              <w:t xml:space="preserve"> </w:t>
            </w:r>
            <w:r>
              <w:rPr>
                <w:sz w:val="20"/>
              </w:rPr>
              <w:t>Rule</w:t>
            </w:r>
          </w:p>
        </w:tc>
        <w:tc>
          <w:tcPr>
            <w:tcW w:w="1625" w:type="dxa"/>
            <w:tcBorders>
              <w:top w:val="single" w:sz="2" w:space="0" w:color="000000"/>
              <w:left w:val="single" w:sz="2" w:space="0" w:color="000000"/>
              <w:bottom w:val="single" w:sz="2" w:space="0" w:color="000000"/>
              <w:right w:val="single" w:sz="2" w:space="0" w:color="000000"/>
            </w:tcBorders>
          </w:tcPr>
          <w:p w14:paraId="30A3DEAA" w14:textId="77777777" w:rsidR="002F7C0E" w:rsidRDefault="002F7C0E">
            <w:pPr>
              <w:pStyle w:val="TableParagraph"/>
              <w:spacing w:before="10"/>
              <w:rPr>
                <w:rFonts w:ascii="Arial"/>
                <w:b/>
                <w:sz w:val="26"/>
              </w:rPr>
            </w:pPr>
          </w:p>
          <w:p w14:paraId="19A1F7BA" w14:textId="77777777" w:rsidR="002F7C0E" w:rsidRDefault="002F7C0E">
            <w:pPr>
              <w:pStyle w:val="TableParagraph"/>
              <w:spacing w:before="1"/>
              <w:ind w:left="463" w:right="460"/>
              <w:jc w:val="center"/>
              <w:rPr>
                <w:sz w:val="20"/>
              </w:rPr>
            </w:pPr>
            <w:r>
              <w:rPr>
                <w:sz w:val="20"/>
              </w:rPr>
              <w:t xml:space="preserve">1 </w:t>
            </w:r>
            <w:proofErr w:type="gramStart"/>
            <w:r>
              <w:rPr>
                <w:sz w:val="20"/>
              </w:rPr>
              <w:t>alerts</w:t>
            </w:r>
            <w:proofErr w:type="gramEnd"/>
          </w:p>
        </w:tc>
        <w:tc>
          <w:tcPr>
            <w:tcW w:w="5416" w:type="dxa"/>
            <w:tcBorders>
              <w:top w:val="single" w:sz="2" w:space="0" w:color="000000"/>
              <w:left w:val="single" w:sz="2" w:space="0" w:color="000000"/>
              <w:bottom w:val="single" w:sz="2" w:space="0" w:color="000000"/>
              <w:right w:val="single" w:sz="2" w:space="0" w:color="000000"/>
            </w:tcBorders>
            <w:hideMark/>
          </w:tcPr>
          <w:p w14:paraId="75A9577C" w14:textId="77777777" w:rsidR="002F7C0E" w:rsidRDefault="002F7C0E">
            <w:pPr>
              <w:pStyle w:val="TableParagraph"/>
              <w:numPr>
                <w:ilvl w:val="0"/>
                <w:numId w:val="64"/>
              </w:numPr>
              <w:tabs>
                <w:tab w:val="left" w:pos="375"/>
              </w:tabs>
              <w:spacing w:before="177" w:line="248" w:lineRule="exact"/>
              <w:rPr>
                <w:sz w:val="20"/>
              </w:rPr>
            </w:pPr>
            <w:r>
              <w:rPr>
                <w:sz w:val="20"/>
              </w:rPr>
              <w:t>23 substructures</w:t>
            </w:r>
          </w:p>
          <w:p w14:paraId="7C8E23BC" w14:textId="77777777" w:rsidR="002F7C0E" w:rsidRDefault="002F7C0E">
            <w:pPr>
              <w:pStyle w:val="TableParagraph"/>
              <w:numPr>
                <w:ilvl w:val="0"/>
                <w:numId w:val="64"/>
              </w:numPr>
              <w:tabs>
                <w:tab w:val="left" w:pos="375"/>
              </w:tabs>
              <w:spacing w:line="248" w:lineRule="exact"/>
              <w:rPr>
                <w:sz w:val="20"/>
              </w:rPr>
            </w:pPr>
            <w:r>
              <w:rPr>
                <w:sz w:val="20"/>
              </w:rPr>
              <w:t>carcinogenicity through nongenotoxic mechanisms</w:t>
            </w:r>
          </w:p>
        </w:tc>
      </w:tr>
      <w:tr w:rsidR="002F7C0E" w14:paraId="1BD6D609" w14:textId="77777777" w:rsidTr="002F7C0E">
        <w:trPr>
          <w:trHeight w:val="595"/>
        </w:trPr>
        <w:tc>
          <w:tcPr>
            <w:tcW w:w="1986" w:type="dxa"/>
            <w:tcBorders>
              <w:top w:val="single" w:sz="2" w:space="0" w:color="000000"/>
              <w:left w:val="single" w:sz="2" w:space="0" w:color="000000"/>
              <w:bottom w:val="single" w:sz="2" w:space="0" w:color="000000"/>
              <w:right w:val="single" w:sz="2" w:space="0" w:color="000000"/>
            </w:tcBorders>
            <w:hideMark/>
          </w:tcPr>
          <w:p w14:paraId="6AE89B75" w14:textId="77777777" w:rsidR="002F7C0E" w:rsidRDefault="002F7C0E">
            <w:pPr>
              <w:pStyle w:val="TableParagraph"/>
              <w:spacing w:before="70" w:line="247" w:lineRule="auto"/>
              <w:ind w:left="120" w:right="262"/>
              <w:rPr>
                <w:sz w:val="20"/>
              </w:rPr>
            </w:pPr>
            <w:r>
              <w:rPr>
                <w:sz w:val="20"/>
              </w:rPr>
              <w:t>Skin Sensitization</w:t>
            </w:r>
            <w:r>
              <w:rPr>
                <w:spacing w:val="-54"/>
                <w:sz w:val="20"/>
              </w:rPr>
              <w:t xml:space="preserve"> </w:t>
            </w:r>
            <w:r>
              <w:rPr>
                <w:sz w:val="20"/>
              </w:rPr>
              <w:t>Rule</w:t>
            </w:r>
          </w:p>
        </w:tc>
        <w:tc>
          <w:tcPr>
            <w:tcW w:w="1625" w:type="dxa"/>
            <w:tcBorders>
              <w:top w:val="single" w:sz="2" w:space="0" w:color="000000"/>
              <w:left w:val="single" w:sz="2" w:space="0" w:color="000000"/>
              <w:bottom w:val="single" w:sz="2" w:space="0" w:color="000000"/>
              <w:right w:val="single" w:sz="2" w:space="0" w:color="000000"/>
            </w:tcBorders>
            <w:hideMark/>
          </w:tcPr>
          <w:p w14:paraId="78A0BAEE" w14:textId="77777777" w:rsidR="002F7C0E" w:rsidRDefault="002F7C0E">
            <w:pPr>
              <w:pStyle w:val="TableParagraph"/>
              <w:spacing w:before="190"/>
              <w:ind w:left="463" w:right="460"/>
              <w:jc w:val="center"/>
              <w:rPr>
                <w:sz w:val="20"/>
              </w:rPr>
            </w:pPr>
            <w:r>
              <w:rPr>
                <w:sz w:val="20"/>
              </w:rPr>
              <w:t>5 alerts</w:t>
            </w:r>
          </w:p>
        </w:tc>
        <w:tc>
          <w:tcPr>
            <w:tcW w:w="5416" w:type="dxa"/>
            <w:tcBorders>
              <w:top w:val="single" w:sz="2" w:space="0" w:color="000000"/>
              <w:left w:val="single" w:sz="2" w:space="0" w:color="000000"/>
              <w:bottom w:val="single" w:sz="2" w:space="0" w:color="000000"/>
              <w:right w:val="single" w:sz="2" w:space="0" w:color="000000"/>
            </w:tcBorders>
            <w:hideMark/>
          </w:tcPr>
          <w:p w14:paraId="49303E29" w14:textId="77777777" w:rsidR="002F7C0E" w:rsidRDefault="002F7C0E">
            <w:pPr>
              <w:pStyle w:val="TableParagraph"/>
              <w:numPr>
                <w:ilvl w:val="0"/>
                <w:numId w:val="65"/>
              </w:numPr>
              <w:tabs>
                <w:tab w:val="left" w:pos="375"/>
              </w:tabs>
              <w:spacing w:before="57" w:line="248" w:lineRule="exact"/>
              <w:rPr>
                <w:sz w:val="20"/>
              </w:rPr>
            </w:pPr>
            <w:r>
              <w:rPr>
                <w:sz w:val="20"/>
              </w:rPr>
              <w:t>155 substructures</w:t>
            </w:r>
          </w:p>
          <w:p w14:paraId="5ACD94EB" w14:textId="77777777" w:rsidR="002F7C0E" w:rsidRDefault="002F7C0E">
            <w:pPr>
              <w:pStyle w:val="TableParagraph"/>
              <w:numPr>
                <w:ilvl w:val="0"/>
                <w:numId w:val="65"/>
              </w:numPr>
              <w:tabs>
                <w:tab w:val="left" w:pos="375"/>
              </w:tabs>
              <w:spacing w:line="248" w:lineRule="exact"/>
              <w:rPr>
                <w:sz w:val="20"/>
              </w:rPr>
            </w:pPr>
            <w:r>
              <w:rPr>
                <w:sz w:val="20"/>
              </w:rPr>
              <w:t>skin irritation</w:t>
            </w:r>
          </w:p>
        </w:tc>
      </w:tr>
      <w:tr w:rsidR="002F7C0E" w14:paraId="24EBDFF8" w14:textId="77777777" w:rsidTr="002F7C0E">
        <w:trPr>
          <w:trHeight w:val="595"/>
        </w:trPr>
        <w:tc>
          <w:tcPr>
            <w:tcW w:w="1986" w:type="dxa"/>
            <w:tcBorders>
              <w:top w:val="single" w:sz="2" w:space="0" w:color="000000"/>
              <w:left w:val="single" w:sz="2" w:space="0" w:color="000000"/>
              <w:bottom w:val="single" w:sz="2" w:space="0" w:color="000000"/>
              <w:right w:val="single" w:sz="2" w:space="0" w:color="000000"/>
            </w:tcBorders>
            <w:hideMark/>
          </w:tcPr>
          <w:p w14:paraId="1BDDE8DE" w14:textId="77777777" w:rsidR="002F7C0E" w:rsidRDefault="002F7C0E">
            <w:pPr>
              <w:pStyle w:val="TableParagraph"/>
              <w:spacing w:before="70" w:line="247" w:lineRule="auto"/>
              <w:ind w:left="120" w:right="440"/>
              <w:rPr>
                <w:sz w:val="20"/>
              </w:rPr>
            </w:pPr>
            <w:r>
              <w:rPr>
                <w:sz w:val="20"/>
              </w:rPr>
              <w:t>Aquatic Toxicity</w:t>
            </w:r>
            <w:r>
              <w:rPr>
                <w:spacing w:val="-54"/>
                <w:sz w:val="20"/>
              </w:rPr>
              <w:t xml:space="preserve"> </w:t>
            </w:r>
            <w:r>
              <w:rPr>
                <w:sz w:val="20"/>
              </w:rPr>
              <w:t>Rule</w:t>
            </w:r>
          </w:p>
        </w:tc>
        <w:tc>
          <w:tcPr>
            <w:tcW w:w="1625" w:type="dxa"/>
            <w:tcBorders>
              <w:top w:val="single" w:sz="2" w:space="0" w:color="000000"/>
              <w:left w:val="single" w:sz="2" w:space="0" w:color="000000"/>
              <w:bottom w:val="single" w:sz="2" w:space="0" w:color="000000"/>
              <w:right w:val="single" w:sz="2" w:space="0" w:color="000000"/>
            </w:tcBorders>
            <w:hideMark/>
          </w:tcPr>
          <w:p w14:paraId="2B3B5F12" w14:textId="77777777" w:rsidR="002F7C0E" w:rsidRDefault="002F7C0E">
            <w:pPr>
              <w:pStyle w:val="TableParagraph"/>
              <w:spacing w:before="190"/>
              <w:ind w:left="463" w:right="460"/>
              <w:jc w:val="center"/>
              <w:rPr>
                <w:sz w:val="20"/>
              </w:rPr>
            </w:pPr>
            <w:r>
              <w:rPr>
                <w:sz w:val="20"/>
              </w:rPr>
              <w:t>0 alerts</w:t>
            </w:r>
          </w:p>
        </w:tc>
        <w:tc>
          <w:tcPr>
            <w:tcW w:w="5416" w:type="dxa"/>
            <w:tcBorders>
              <w:top w:val="single" w:sz="2" w:space="0" w:color="000000"/>
              <w:left w:val="single" w:sz="2" w:space="0" w:color="000000"/>
              <w:bottom w:val="single" w:sz="2" w:space="0" w:color="000000"/>
              <w:right w:val="single" w:sz="2" w:space="0" w:color="000000"/>
            </w:tcBorders>
            <w:hideMark/>
          </w:tcPr>
          <w:p w14:paraId="1FBB07E3" w14:textId="77777777" w:rsidR="002F7C0E" w:rsidRDefault="002F7C0E">
            <w:pPr>
              <w:pStyle w:val="TableParagraph"/>
              <w:numPr>
                <w:ilvl w:val="0"/>
                <w:numId w:val="66"/>
              </w:numPr>
              <w:tabs>
                <w:tab w:val="left" w:pos="375"/>
              </w:tabs>
              <w:spacing w:before="57" w:line="248" w:lineRule="exact"/>
              <w:rPr>
                <w:sz w:val="20"/>
              </w:rPr>
            </w:pPr>
            <w:r>
              <w:rPr>
                <w:sz w:val="20"/>
              </w:rPr>
              <w:t>99 substructures</w:t>
            </w:r>
          </w:p>
          <w:p w14:paraId="652A5AD7" w14:textId="77777777" w:rsidR="002F7C0E" w:rsidRDefault="002F7C0E">
            <w:pPr>
              <w:pStyle w:val="TableParagraph"/>
              <w:numPr>
                <w:ilvl w:val="0"/>
                <w:numId w:val="66"/>
              </w:numPr>
              <w:tabs>
                <w:tab w:val="left" w:pos="375"/>
              </w:tabs>
              <w:spacing w:line="248" w:lineRule="exact"/>
              <w:rPr>
                <w:sz w:val="20"/>
              </w:rPr>
            </w:pPr>
            <w:r>
              <w:rPr>
                <w:sz w:val="20"/>
              </w:rPr>
              <w:t>toxicity to liquid(water)</w:t>
            </w:r>
          </w:p>
        </w:tc>
      </w:tr>
      <w:tr w:rsidR="002F7C0E" w14:paraId="1567D30E" w14:textId="77777777" w:rsidTr="002F7C0E">
        <w:trPr>
          <w:trHeight w:val="595"/>
        </w:trPr>
        <w:tc>
          <w:tcPr>
            <w:tcW w:w="1986" w:type="dxa"/>
            <w:tcBorders>
              <w:top w:val="single" w:sz="2" w:space="0" w:color="000000"/>
              <w:left w:val="single" w:sz="2" w:space="0" w:color="000000"/>
              <w:bottom w:val="single" w:sz="2" w:space="0" w:color="000000"/>
              <w:right w:val="single" w:sz="2" w:space="0" w:color="000000"/>
            </w:tcBorders>
            <w:hideMark/>
          </w:tcPr>
          <w:p w14:paraId="07FBFC39" w14:textId="77777777" w:rsidR="002F7C0E" w:rsidRDefault="002F7C0E">
            <w:pPr>
              <w:pStyle w:val="TableParagraph"/>
              <w:spacing w:before="70" w:line="247" w:lineRule="auto"/>
              <w:ind w:left="120" w:right="184"/>
              <w:rPr>
                <w:sz w:val="20"/>
              </w:rPr>
            </w:pPr>
            <w:proofErr w:type="spellStart"/>
            <w:r>
              <w:rPr>
                <w:sz w:val="20"/>
              </w:rPr>
              <w:t>NonBiodegradable</w:t>
            </w:r>
            <w:proofErr w:type="spellEnd"/>
            <w:r>
              <w:rPr>
                <w:spacing w:val="-54"/>
                <w:sz w:val="20"/>
              </w:rPr>
              <w:t xml:space="preserve"> </w:t>
            </w:r>
            <w:r>
              <w:rPr>
                <w:sz w:val="20"/>
              </w:rPr>
              <w:t>Rule</w:t>
            </w:r>
          </w:p>
        </w:tc>
        <w:tc>
          <w:tcPr>
            <w:tcW w:w="1625" w:type="dxa"/>
            <w:tcBorders>
              <w:top w:val="single" w:sz="2" w:space="0" w:color="000000"/>
              <w:left w:val="single" w:sz="2" w:space="0" w:color="000000"/>
              <w:bottom w:val="single" w:sz="2" w:space="0" w:color="000000"/>
              <w:right w:val="single" w:sz="2" w:space="0" w:color="000000"/>
            </w:tcBorders>
            <w:hideMark/>
          </w:tcPr>
          <w:p w14:paraId="6907C2FD" w14:textId="77777777" w:rsidR="002F7C0E" w:rsidRDefault="002F7C0E">
            <w:pPr>
              <w:pStyle w:val="TableParagraph"/>
              <w:spacing w:before="190"/>
              <w:ind w:left="463" w:right="460"/>
              <w:jc w:val="center"/>
              <w:rPr>
                <w:sz w:val="20"/>
              </w:rPr>
            </w:pPr>
            <w:r>
              <w:rPr>
                <w:sz w:val="20"/>
              </w:rPr>
              <w:t xml:space="preserve">1 </w:t>
            </w:r>
            <w:proofErr w:type="gramStart"/>
            <w:r>
              <w:rPr>
                <w:sz w:val="20"/>
              </w:rPr>
              <w:t>alerts</w:t>
            </w:r>
            <w:proofErr w:type="gramEnd"/>
          </w:p>
        </w:tc>
        <w:tc>
          <w:tcPr>
            <w:tcW w:w="5416" w:type="dxa"/>
            <w:tcBorders>
              <w:top w:val="single" w:sz="2" w:space="0" w:color="000000"/>
              <w:left w:val="single" w:sz="2" w:space="0" w:color="000000"/>
              <w:bottom w:val="single" w:sz="2" w:space="0" w:color="000000"/>
              <w:right w:val="single" w:sz="2" w:space="0" w:color="000000"/>
            </w:tcBorders>
            <w:hideMark/>
          </w:tcPr>
          <w:p w14:paraId="69D04B29" w14:textId="77777777" w:rsidR="002F7C0E" w:rsidRDefault="002F7C0E">
            <w:pPr>
              <w:pStyle w:val="TableParagraph"/>
              <w:numPr>
                <w:ilvl w:val="0"/>
                <w:numId w:val="67"/>
              </w:numPr>
              <w:tabs>
                <w:tab w:val="left" w:pos="375"/>
              </w:tabs>
              <w:spacing w:before="57" w:line="248" w:lineRule="exact"/>
              <w:rPr>
                <w:sz w:val="20"/>
              </w:rPr>
            </w:pPr>
            <w:r>
              <w:rPr>
                <w:sz w:val="20"/>
              </w:rPr>
              <w:t>19 substructures</w:t>
            </w:r>
          </w:p>
          <w:p w14:paraId="76E04945" w14:textId="77777777" w:rsidR="002F7C0E" w:rsidRDefault="002F7C0E">
            <w:pPr>
              <w:pStyle w:val="TableParagraph"/>
              <w:numPr>
                <w:ilvl w:val="0"/>
                <w:numId w:val="67"/>
              </w:numPr>
              <w:tabs>
                <w:tab w:val="left" w:pos="375"/>
              </w:tabs>
              <w:spacing w:line="248" w:lineRule="exact"/>
              <w:rPr>
                <w:sz w:val="20"/>
              </w:rPr>
            </w:pPr>
            <w:r>
              <w:rPr>
                <w:sz w:val="20"/>
              </w:rPr>
              <w:t>non-biodegradable</w:t>
            </w:r>
          </w:p>
        </w:tc>
      </w:tr>
      <w:tr w:rsidR="002F7C0E" w14:paraId="67096764" w14:textId="77777777" w:rsidTr="002F7C0E">
        <w:trPr>
          <w:trHeight w:val="595"/>
        </w:trPr>
        <w:tc>
          <w:tcPr>
            <w:tcW w:w="1986" w:type="dxa"/>
            <w:tcBorders>
              <w:top w:val="single" w:sz="2" w:space="0" w:color="000000"/>
              <w:left w:val="single" w:sz="2" w:space="0" w:color="000000"/>
              <w:bottom w:val="single" w:sz="2" w:space="0" w:color="000000"/>
              <w:right w:val="single" w:sz="2" w:space="0" w:color="000000"/>
            </w:tcBorders>
            <w:hideMark/>
          </w:tcPr>
          <w:p w14:paraId="4B1884A5" w14:textId="77777777" w:rsidR="002F7C0E" w:rsidRDefault="002F7C0E">
            <w:pPr>
              <w:pStyle w:val="TableParagraph"/>
              <w:spacing w:before="190"/>
              <w:ind w:left="120"/>
              <w:rPr>
                <w:sz w:val="20"/>
              </w:rPr>
            </w:pPr>
            <w:proofErr w:type="spellStart"/>
            <w:r>
              <w:rPr>
                <w:sz w:val="20"/>
              </w:rPr>
              <w:t>SureChEMBL</w:t>
            </w:r>
            <w:proofErr w:type="spellEnd"/>
            <w:r>
              <w:rPr>
                <w:sz w:val="20"/>
              </w:rPr>
              <w:t xml:space="preserve"> Rule</w:t>
            </w:r>
          </w:p>
        </w:tc>
        <w:tc>
          <w:tcPr>
            <w:tcW w:w="1625" w:type="dxa"/>
            <w:tcBorders>
              <w:top w:val="single" w:sz="2" w:space="0" w:color="000000"/>
              <w:left w:val="single" w:sz="2" w:space="0" w:color="000000"/>
              <w:bottom w:val="single" w:sz="2" w:space="0" w:color="000000"/>
              <w:right w:val="single" w:sz="2" w:space="0" w:color="000000"/>
            </w:tcBorders>
            <w:hideMark/>
          </w:tcPr>
          <w:p w14:paraId="06A58F80" w14:textId="77777777" w:rsidR="002F7C0E" w:rsidRDefault="002F7C0E">
            <w:pPr>
              <w:pStyle w:val="TableParagraph"/>
              <w:spacing w:before="190"/>
              <w:ind w:left="463" w:right="460"/>
              <w:jc w:val="center"/>
              <w:rPr>
                <w:sz w:val="20"/>
              </w:rPr>
            </w:pPr>
            <w:r>
              <w:rPr>
                <w:sz w:val="20"/>
              </w:rPr>
              <w:t xml:space="preserve">1 </w:t>
            </w:r>
            <w:proofErr w:type="gramStart"/>
            <w:r>
              <w:rPr>
                <w:sz w:val="20"/>
              </w:rPr>
              <w:t>alerts</w:t>
            </w:r>
            <w:proofErr w:type="gramEnd"/>
          </w:p>
        </w:tc>
        <w:tc>
          <w:tcPr>
            <w:tcW w:w="5416" w:type="dxa"/>
            <w:tcBorders>
              <w:top w:val="single" w:sz="2" w:space="0" w:color="000000"/>
              <w:left w:val="single" w:sz="2" w:space="0" w:color="000000"/>
              <w:bottom w:val="single" w:sz="2" w:space="0" w:color="000000"/>
              <w:right w:val="single" w:sz="2" w:space="0" w:color="000000"/>
            </w:tcBorders>
            <w:hideMark/>
          </w:tcPr>
          <w:p w14:paraId="187EE803" w14:textId="77777777" w:rsidR="002F7C0E" w:rsidRDefault="002F7C0E">
            <w:pPr>
              <w:pStyle w:val="TableParagraph"/>
              <w:numPr>
                <w:ilvl w:val="0"/>
                <w:numId w:val="68"/>
              </w:numPr>
              <w:tabs>
                <w:tab w:val="left" w:pos="375"/>
              </w:tabs>
              <w:spacing w:before="57" w:line="248" w:lineRule="exact"/>
              <w:rPr>
                <w:sz w:val="20"/>
              </w:rPr>
            </w:pPr>
            <w:r>
              <w:rPr>
                <w:sz w:val="20"/>
              </w:rPr>
              <w:t>164 substructures</w:t>
            </w:r>
          </w:p>
          <w:p w14:paraId="57976BA4" w14:textId="77777777" w:rsidR="002F7C0E" w:rsidRDefault="002F7C0E">
            <w:pPr>
              <w:pStyle w:val="TableParagraph"/>
              <w:numPr>
                <w:ilvl w:val="0"/>
                <w:numId w:val="68"/>
              </w:numPr>
              <w:tabs>
                <w:tab w:val="left" w:pos="375"/>
              </w:tabs>
              <w:spacing w:line="248" w:lineRule="exact"/>
              <w:rPr>
                <w:sz w:val="20"/>
              </w:rPr>
            </w:pPr>
            <w:proofErr w:type="spellStart"/>
            <w:r>
              <w:rPr>
                <w:sz w:val="20"/>
              </w:rPr>
              <w:t>MedChem</w:t>
            </w:r>
            <w:proofErr w:type="spellEnd"/>
            <w:r>
              <w:rPr>
                <w:sz w:val="20"/>
              </w:rPr>
              <w:t xml:space="preserve"> unfriendly status</w:t>
            </w:r>
          </w:p>
        </w:tc>
      </w:tr>
    </w:tbl>
    <w:p w14:paraId="6ED047FC" w14:textId="7A54DA81" w:rsidR="002F7C0E" w:rsidRDefault="002F7C0E" w:rsidP="002F7C0E">
      <w:pPr>
        <w:rPr>
          <w:rFonts w:ascii="Arial MT" w:eastAsia="Arial MT" w:hAnsi="Arial MT" w:cs="Arial MT"/>
          <w:lang w:val="en-US"/>
        </w:rPr>
      </w:pPr>
    </w:p>
    <w:p w14:paraId="03092664" w14:textId="18FD9483" w:rsidR="00232115" w:rsidRPr="00A22E9D" w:rsidRDefault="00232115" w:rsidP="00880718">
      <w:pPr>
        <w:spacing w:line="480" w:lineRule="auto"/>
        <w:jc w:val="both"/>
        <w:rPr>
          <w:rFonts w:ascii="Times New Roman" w:hAnsi="Times New Roman" w:cs="Times New Roman"/>
          <w:sz w:val="24"/>
          <w:szCs w:val="24"/>
        </w:rPr>
      </w:pPr>
    </w:p>
    <w:sectPr w:rsidR="00232115" w:rsidRPr="00A22E9D" w:rsidSect="003B14C0">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E6D12" w14:textId="77777777" w:rsidR="00F053C5" w:rsidRDefault="00F053C5" w:rsidP="00FC6E23">
      <w:pPr>
        <w:spacing w:after="0" w:line="240" w:lineRule="auto"/>
      </w:pPr>
      <w:r>
        <w:separator/>
      </w:r>
    </w:p>
  </w:endnote>
  <w:endnote w:type="continuationSeparator" w:id="0">
    <w:p w14:paraId="19A4B21F" w14:textId="77777777" w:rsidR="00F053C5" w:rsidRDefault="00F053C5" w:rsidP="00FC6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UI Gothic">
    <w:altName w:val="MS UI 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4395740"/>
      <w:docPartObj>
        <w:docPartGallery w:val="Page Numbers (Bottom of Page)"/>
        <w:docPartUnique/>
      </w:docPartObj>
    </w:sdtPr>
    <w:sdtEndPr>
      <w:rPr>
        <w:noProof/>
      </w:rPr>
    </w:sdtEndPr>
    <w:sdtContent>
      <w:p w14:paraId="3F5A7DA5" w14:textId="5FCB4CB4" w:rsidR="006C58B0" w:rsidRDefault="006C58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349147" w14:textId="77777777" w:rsidR="006C58B0" w:rsidRDefault="006C58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6047455"/>
      <w:docPartObj>
        <w:docPartGallery w:val="Page Numbers (Bottom of Page)"/>
        <w:docPartUnique/>
      </w:docPartObj>
    </w:sdtPr>
    <w:sdtEndPr>
      <w:rPr>
        <w:noProof/>
      </w:rPr>
    </w:sdtEndPr>
    <w:sdtContent>
      <w:p w14:paraId="3E59DA88" w14:textId="1FD8C887" w:rsidR="006C58B0" w:rsidRDefault="006C58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0DD57" w14:textId="77777777" w:rsidR="006C58B0" w:rsidRDefault="006C5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B5C13" w14:textId="77777777" w:rsidR="00F053C5" w:rsidRDefault="00F053C5" w:rsidP="00FC6E23">
      <w:pPr>
        <w:spacing w:after="0" w:line="240" w:lineRule="auto"/>
      </w:pPr>
      <w:r>
        <w:separator/>
      </w:r>
    </w:p>
  </w:footnote>
  <w:footnote w:type="continuationSeparator" w:id="0">
    <w:p w14:paraId="53D6AD21" w14:textId="77777777" w:rsidR="00F053C5" w:rsidRDefault="00F053C5" w:rsidP="00FC6E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7EDCF" w14:textId="77777777" w:rsidR="006C58B0" w:rsidRDefault="006C58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37079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60300"/>
    <w:multiLevelType w:val="hybridMultilevel"/>
    <w:tmpl w:val="6C961956"/>
    <w:lvl w:ilvl="0" w:tplc="7C3A38AA">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52D4FAA8">
      <w:numFmt w:val="bullet"/>
      <w:lvlText w:val="•"/>
      <w:lvlJc w:val="left"/>
      <w:pPr>
        <w:ind w:left="603" w:hanging="256"/>
      </w:pPr>
      <w:rPr>
        <w:lang w:val="en-US" w:eastAsia="en-US" w:bidi="ar-SA"/>
      </w:rPr>
    </w:lvl>
    <w:lvl w:ilvl="2" w:tplc="C588917E">
      <w:numFmt w:val="bullet"/>
      <w:lvlText w:val="•"/>
      <w:lvlJc w:val="left"/>
      <w:pPr>
        <w:ind w:left="1087" w:hanging="256"/>
      </w:pPr>
      <w:rPr>
        <w:lang w:val="en-US" w:eastAsia="en-US" w:bidi="ar-SA"/>
      </w:rPr>
    </w:lvl>
    <w:lvl w:ilvl="3" w:tplc="3C24B442">
      <w:numFmt w:val="bullet"/>
      <w:lvlText w:val="•"/>
      <w:lvlJc w:val="left"/>
      <w:pPr>
        <w:ind w:left="1571" w:hanging="256"/>
      </w:pPr>
      <w:rPr>
        <w:lang w:val="en-US" w:eastAsia="en-US" w:bidi="ar-SA"/>
      </w:rPr>
    </w:lvl>
    <w:lvl w:ilvl="4" w:tplc="EE08391E">
      <w:numFmt w:val="bullet"/>
      <w:lvlText w:val="•"/>
      <w:lvlJc w:val="left"/>
      <w:pPr>
        <w:ind w:left="2055" w:hanging="256"/>
      </w:pPr>
      <w:rPr>
        <w:lang w:val="en-US" w:eastAsia="en-US" w:bidi="ar-SA"/>
      </w:rPr>
    </w:lvl>
    <w:lvl w:ilvl="5" w:tplc="8C5C1202">
      <w:numFmt w:val="bullet"/>
      <w:lvlText w:val="•"/>
      <w:lvlJc w:val="left"/>
      <w:pPr>
        <w:ind w:left="2539" w:hanging="256"/>
      </w:pPr>
      <w:rPr>
        <w:lang w:val="en-US" w:eastAsia="en-US" w:bidi="ar-SA"/>
      </w:rPr>
    </w:lvl>
    <w:lvl w:ilvl="6" w:tplc="301AA6A0">
      <w:numFmt w:val="bullet"/>
      <w:lvlText w:val="•"/>
      <w:lvlJc w:val="left"/>
      <w:pPr>
        <w:ind w:left="3023" w:hanging="256"/>
      </w:pPr>
      <w:rPr>
        <w:lang w:val="en-US" w:eastAsia="en-US" w:bidi="ar-SA"/>
      </w:rPr>
    </w:lvl>
    <w:lvl w:ilvl="7" w:tplc="C21AEE9E">
      <w:numFmt w:val="bullet"/>
      <w:lvlText w:val="•"/>
      <w:lvlJc w:val="left"/>
      <w:pPr>
        <w:ind w:left="3507" w:hanging="256"/>
      </w:pPr>
      <w:rPr>
        <w:lang w:val="en-US" w:eastAsia="en-US" w:bidi="ar-SA"/>
      </w:rPr>
    </w:lvl>
    <w:lvl w:ilvl="8" w:tplc="D8FAAED2">
      <w:numFmt w:val="bullet"/>
      <w:lvlText w:val="•"/>
      <w:lvlJc w:val="left"/>
      <w:pPr>
        <w:ind w:left="3991" w:hanging="256"/>
      </w:pPr>
      <w:rPr>
        <w:lang w:val="en-US" w:eastAsia="en-US" w:bidi="ar-SA"/>
      </w:rPr>
    </w:lvl>
  </w:abstractNum>
  <w:abstractNum w:abstractNumId="2" w15:restartNumberingAfterBreak="0">
    <w:nsid w:val="0299519B"/>
    <w:multiLevelType w:val="hybridMultilevel"/>
    <w:tmpl w:val="00DEB0D4"/>
    <w:lvl w:ilvl="0" w:tplc="59F0BE24">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230843CE">
      <w:numFmt w:val="bullet"/>
      <w:lvlText w:val="•"/>
      <w:lvlJc w:val="left"/>
      <w:pPr>
        <w:ind w:left="603" w:hanging="256"/>
      </w:pPr>
      <w:rPr>
        <w:lang w:val="en-US" w:eastAsia="en-US" w:bidi="ar-SA"/>
      </w:rPr>
    </w:lvl>
    <w:lvl w:ilvl="2" w:tplc="A87E756A">
      <w:numFmt w:val="bullet"/>
      <w:lvlText w:val="•"/>
      <w:lvlJc w:val="left"/>
      <w:pPr>
        <w:ind w:left="1087" w:hanging="256"/>
      </w:pPr>
      <w:rPr>
        <w:lang w:val="en-US" w:eastAsia="en-US" w:bidi="ar-SA"/>
      </w:rPr>
    </w:lvl>
    <w:lvl w:ilvl="3" w:tplc="E63C15A0">
      <w:numFmt w:val="bullet"/>
      <w:lvlText w:val="•"/>
      <w:lvlJc w:val="left"/>
      <w:pPr>
        <w:ind w:left="1571" w:hanging="256"/>
      </w:pPr>
      <w:rPr>
        <w:lang w:val="en-US" w:eastAsia="en-US" w:bidi="ar-SA"/>
      </w:rPr>
    </w:lvl>
    <w:lvl w:ilvl="4" w:tplc="F13C22C8">
      <w:numFmt w:val="bullet"/>
      <w:lvlText w:val="•"/>
      <w:lvlJc w:val="left"/>
      <w:pPr>
        <w:ind w:left="2055" w:hanging="256"/>
      </w:pPr>
      <w:rPr>
        <w:lang w:val="en-US" w:eastAsia="en-US" w:bidi="ar-SA"/>
      </w:rPr>
    </w:lvl>
    <w:lvl w:ilvl="5" w:tplc="D616B36E">
      <w:numFmt w:val="bullet"/>
      <w:lvlText w:val="•"/>
      <w:lvlJc w:val="left"/>
      <w:pPr>
        <w:ind w:left="2539" w:hanging="256"/>
      </w:pPr>
      <w:rPr>
        <w:lang w:val="en-US" w:eastAsia="en-US" w:bidi="ar-SA"/>
      </w:rPr>
    </w:lvl>
    <w:lvl w:ilvl="6" w:tplc="3514C932">
      <w:numFmt w:val="bullet"/>
      <w:lvlText w:val="•"/>
      <w:lvlJc w:val="left"/>
      <w:pPr>
        <w:ind w:left="3023" w:hanging="256"/>
      </w:pPr>
      <w:rPr>
        <w:lang w:val="en-US" w:eastAsia="en-US" w:bidi="ar-SA"/>
      </w:rPr>
    </w:lvl>
    <w:lvl w:ilvl="7" w:tplc="1CFC71C4">
      <w:numFmt w:val="bullet"/>
      <w:lvlText w:val="•"/>
      <w:lvlJc w:val="left"/>
      <w:pPr>
        <w:ind w:left="3507" w:hanging="256"/>
      </w:pPr>
      <w:rPr>
        <w:lang w:val="en-US" w:eastAsia="en-US" w:bidi="ar-SA"/>
      </w:rPr>
    </w:lvl>
    <w:lvl w:ilvl="8" w:tplc="F2903F44">
      <w:numFmt w:val="bullet"/>
      <w:lvlText w:val="•"/>
      <w:lvlJc w:val="left"/>
      <w:pPr>
        <w:ind w:left="3991" w:hanging="256"/>
      </w:pPr>
      <w:rPr>
        <w:lang w:val="en-US" w:eastAsia="en-US" w:bidi="ar-SA"/>
      </w:rPr>
    </w:lvl>
  </w:abstractNum>
  <w:abstractNum w:abstractNumId="3" w15:restartNumberingAfterBreak="0">
    <w:nsid w:val="03C83335"/>
    <w:multiLevelType w:val="hybridMultilevel"/>
    <w:tmpl w:val="60309838"/>
    <w:lvl w:ilvl="0" w:tplc="390AC6E2">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805A6574">
      <w:numFmt w:val="bullet"/>
      <w:lvlText w:val="•"/>
      <w:lvlJc w:val="left"/>
      <w:pPr>
        <w:ind w:left="846" w:hanging="256"/>
      </w:pPr>
      <w:rPr>
        <w:lang w:val="en-US" w:eastAsia="en-US" w:bidi="ar-SA"/>
      </w:rPr>
    </w:lvl>
    <w:lvl w:ilvl="2" w:tplc="6BE837B2">
      <w:numFmt w:val="bullet"/>
      <w:lvlText w:val="•"/>
      <w:lvlJc w:val="left"/>
      <w:pPr>
        <w:ind w:left="1313" w:hanging="256"/>
      </w:pPr>
      <w:rPr>
        <w:lang w:val="en-US" w:eastAsia="en-US" w:bidi="ar-SA"/>
      </w:rPr>
    </w:lvl>
    <w:lvl w:ilvl="3" w:tplc="0DB67408">
      <w:numFmt w:val="bullet"/>
      <w:lvlText w:val="•"/>
      <w:lvlJc w:val="left"/>
      <w:pPr>
        <w:ind w:left="1780" w:hanging="256"/>
      </w:pPr>
      <w:rPr>
        <w:lang w:val="en-US" w:eastAsia="en-US" w:bidi="ar-SA"/>
      </w:rPr>
    </w:lvl>
    <w:lvl w:ilvl="4" w:tplc="D166D192">
      <w:numFmt w:val="bullet"/>
      <w:lvlText w:val="•"/>
      <w:lvlJc w:val="left"/>
      <w:pPr>
        <w:ind w:left="2247" w:hanging="256"/>
      </w:pPr>
      <w:rPr>
        <w:lang w:val="en-US" w:eastAsia="en-US" w:bidi="ar-SA"/>
      </w:rPr>
    </w:lvl>
    <w:lvl w:ilvl="5" w:tplc="44D89636">
      <w:numFmt w:val="bullet"/>
      <w:lvlText w:val="•"/>
      <w:lvlJc w:val="left"/>
      <w:pPr>
        <w:ind w:left="2714" w:hanging="256"/>
      </w:pPr>
      <w:rPr>
        <w:lang w:val="en-US" w:eastAsia="en-US" w:bidi="ar-SA"/>
      </w:rPr>
    </w:lvl>
    <w:lvl w:ilvl="6" w:tplc="08F26564">
      <w:numFmt w:val="bullet"/>
      <w:lvlText w:val="•"/>
      <w:lvlJc w:val="left"/>
      <w:pPr>
        <w:ind w:left="3181" w:hanging="256"/>
      </w:pPr>
      <w:rPr>
        <w:lang w:val="en-US" w:eastAsia="en-US" w:bidi="ar-SA"/>
      </w:rPr>
    </w:lvl>
    <w:lvl w:ilvl="7" w:tplc="4620D096">
      <w:numFmt w:val="bullet"/>
      <w:lvlText w:val="•"/>
      <w:lvlJc w:val="left"/>
      <w:pPr>
        <w:ind w:left="3648" w:hanging="256"/>
      </w:pPr>
      <w:rPr>
        <w:lang w:val="en-US" w:eastAsia="en-US" w:bidi="ar-SA"/>
      </w:rPr>
    </w:lvl>
    <w:lvl w:ilvl="8" w:tplc="91EA4BD6">
      <w:numFmt w:val="bullet"/>
      <w:lvlText w:val="•"/>
      <w:lvlJc w:val="left"/>
      <w:pPr>
        <w:ind w:left="4115" w:hanging="256"/>
      </w:pPr>
      <w:rPr>
        <w:lang w:val="en-US" w:eastAsia="en-US" w:bidi="ar-SA"/>
      </w:rPr>
    </w:lvl>
  </w:abstractNum>
  <w:abstractNum w:abstractNumId="4" w15:restartNumberingAfterBreak="0">
    <w:nsid w:val="06174AF9"/>
    <w:multiLevelType w:val="hybridMultilevel"/>
    <w:tmpl w:val="ED684814"/>
    <w:lvl w:ilvl="0" w:tplc="9992DF9C">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07DE24C0">
      <w:numFmt w:val="bullet"/>
      <w:lvlText w:val="•"/>
      <w:lvlJc w:val="left"/>
      <w:pPr>
        <w:ind w:left="883" w:hanging="256"/>
      </w:pPr>
      <w:rPr>
        <w:lang w:val="en-US" w:eastAsia="en-US" w:bidi="ar-SA"/>
      </w:rPr>
    </w:lvl>
    <w:lvl w:ilvl="2" w:tplc="3196BF24">
      <w:numFmt w:val="bullet"/>
      <w:lvlText w:val="•"/>
      <w:lvlJc w:val="left"/>
      <w:pPr>
        <w:ind w:left="1386" w:hanging="256"/>
      </w:pPr>
      <w:rPr>
        <w:lang w:val="en-US" w:eastAsia="en-US" w:bidi="ar-SA"/>
      </w:rPr>
    </w:lvl>
    <w:lvl w:ilvl="3" w:tplc="7DF23A50">
      <w:numFmt w:val="bullet"/>
      <w:lvlText w:val="•"/>
      <w:lvlJc w:val="left"/>
      <w:pPr>
        <w:ind w:left="1889" w:hanging="256"/>
      </w:pPr>
      <w:rPr>
        <w:lang w:val="en-US" w:eastAsia="en-US" w:bidi="ar-SA"/>
      </w:rPr>
    </w:lvl>
    <w:lvl w:ilvl="4" w:tplc="861C6CF8">
      <w:numFmt w:val="bullet"/>
      <w:lvlText w:val="•"/>
      <w:lvlJc w:val="left"/>
      <w:pPr>
        <w:ind w:left="2392" w:hanging="256"/>
      </w:pPr>
      <w:rPr>
        <w:lang w:val="en-US" w:eastAsia="en-US" w:bidi="ar-SA"/>
      </w:rPr>
    </w:lvl>
    <w:lvl w:ilvl="5" w:tplc="02E0C90C">
      <w:numFmt w:val="bullet"/>
      <w:lvlText w:val="•"/>
      <w:lvlJc w:val="left"/>
      <w:pPr>
        <w:ind w:left="2895" w:hanging="256"/>
      </w:pPr>
      <w:rPr>
        <w:lang w:val="en-US" w:eastAsia="en-US" w:bidi="ar-SA"/>
      </w:rPr>
    </w:lvl>
    <w:lvl w:ilvl="6" w:tplc="4A4E1662">
      <w:numFmt w:val="bullet"/>
      <w:lvlText w:val="•"/>
      <w:lvlJc w:val="left"/>
      <w:pPr>
        <w:ind w:left="3398" w:hanging="256"/>
      </w:pPr>
      <w:rPr>
        <w:lang w:val="en-US" w:eastAsia="en-US" w:bidi="ar-SA"/>
      </w:rPr>
    </w:lvl>
    <w:lvl w:ilvl="7" w:tplc="1696DBB0">
      <w:numFmt w:val="bullet"/>
      <w:lvlText w:val="•"/>
      <w:lvlJc w:val="left"/>
      <w:pPr>
        <w:ind w:left="3901" w:hanging="256"/>
      </w:pPr>
      <w:rPr>
        <w:lang w:val="en-US" w:eastAsia="en-US" w:bidi="ar-SA"/>
      </w:rPr>
    </w:lvl>
    <w:lvl w:ilvl="8" w:tplc="A6C0B354">
      <w:numFmt w:val="bullet"/>
      <w:lvlText w:val="•"/>
      <w:lvlJc w:val="left"/>
      <w:pPr>
        <w:ind w:left="4404" w:hanging="256"/>
      </w:pPr>
      <w:rPr>
        <w:lang w:val="en-US" w:eastAsia="en-US" w:bidi="ar-SA"/>
      </w:rPr>
    </w:lvl>
  </w:abstractNum>
  <w:abstractNum w:abstractNumId="5" w15:restartNumberingAfterBreak="0">
    <w:nsid w:val="07656305"/>
    <w:multiLevelType w:val="hybridMultilevel"/>
    <w:tmpl w:val="EE421976"/>
    <w:lvl w:ilvl="0" w:tplc="46EAE560">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4C549722">
      <w:numFmt w:val="bullet"/>
      <w:lvlText w:val="•"/>
      <w:lvlJc w:val="left"/>
      <w:pPr>
        <w:ind w:left="603" w:hanging="256"/>
      </w:pPr>
      <w:rPr>
        <w:lang w:val="en-US" w:eastAsia="en-US" w:bidi="ar-SA"/>
      </w:rPr>
    </w:lvl>
    <w:lvl w:ilvl="2" w:tplc="A308F0B0">
      <w:numFmt w:val="bullet"/>
      <w:lvlText w:val="•"/>
      <w:lvlJc w:val="left"/>
      <w:pPr>
        <w:ind w:left="1087" w:hanging="256"/>
      </w:pPr>
      <w:rPr>
        <w:lang w:val="en-US" w:eastAsia="en-US" w:bidi="ar-SA"/>
      </w:rPr>
    </w:lvl>
    <w:lvl w:ilvl="3" w:tplc="24B0DA5E">
      <w:numFmt w:val="bullet"/>
      <w:lvlText w:val="•"/>
      <w:lvlJc w:val="left"/>
      <w:pPr>
        <w:ind w:left="1571" w:hanging="256"/>
      </w:pPr>
      <w:rPr>
        <w:lang w:val="en-US" w:eastAsia="en-US" w:bidi="ar-SA"/>
      </w:rPr>
    </w:lvl>
    <w:lvl w:ilvl="4" w:tplc="DBAE4BB2">
      <w:numFmt w:val="bullet"/>
      <w:lvlText w:val="•"/>
      <w:lvlJc w:val="left"/>
      <w:pPr>
        <w:ind w:left="2055" w:hanging="256"/>
      </w:pPr>
      <w:rPr>
        <w:lang w:val="en-US" w:eastAsia="en-US" w:bidi="ar-SA"/>
      </w:rPr>
    </w:lvl>
    <w:lvl w:ilvl="5" w:tplc="456CC9A8">
      <w:numFmt w:val="bullet"/>
      <w:lvlText w:val="•"/>
      <w:lvlJc w:val="left"/>
      <w:pPr>
        <w:ind w:left="2539" w:hanging="256"/>
      </w:pPr>
      <w:rPr>
        <w:lang w:val="en-US" w:eastAsia="en-US" w:bidi="ar-SA"/>
      </w:rPr>
    </w:lvl>
    <w:lvl w:ilvl="6" w:tplc="CB8A0404">
      <w:numFmt w:val="bullet"/>
      <w:lvlText w:val="•"/>
      <w:lvlJc w:val="left"/>
      <w:pPr>
        <w:ind w:left="3023" w:hanging="256"/>
      </w:pPr>
      <w:rPr>
        <w:lang w:val="en-US" w:eastAsia="en-US" w:bidi="ar-SA"/>
      </w:rPr>
    </w:lvl>
    <w:lvl w:ilvl="7" w:tplc="7336775A">
      <w:numFmt w:val="bullet"/>
      <w:lvlText w:val="•"/>
      <w:lvlJc w:val="left"/>
      <w:pPr>
        <w:ind w:left="3507" w:hanging="256"/>
      </w:pPr>
      <w:rPr>
        <w:lang w:val="en-US" w:eastAsia="en-US" w:bidi="ar-SA"/>
      </w:rPr>
    </w:lvl>
    <w:lvl w:ilvl="8" w:tplc="534282A0">
      <w:numFmt w:val="bullet"/>
      <w:lvlText w:val="•"/>
      <w:lvlJc w:val="left"/>
      <w:pPr>
        <w:ind w:left="3991" w:hanging="256"/>
      </w:pPr>
      <w:rPr>
        <w:lang w:val="en-US" w:eastAsia="en-US" w:bidi="ar-SA"/>
      </w:rPr>
    </w:lvl>
  </w:abstractNum>
  <w:abstractNum w:abstractNumId="6" w15:restartNumberingAfterBreak="0">
    <w:nsid w:val="07A61A7C"/>
    <w:multiLevelType w:val="hybridMultilevel"/>
    <w:tmpl w:val="9A2283A2"/>
    <w:lvl w:ilvl="0" w:tplc="62D2957A">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18B64686">
      <w:numFmt w:val="bullet"/>
      <w:lvlText w:val="•"/>
      <w:lvlJc w:val="left"/>
      <w:pPr>
        <w:ind w:left="837" w:hanging="256"/>
      </w:pPr>
      <w:rPr>
        <w:lang w:val="en-US" w:eastAsia="en-US" w:bidi="ar-SA"/>
      </w:rPr>
    </w:lvl>
    <w:lvl w:ilvl="2" w:tplc="DF0A1842">
      <w:numFmt w:val="bullet"/>
      <w:lvlText w:val="•"/>
      <w:lvlJc w:val="left"/>
      <w:pPr>
        <w:ind w:left="1295" w:hanging="256"/>
      </w:pPr>
      <w:rPr>
        <w:lang w:val="en-US" w:eastAsia="en-US" w:bidi="ar-SA"/>
      </w:rPr>
    </w:lvl>
    <w:lvl w:ilvl="3" w:tplc="EFFC3B8C">
      <w:numFmt w:val="bullet"/>
      <w:lvlText w:val="•"/>
      <w:lvlJc w:val="left"/>
      <w:pPr>
        <w:ind w:left="1753" w:hanging="256"/>
      </w:pPr>
      <w:rPr>
        <w:lang w:val="en-US" w:eastAsia="en-US" w:bidi="ar-SA"/>
      </w:rPr>
    </w:lvl>
    <w:lvl w:ilvl="4" w:tplc="DA1CF480">
      <w:numFmt w:val="bullet"/>
      <w:lvlText w:val="•"/>
      <w:lvlJc w:val="left"/>
      <w:pPr>
        <w:ind w:left="2211" w:hanging="256"/>
      </w:pPr>
      <w:rPr>
        <w:lang w:val="en-US" w:eastAsia="en-US" w:bidi="ar-SA"/>
      </w:rPr>
    </w:lvl>
    <w:lvl w:ilvl="5" w:tplc="7BACDBE8">
      <w:numFmt w:val="bullet"/>
      <w:lvlText w:val="•"/>
      <w:lvlJc w:val="left"/>
      <w:pPr>
        <w:ind w:left="2669" w:hanging="256"/>
      </w:pPr>
      <w:rPr>
        <w:lang w:val="en-US" w:eastAsia="en-US" w:bidi="ar-SA"/>
      </w:rPr>
    </w:lvl>
    <w:lvl w:ilvl="6" w:tplc="F042BE7E">
      <w:numFmt w:val="bullet"/>
      <w:lvlText w:val="•"/>
      <w:lvlJc w:val="left"/>
      <w:pPr>
        <w:ind w:left="3127" w:hanging="256"/>
      </w:pPr>
      <w:rPr>
        <w:lang w:val="en-US" w:eastAsia="en-US" w:bidi="ar-SA"/>
      </w:rPr>
    </w:lvl>
    <w:lvl w:ilvl="7" w:tplc="7AF23C44">
      <w:numFmt w:val="bullet"/>
      <w:lvlText w:val="•"/>
      <w:lvlJc w:val="left"/>
      <w:pPr>
        <w:ind w:left="3585" w:hanging="256"/>
      </w:pPr>
      <w:rPr>
        <w:lang w:val="en-US" w:eastAsia="en-US" w:bidi="ar-SA"/>
      </w:rPr>
    </w:lvl>
    <w:lvl w:ilvl="8" w:tplc="70980CFE">
      <w:numFmt w:val="bullet"/>
      <w:lvlText w:val="•"/>
      <w:lvlJc w:val="left"/>
      <w:pPr>
        <w:ind w:left="4043" w:hanging="256"/>
      </w:pPr>
      <w:rPr>
        <w:lang w:val="en-US" w:eastAsia="en-US" w:bidi="ar-SA"/>
      </w:rPr>
    </w:lvl>
  </w:abstractNum>
  <w:abstractNum w:abstractNumId="7" w15:restartNumberingAfterBreak="0">
    <w:nsid w:val="09EC4190"/>
    <w:multiLevelType w:val="hybridMultilevel"/>
    <w:tmpl w:val="6A0472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B26C4D"/>
    <w:multiLevelType w:val="hybridMultilevel"/>
    <w:tmpl w:val="274C0F06"/>
    <w:lvl w:ilvl="0" w:tplc="9C20E014">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0DB8B12C">
      <w:numFmt w:val="bullet"/>
      <w:lvlText w:val="•"/>
      <w:lvlJc w:val="left"/>
      <w:pPr>
        <w:ind w:left="883" w:hanging="256"/>
      </w:pPr>
      <w:rPr>
        <w:lang w:val="en-US" w:eastAsia="en-US" w:bidi="ar-SA"/>
      </w:rPr>
    </w:lvl>
    <w:lvl w:ilvl="2" w:tplc="655021A4">
      <w:numFmt w:val="bullet"/>
      <w:lvlText w:val="•"/>
      <w:lvlJc w:val="left"/>
      <w:pPr>
        <w:ind w:left="1386" w:hanging="256"/>
      </w:pPr>
      <w:rPr>
        <w:lang w:val="en-US" w:eastAsia="en-US" w:bidi="ar-SA"/>
      </w:rPr>
    </w:lvl>
    <w:lvl w:ilvl="3" w:tplc="FA542C10">
      <w:numFmt w:val="bullet"/>
      <w:lvlText w:val="•"/>
      <w:lvlJc w:val="left"/>
      <w:pPr>
        <w:ind w:left="1889" w:hanging="256"/>
      </w:pPr>
      <w:rPr>
        <w:lang w:val="en-US" w:eastAsia="en-US" w:bidi="ar-SA"/>
      </w:rPr>
    </w:lvl>
    <w:lvl w:ilvl="4" w:tplc="D18444FA">
      <w:numFmt w:val="bullet"/>
      <w:lvlText w:val="•"/>
      <w:lvlJc w:val="left"/>
      <w:pPr>
        <w:ind w:left="2392" w:hanging="256"/>
      </w:pPr>
      <w:rPr>
        <w:lang w:val="en-US" w:eastAsia="en-US" w:bidi="ar-SA"/>
      </w:rPr>
    </w:lvl>
    <w:lvl w:ilvl="5" w:tplc="79F89F7A">
      <w:numFmt w:val="bullet"/>
      <w:lvlText w:val="•"/>
      <w:lvlJc w:val="left"/>
      <w:pPr>
        <w:ind w:left="2895" w:hanging="256"/>
      </w:pPr>
      <w:rPr>
        <w:lang w:val="en-US" w:eastAsia="en-US" w:bidi="ar-SA"/>
      </w:rPr>
    </w:lvl>
    <w:lvl w:ilvl="6" w:tplc="735AA7EA">
      <w:numFmt w:val="bullet"/>
      <w:lvlText w:val="•"/>
      <w:lvlJc w:val="left"/>
      <w:pPr>
        <w:ind w:left="3398" w:hanging="256"/>
      </w:pPr>
      <w:rPr>
        <w:lang w:val="en-US" w:eastAsia="en-US" w:bidi="ar-SA"/>
      </w:rPr>
    </w:lvl>
    <w:lvl w:ilvl="7" w:tplc="2AD45CB0">
      <w:numFmt w:val="bullet"/>
      <w:lvlText w:val="•"/>
      <w:lvlJc w:val="left"/>
      <w:pPr>
        <w:ind w:left="3901" w:hanging="256"/>
      </w:pPr>
      <w:rPr>
        <w:lang w:val="en-US" w:eastAsia="en-US" w:bidi="ar-SA"/>
      </w:rPr>
    </w:lvl>
    <w:lvl w:ilvl="8" w:tplc="4920B7F2">
      <w:numFmt w:val="bullet"/>
      <w:lvlText w:val="•"/>
      <w:lvlJc w:val="left"/>
      <w:pPr>
        <w:ind w:left="4404" w:hanging="256"/>
      </w:pPr>
      <w:rPr>
        <w:lang w:val="en-US" w:eastAsia="en-US" w:bidi="ar-SA"/>
      </w:rPr>
    </w:lvl>
  </w:abstractNum>
  <w:abstractNum w:abstractNumId="9" w15:restartNumberingAfterBreak="0">
    <w:nsid w:val="109A24DB"/>
    <w:multiLevelType w:val="hybridMultilevel"/>
    <w:tmpl w:val="615A3AE0"/>
    <w:lvl w:ilvl="0" w:tplc="03CAB69C">
      <w:numFmt w:val="bullet"/>
      <w:lvlText w:val="■"/>
      <w:lvlJc w:val="left"/>
      <w:pPr>
        <w:ind w:left="118" w:hanging="256"/>
      </w:pPr>
      <w:rPr>
        <w:rFonts w:ascii="MS UI Gothic" w:eastAsia="MS UI Gothic" w:hAnsi="MS UI Gothic" w:cs="MS UI Gothic" w:hint="eastAsia"/>
        <w:w w:val="100"/>
        <w:sz w:val="20"/>
        <w:szCs w:val="20"/>
        <w:lang w:val="en-US" w:eastAsia="en-US" w:bidi="ar-SA"/>
      </w:rPr>
    </w:lvl>
    <w:lvl w:ilvl="1" w:tplc="2C6A2B2C">
      <w:numFmt w:val="bullet"/>
      <w:lvlText w:val="•"/>
      <w:lvlJc w:val="left"/>
      <w:pPr>
        <w:ind w:left="603" w:hanging="256"/>
      </w:pPr>
      <w:rPr>
        <w:lang w:val="en-US" w:eastAsia="en-US" w:bidi="ar-SA"/>
      </w:rPr>
    </w:lvl>
    <w:lvl w:ilvl="2" w:tplc="AAAC228A">
      <w:numFmt w:val="bullet"/>
      <w:lvlText w:val="•"/>
      <w:lvlJc w:val="left"/>
      <w:pPr>
        <w:ind w:left="1087" w:hanging="256"/>
      </w:pPr>
      <w:rPr>
        <w:lang w:val="en-US" w:eastAsia="en-US" w:bidi="ar-SA"/>
      </w:rPr>
    </w:lvl>
    <w:lvl w:ilvl="3" w:tplc="7556BFDE">
      <w:numFmt w:val="bullet"/>
      <w:lvlText w:val="•"/>
      <w:lvlJc w:val="left"/>
      <w:pPr>
        <w:ind w:left="1571" w:hanging="256"/>
      </w:pPr>
      <w:rPr>
        <w:lang w:val="en-US" w:eastAsia="en-US" w:bidi="ar-SA"/>
      </w:rPr>
    </w:lvl>
    <w:lvl w:ilvl="4" w:tplc="4CE41C2A">
      <w:numFmt w:val="bullet"/>
      <w:lvlText w:val="•"/>
      <w:lvlJc w:val="left"/>
      <w:pPr>
        <w:ind w:left="2055" w:hanging="256"/>
      </w:pPr>
      <w:rPr>
        <w:lang w:val="en-US" w:eastAsia="en-US" w:bidi="ar-SA"/>
      </w:rPr>
    </w:lvl>
    <w:lvl w:ilvl="5" w:tplc="E8DE489C">
      <w:numFmt w:val="bullet"/>
      <w:lvlText w:val="•"/>
      <w:lvlJc w:val="left"/>
      <w:pPr>
        <w:ind w:left="2539" w:hanging="256"/>
      </w:pPr>
      <w:rPr>
        <w:lang w:val="en-US" w:eastAsia="en-US" w:bidi="ar-SA"/>
      </w:rPr>
    </w:lvl>
    <w:lvl w:ilvl="6" w:tplc="D756AF9A">
      <w:numFmt w:val="bullet"/>
      <w:lvlText w:val="•"/>
      <w:lvlJc w:val="left"/>
      <w:pPr>
        <w:ind w:left="3023" w:hanging="256"/>
      </w:pPr>
      <w:rPr>
        <w:lang w:val="en-US" w:eastAsia="en-US" w:bidi="ar-SA"/>
      </w:rPr>
    </w:lvl>
    <w:lvl w:ilvl="7" w:tplc="54C8ED88">
      <w:numFmt w:val="bullet"/>
      <w:lvlText w:val="•"/>
      <w:lvlJc w:val="left"/>
      <w:pPr>
        <w:ind w:left="3507" w:hanging="256"/>
      </w:pPr>
      <w:rPr>
        <w:lang w:val="en-US" w:eastAsia="en-US" w:bidi="ar-SA"/>
      </w:rPr>
    </w:lvl>
    <w:lvl w:ilvl="8" w:tplc="31E21432">
      <w:numFmt w:val="bullet"/>
      <w:lvlText w:val="•"/>
      <w:lvlJc w:val="left"/>
      <w:pPr>
        <w:ind w:left="3991" w:hanging="256"/>
      </w:pPr>
      <w:rPr>
        <w:lang w:val="en-US" w:eastAsia="en-US" w:bidi="ar-SA"/>
      </w:rPr>
    </w:lvl>
  </w:abstractNum>
  <w:abstractNum w:abstractNumId="10" w15:restartNumberingAfterBreak="0">
    <w:nsid w:val="10D74E6F"/>
    <w:multiLevelType w:val="hybridMultilevel"/>
    <w:tmpl w:val="98B2840C"/>
    <w:lvl w:ilvl="0" w:tplc="5E3CB164">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B8E0EE06">
      <w:numFmt w:val="bullet"/>
      <w:lvlText w:val="•"/>
      <w:lvlJc w:val="left"/>
      <w:pPr>
        <w:ind w:left="883" w:hanging="256"/>
      </w:pPr>
      <w:rPr>
        <w:lang w:val="en-US" w:eastAsia="en-US" w:bidi="ar-SA"/>
      </w:rPr>
    </w:lvl>
    <w:lvl w:ilvl="2" w:tplc="20629000">
      <w:numFmt w:val="bullet"/>
      <w:lvlText w:val="•"/>
      <w:lvlJc w:val="left"/>
      <w:pPr>
        <w:ind w:left="1386" w:hanging="256"/>
      </w:pPr>
      <w:rPr>
        <w:lang w:val="en-US" w:eastAsia="en-US" w:bidi="ar-SA"/>
      </w:rPr>
    </w:lvl>
    <w:lvl w:ilvl="3" w:tplc="E63295D4">
      <w:numFmt w:val="bullet"/>
      <w:lvlText w:val="•"/>
      <w:lvlJc w:val="left"/>
      <w:pPr>
        <w:ind w:left="1889" w:hanging="256"/>
      </w:pPr>
      <w:rPr>
        <w:lang w:val="en-US" w:eastAsia="en-US" w:bidi="ar-SA"/>
      </w:rPr>
    </w:lvl>
    <w:lvl w:ilvl="4" w:tplc="71B47192">
      <w:numFmt w:val="bullet"/>
      <w:lvlText w:val="•"/>
      <w:lvlJc w:val="left"/>
      <w:pPr>
        <w:ind w:left="2392" w:hanging="256"/>
      </w:pPr>
      <w:rPr>
        <w:lang w:val="en-US" w:eastAsia="en-US" w:bidi="ar-SA"/>
      </w:rPr>
    </w:lvl>
    <w:lvl w:ilvl="5" w:tplc="686C7D16">
      <w:numFmt w:val="bullet"/>
      <w:lvlText w:val="•"/>
      <w:lvlJc w:val="left"/>
      <w:pPr>
        <w:ind w:left="2895" w:hanging="256"/>
      </w:pPr>
      <w:rPr>
        <w:lang w:val="en-US" w:eastAsia="en-US" w:bidi="ar-SA"/>
      </w:rPr>
    </w:lvl>
    <w:lvl w:ilvl="6" w:tplc="40FEC738">
      <w:numFmt w:val="bullet"/>
      <w:lvlText w:val="•"/>
      <w:lvlJc w:val="left"/>
      <w:pPr>
        <w:ind w:left="3398" w:hanging="256"/>
      </w:pPr>
      <w:rPr>
        <w:lang w:val="en-US" w:eastAsia="en-US" w:bidi="ar-SA"/>
      </w:rPr>
    </w:lvl>
    <w:lvl w:ilvl="7" w:tplc="38BAAF20">
      <w:numFmt w:val="bullet"/>
      <w:lvlText w:val="•"/>
      <w:lvlJc w:val="left"/>
      <w:pPr>
        <w:ind w:left="3901" w:hanging="256"/>
      </w:pPr>
      <w:rPr>
        <w:lang w:val="en-US" w:eastAsia="en-US" w:bidi="ar-SA"/>
      </w:rPr>
    </w:lvl>
    <w:lvl w:ilvl="8" w:tplc="E3C45E78">
      <w:numFmt w:val="bullet"/>
      <w:lvlText w:val="•"/>
      <w:lvlJc w:val="left"/>
      <w:pPr>
        <w:ind w:left="4404" w:hanging="256"/>
      </w:pPr>
      <w:rPr>
        <w:lang w:val="en-US" w:eastAsia="en-US" w:bidi="ar-SA"/>
      </w:rPr>
    </w:lvl>
  </w:abstractNum>
  <w:abstractNum w:abstractNumId="11" w15:restartNumberingAfterBreak="0">
    <w:nsid w:val="12516400"/>
    <w:multiLevelType w:val="hybridMultilevel"/>
    <w:tmpl w:val="3FB6768A"/>
    <w:lvl w:ilvl="0" w:tplc="2BEC8A3C">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A328B1D8">
      <w:numFmt w:val="bullet"/>
      <w:lvlText w:val="•"/>
      <w:lvlJc w:val="left"/>
      <w:pPr>
        <w:ind w:left="883" w:hanging="256"/>
      </w:pPr>
      <w:rPr>
        <w:lang w:val="en-US" w:eastAsia="en-US" w:bidi="ar-SA"/>
      </w:rPr>
    </w:lvl>
    <w:lvl w:ilvl="2" w:tplc="3168D604">
      <w:numFmt w:val="bullet"/>
      <w:lvlText w:val="•"/>
      <w:lvlJc w:val="left"/>
      <w:pPr>
        <w:ind w:left="1386" w:hanging="256"/>
      </w:pPr>
      <w:rPr>
        <w:lang w:val="en-US" w:eastAsia="en-US" w:bidi="ar-SA"/>
      </w:rPr>
    </w:lvl>
    <w:lvl w:ilvl="3" w:tplc="FA369330">
      <w:numFmt w:val="bullet"/>
      <w:lvlText w:val="•"/>
      <w:lvlJc w:val="left"/>
      <w:pPr>
        <w:ind w:left="1889" w:hanging="256"/>
      </w:pPr>
      <w:rPr>
        <w:lang w:val="en-US" w:eastAsia="en-US" w:bidi="ar-SA"/>
      </w:rPr>
    </w:lvl>
    <w:lvl w:ilvl="4" w:tplc="07E2A7D2">
      <w:numFmt w:val="bullet"/>
      <w:lvlText w:val="•"/>
      <w:lvlJc w:val="left"/>
      <w:pPr>
        <w:ind w:left="2392" w:hanging="256"/>
      </w:pPr>
      <w:rPr>
        <w:lang w:val="en-US" w:eastAsia="en-US" w:bidi="ar-SA"/>
      </w:rPr>
    </w:lvl>
    <w:lvl w:ilvl="5" w:tplc="AECC4E48">
      <w:numFmt w:val="bullet"/>
      <w:lvlText w:val="•"/>
      <w:lvlJc w:val="left"/>
      <w:pPr>
        <w:ind w:left="2895" w:hanging="256"/>
      </w:pPr>
      <w:rPr>
        <w:lang w:val="en-US" w:eastAsia="en-US" w:bidi="ar-SA"/>
      </w:rPr>
    </w:lvl>
    <w:lvl w:ilvl="6" w:tplc="7B2491B0">
      <w:numFmt w:val="bullet"/>
      <w:lvlText w:val="•"/>
      <w:lvlJc w:val="left"/>
      <w:pPr>
        <w:ind w:left="3398" w:hanging="256"/>
      </w:pPr>
      <w:rPr>
        <w:lang w:val="en-US" w:eastAsia="en-US" w:bidi="ar-SA"/>
      </w:rPr>
    </w:lvl>
    <w:lvl w:ilvl="7" w:tplc="6F8E2CD8">
      <w:numFmt w:val="bullet"/>
      <w:lvlText w:val="•"/>
      <w:lvlJc w:val="left"/>
      <w:pPr>
        <w:ind w:left="3901" w:hanging="256"/>
      </w:pPr>
      <w:rPr>
        <w:lang w:val="en-US" w:eastAsia="en-US" w:bidi="ar-SA"/>
      </w:rPr>
    </w:lvl>
    <w:lvl w:ilvl="8" w:tplc="BC2C738C">
      <w:numFmt w:val="bullet"/>
      <w:lvlText w:val="•"/>
      <w:lvlJc w:val="left"/>
      <w:pPr>
        <w:ind w:left="4404" w:hanging="256"/>
      </w:pPr>
      <w:rPr>
        <w:lang w:val="en-US" w:eastAsia="en-US" w:bidi="ar-SA"/>
      </w:rPr>
    </w:lvl>
  </w:abstractNum>
  <w:abstractNum w:abstractNumId="12" w15:restartNumberingAfterBreak="0">
    <w:nsid w:val="1584227D"/>
    <w:multiLevelType w:val="hybridMultilevel"/>
    <w:tmpl w:val="9C922164"/>
    <w:lvl w:ilvl="0" w:tplc="4404D942">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4A283E8E">
      <w:numFmt w:val="bullet"/>
      <w:lvlText w:val="•"/>
      <w:lvlJc w:val="left"/>
      <w:pPr>
        <w:ind w:left="846" w:hanging="256"/>
      </w:pPr>
      <w:rPr>
        <w:lang w:val="en-US" w:eastAsia="en-US" w:bidi="ar-SA"/>
      </w:rPr>
    </w:lvl>
    <w:lvl w:ilvl="2" w:tplc="1B981830">
      <w:numFmt w:val="bullet"/>
      <w:lvlText w:val="•"/>
      <w:lvlJc w:val="left"/>
      <w:pPr>
        <w:ind w:left="1313" w:hanging="256"/>
      </w:pPr>
      <w:rPr>
        <w:lang w:val="en-US" w:eastAsia="en-US" w:bidi="ar-SA"/>
      </w:rPr>
    </w:lvl>
    <w:lvl w:ilvl="3" w:tplc="57F6E466">
      <w:numFmt w:val="bullet"/>
      <w:lvlText w:val="•"/>
      <w:lvlJc w:val="left"/>
      <w:pPr>
        <w:ind w:left="1780" w:hanging="256"/>
      </w:pPr>
      <w:rPr>
        <w:lang w:val="en-US" w:eastAsia="en-US" w:bidi="ar-SA"/>
      </w:rPr>
    </w:lvl>
    <w:lvl w:ilvl="4" w:tplc="BD84EDFA">
      <w:numFmt w:val="bullet"/>
      <w:lvlText w:val="•"/>
      <w:lvlJc w:val="left"/>
      <w:pPr>
        <w:ind w:left="2247" w:hanging="256"/>
      </w:pPr>
      <w:rPr>
        <w:lang w:val="en-US" w:eastAsia="en-US" w:bidi="ar-SA"/>
      </w:rPr>
    </w:lvl>
    <w:lvl w:ilvl="5" w:tplc="2160E064">
      <w:numFmt w:val="bullet"/>
      <w:lvlText w:val="•"/>
      <w:lvlJc w:val="left"/>
      <w:pPr>
        <w:ind w:left="2714" w:hanging="256"/>
      </w:pPr>
      <w:rPr>
        <w:lang w:val="en-US" w:eastAsia="en-US" w:bidi="ar-SA"/>
      </w:rPr>
    </w:lvl>
    <w:lvl w:ilvl="6" w:tplc="E3FE1756">
      <w:numFmt w:val="bullet"/>
      <w:lvlText w:val="•"/>
      <w:lvlJc w:val="left"/>
      <w:pPr>
        <w:ind w:left="3181" w:hanging="256"/>
      </w:pPr>
      <w:rPr>
        <w:lang w:val="en-US" w:eastAsia="en-US" w:bidi="ar-SA"/>
      </w:rPr>
    </w:lvl>
    <w:lvl w:ilvl="7" w:tplc="8D2A17DA">
      <w:numFmt w:val="bullet"/>
      <w:lvlText w:val="•"/>
      <w:lvlJc w:val="left"/>
      <w:pPr>
        <w:ind w:left="3648" w:hanging="256"/>
      </w:pPr>
      <w:rPr>
        <w:lang w:val="en-US" w:eastAsia="en-US" w:bidi="ar-SA"/>
      </w:rPr>
    </w:lvl>
    <w:lvl w:ilvl="8" w:tplc="64627AEA">
      <w:numFmt w:val="bullet"/>
      <w:lvlText w:val="•"/>
      <w:lvlJc w:val="left"/>
      <w:pPr>
        <w:ind w:left="4115" w:hanging="256"/>
      </w:pPr>
      <w:rPr>
        <w:lang w:val="en-US" w:eastAsia="en-US" w:bidi="ar-SA"/>
      </w:rPr>
    </w:lvl>
  </w:abstractNum>
  <w:abstractNum w:abstractNumId="13" w15:restartNumberingAfterBreak="0">
    <w:nsid w:val="15BA2826"/>
    <w:multiLevelType w:val="hybridMultilevel"/>
    <w:tmpl w:val="FAD8DB3A"/>
    <w:lvl w:ilvl="0" w:tplc="CE90DEC0">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18BEB1AA">
      <w:numFmt w:val="bullet"/>
      <w:lvlText w:val="•"/>
      <w:lvlJc w:val="left"/>
      <w:pPr>
        <w:ind w:left="603" w:hanging="256"/>
      </w:pPr>
      <w:rPr>
        <w:lang w:val="en-US" w:eastAsia="en-US" w:bidi="ar-SA"/>
      </w:rPr>
    </w:lvl>
    <w:lvl w:ilvl="2" w:tplc="52585402">
      <w:numFmt w:val="bullet"/>
      <w:lvlText w:val="•"/>
      <w:lvlJc w:val="left"/>
      <w:pPr>
        <w:ind w:left="1087" w:hanging="256"/>
      </w:pPr>
      <w:rPr>
        <w:lang w:val="en-US" w:eastAsia="en-US" w:bidi="ar-SA"/>
      </w:rPr>
    </w:lvl>
    <w:lvl w:ilvl="3" w:tplc="5A583730">
      <w:numFmt w:val="bullet"/>
      <w:lvlText w:val="•"/>
      <w:lvlJc w:val="left"/>
      <w:pPr>
        <w:ind w:left="1571" w:hanging="256"/>
      </w:pPr>
      <w:rPr>
        <w:lang w:val="en-US" w:eastAsia="en-US" w:bidi="ar-SA"/>
      </w:rPr>
    </w:lvl>
    <w:lvl w:ilvl="4" w:tplc="A76A30DC">
      <w:numFmt w:val="bullet"/>
      <w:lvlText w:val="•"/>
      <w:lvlJc w:val="left"/>
      <w:pPr>
        <w:ind w:left="2055" w:hanging="256"/>
      </w:pPr>
      <w:rPr>
        <w:lang w:val="en-US" w:eastAsia="en-US" w:bidi="ar-SA"/>
      </w:rPr>
    </w:lvl>
    <w:lvl w:ilvl="5" w:tplc="BD2011E2">
      <w:numFmt w:val="bullet"/>
      <w:lvlText w:val="•"/>
      <w:lvlJc w:val="left"/>
      <w:pPr>
        <w:ind w:left="2539" w:hanging="256"/>
      </w:pPr>
      <w:rPr>
        <w:lang w:val="en-US" w:eastAsia="en-US" w:bidi="ar-SA"/>
      </w:rPr>
    </w:lvl>
    <w:lvl w:ilvl="6" w:tplc="66043CE0">
      <w:numFmt w:val="bullet"/>
      <w:lvlText w:val="•"/>
      <w:lvlJc w:val="left"/>
      <w:pPr>
        <w:ind w:left="3023" w:hanging="256"/>
      </w:pPr>
      <w:rPr>
        <w:lang w:val="en-US" w:eastAsia="en-US" w:bidi="ar-SA"/>
      </w:rPr>
    </w:lvl>
    <w:lvl w:ilvl="7" w:tplc="C972D90E">
      <w:numFmt w:val="bullet"/>
      <w:lvlText w:val="•"/>
      <w:lvlJc w:val="left"/>
      <w:pPr>
        <w:ind w:left="3507" w:hanging="256"/>
      </w:pPr>
      <w:rPr>
        <w:lang w:val="en-US" w:eastAsia="en-US" w:bidi="ar-SA"/>
      </w:rPr>
    </w:lvl>
    <w:lvl w:ilvl="8" w:tplc="835CF68C">
      <w:numFmt w:val="bullet"/>
      <w:lvlText w:val="•"/>
      <w:lvlJc w:val="left"/>
      <w:pPr>
        <w:ind w:left="3991" w:hanging="256"/>
      </w:pPr>
      <w:rPr>
        <w:lang w:val="en-US" w:eastAsia="en-US" w:bidi="ar-SA"/>
      </w:rPr>
    </w:lvl>
  </w:abstractNum>
  <w:abstractNum w:abstractNumId="14" w15:restartNumberingAfterBreak="0">
    <w:nsid w:val="18227336"/>
    <w:multiLevelType w:val="hybridMultilevel"/>
    <w:tmpl w:val="66FEB3FE"/>
    <w:lvl w:ilvl="0" w:tplc="9676D6F6">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19C2A168">
      <w:numFmt w:val="bullet"/>
      <w:lvlText w:val="•"/>
      <w:lvlJc w:val="left"/>
      <w:pPr>
        <w:ind w:left="846" w:hanging="256"/>
      </w:pPr>
      <w:rPr>
        <w:lang w:val="en-US" w:eastAsia="en-US" w:bidi="ar-SA"/>
      </w:rPr>
    </w:lvl>
    <w:lvl w:ilvl="2" w:tplc="885A4858">
      <w:numFmt w:val="bullet"/>
      <w:lvlText w:val="•"/>
      <w:lvlJc w:val="left"/>
      <w:pPr>
        <w:ind w:left="1313" w:hanging="256"/>
      </w:pPr>
      <w:rPr>
        <w:lang w:val="en-US" w:eastAsia="en-US" w:bidi="ar-SA"/>
      </w:rPr>
    </w:lvl>
    <w:lvl w:ilvl="3" w:tplc="C5DC0FF8">
      <w:numFmt w:val="bullet"/>
      <w:lvlText w:val="•"/>
      <w:lvlJc w:val="left"/>
      <w:pPr>
        <w:ind w:left="1780" w:hanging="256"/>
      </w:pPr>
      <w:rPr>
        <w:lang w:val="en-US" w:eastAsia="en-US" w:bidi="ar-SA"/>
      </w:rPr>
    </w:lvl>
    <w:lvl w:ilvl="4" w:tplc="ECD89D28">
      <w:numFmt w:val="bullet"/>
      <w:lvlText w:val="•"/>
      <w:lvlJc w:val="left"/>
      <w:pPr>
        <w:ind w:left="2247" w:hanging="256"/>
      </w:pPr>
      <w:rPr>
        <w:lang w:val="en-US" w:eastAsia="en-US" w:bidi="ar-SA"/>
      </w:rPr>
    </w:lvl>
    <w:lvl w:ilvl="5" w:tplc="8FE6CD2E">
      <w:numFmt w:val="bullet"/>
      <w:lvlText w:val="•"/>
      <w:lvlJc w:val="left"/>
      <w:pPr>
        <w:ind w:left="2714" w:hanging="256"/>
      </w:pPr>
      <w:rPr>
        <w:lang w:val="en-US" w:eastAsia="en-US" w:bidi="ar-SA"/>
      </w:rPr>
    </w:lvl>
    <w:lvl w:ilvl="6" w:tplc="EA8A39D2">
      <w:numFmt w:val="bullet"/>
      <w:lvlText w:val="•"/>
      <w:lvlJc w:val="left"/>
      <w:pPr>
        <w:ind w:left="3181" w:hanging="256"/>
      </w:pPr>
      <w:rPr>
        <w:lang w:val="en-US" w:eastAsia="en-US" w:bidi="ar-SA"/>
      </w:rPr>
    </w:lvl>
    <w:lvl w:ilvl="7" w:tplc="8690C6EA">
      <w:numFmt w:val="bullet"/>
      <w:lvlText w:val="•"/>
      <w:lvlJc w:val="left"/>
      <w:pPr>
        <w:ind w:left="3648" w:hanging="256"/>
      </w:pPr>
      <w:rPr>
        <w:lang w:val="en-US" w:eastAsia="en-US" w:bidi="ar-SA"/>
      </w:rPr>
    </w:lvl>
    <w:lvl w:ilvl="8" w:tplc="7B60B004">
      <w:numFmt w:val="bullet"/>
      <w:lvlText w:val="•"/>
      <w:lvlJc w:val="left"/>
      <w:pPr>
        <w:ind w:left="4115" w:hanging="256"/>
      </w:pPr>
      <w:rPr>
        <w:lang w:val="en-US" w:eastAsia="en-US" w:bidi="ar-SA"/>
      </w:rPr>
    </w:lvl>
  </w:abstractNum>
  <w:abstractNum w:abstractNumId="15" w15:restartNumberingAfterBreak="0">
    <w:nsid w:val="189249BE"/>
    <w:multiLevelType w:val="hybridMultilevel"/>
    <w:tmpl w:val="87AE8D98"/>
    <w:lvl w:ilvl="0" w:tplc="833AC212">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B0506F20">
      <w:numFmt w:val="bullet"/>
      <w:lvlText w:val="•"/>
      <w:lvlJc w:val="left"/>
      <w:pPr>
        <w:ind w:left="846" w:hanging="256"/>
      </w:pPr>
      <w:rPr>
        <w:lang w:val="en-US" w:eastAsia="en-US" w:bidi="ar-SA"/>
      </w:rPr>
    </w:lvl>
    <w:lvl w:ilvl="2" w:tplc="C2B4E5D0">
      <w:numFmt w:val="bullet"/>
      <w:lvlText w:val="•"/>
      <w:lvlJc w:val="left"/>
      <w:pPr>
        <w:ind w:left="1313" w:hanging="256"/>
      </w:pPr>
      <w:rPr>
        <w:lang w:val="en-US" w:eastAsia="en-US" w:bidi="ar-SA"/>
      </w:rPr>
    </w:lvl>
    <w:lvl w:ilvl="3" w:tplc="092C4F78">
      <w:numFmt w:val="bullet"/>
      <w:lvlText w:val="•"/>
      <w:lvlJc w:val="left"/>
      <w:pPr>
        <w:ind w:left="1780" w:hanging="256"/>
      </w:pPr>
      <w:rPr>
        <w:lang w:val="en-US" w:eastAsia="en-US" w:bidi="ar-SA"/>
      </w:rPr>
    </w:lvl>
    <w:lvl w:ilvl="4" w:tplc="0B8EA4A4">
      <w:numFmt w:val="bullet"/>
      <w:lvlText w:val="•"/>
      <w:lvlJc w:val="left"/>
      <w:pPr>
        <w:ind w:left="2247" w:hanging="256"/>
      </w:pPr>
      <w:rPr>
        <w:lang w:val="en-US" w:eastAsia="en-US" w:bidi="ar-SA"/>
      </w:rPr>
    </w:lvl>
    <w:lvl w:ilvl="5" w:tplc="BCACBA92">
      <w:numFmt w:val="bullet"/>
      <w:lvlText w:val="•"/>
      <w:lvlJc w:val="left"/>
      <w:pPr>
        <w:ind w:left="2714" w:hanging="256"/>
      </w:pPr>
      <w:rPr>
        <w:lang w:val="en-US" w:eastAsia="en-US" w:bidi="ar-SA"/>
      </w:rPr>
    </w:lvl>
    <w:lvl w:ilvl="6" w:tplc="F96E7676">
      <w:numFmt w:val="bullet"/>
      <w:lvlText w:val="•"/>
      <w:lvlJc w:val="left"/>
      <w:pPr>
        <w:ind w:left="3181" w:hanging="256"/>
      </w:pPr>
      <w:rPr>
        <w:lang w:val="en-US" w:eastAsia="en-US" w:bidi="ar-SA"/>
      </w:rPr>
    </w:lvl>
    <w:lvl w:ilvl="7" w:tplc="07D86E12">
      <w:numFmt w:val="bullet"/>
      <w:lvlText w:val="•"/>
      <w:lvlJc w:val="left"/>
      <w:pPr>
        <w:ind w:left="3648" w:hanging="256"/>
      </w:pPr>
      <w:rPr>
        <w:lang w:val="en-US" w:eastAsia="en-US" w:bidi="ar-SA"/>
      </w:rPr>
    </w:lvl>
    <w:lvl w:ilvl="8" w:tplc="3C669DD4">
      <w:numFmt w:val="bullet"/>
      <w:lvlText w:val="•"/>
      <w:lvlJc w:val="left"/>
      <w:pPr>
        <w:ind w:left="4115" w:hanging="256"/>
      </w:pPr>
      <w:rPr>
        <w:lang w:val="en-US" w:eastAsia="en-US" w:bidi="ar-SA"/>
      </w:rPr>
    </w:lvl>
  </w:abstractNum>
  <w:abstractNum w:abstractNumId="16" w15:restartNumberingAfterBreak="0">
    <w:nsid w:val="19D37AEA"/>
    <w:multiLevelType w:val="hybridMultilevel"/>
    <w:tmpl w:val="6EAAD394"/>
    <w:lvl w:ilvl="0" w:tplc="811A6622">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8760E604">
      <w:numFmt w:val="bullet"/>
      <w:lvlText w:val="•"/>
      <w:lvlJc w:val="left"/>
      <w:pPr>
        <w:ind w:left="603" w:hanging="256"/>
      </w:pPr>
      <w:rPr>
        <w:lang w:val="en-US" w:eastAsia="en-US" w:bidi="ar-SA"/>
      </w:rPr>
    </w:lvl>
    <w:lvl w:ilvl="2" w:tplc="EE14F9DC">
      <w:numFmt w:val="bullet"/>
      <w:lvlText w:val="•"/>
      <w:lvlJc w:val="left"/>
      <w:pPr>
        <w:ind w:left="1087" w:hanging="256"/>
      </w:pPr>
      <w:rPr>
        <w:lang w:val="en-US" w:eastAsia="en-US" w:bidi="ar-SA"/>
      </w:rPr>
    </w:lvl>
    <w:lvl w:ilvl="3" w:tplc="2BFCBBB8">
      <w:numFmt w:val="bullet"/>
      <w:lvlText w:val="•"/>
      <w:lvlJc w:val="left"/>
      <w:pPr>
        <w:ind w:left="1571" w:hanging="256"/>
      </w:pPr>
      <w:rPr>
        <w:lang w:val="en-US" w:eastAsia="en-US" w:bidi="ar-SA"/>
      </w:rPr>
    </w:lvl>
    <w:lvl w:ilvl="4" w:tplc="FD02BD9E">
      <w:numFmt w:val="bullet"/>
      <w:lvlText w:val="•"/>
      <w:lvlJc w:val="left"/>
      <w:pPr>
        <w:ind w:left="2055" w:hanging="256"/>
      </w:pPr>
      <w:rPr>
        <w:lang w:val="en-US" w:eastAsia="en-US" w:bidi="ar-SA"/>
      </w:rPr>
    </w:lvl>
    <w:lvl w:ilvl="5" w:tplc="07324B64">
      <w:numFmt w:val="bullet"/>
      <w:lvlText w:val="•"/>
      <w:lvlJc w:val="left"/>
      <w:pPr>
        <w:ind w:left="2539" w:hanging="256"/>
      </w:pPr>
      <w:rPr>
        <w:lang w:val="en-US" w:eastAsia="en-US" w:bidi="ar-SA"/>
      </w:rPr>
    </w:lvl>
    <w:lvl w:ilvl="6" w:tplc="B1604A0E">
      <w:numFmt w:val="bullet"/>
      <w:lvlText w:val="•"/>
      <w:lvlJc w:val="left"/>
      <w:pPr>
        <w:ind w:left="3023" w:hanging="256"/>
      </w:pPr>
      <w:rPr>
        <w:lang w:val="en-US" w:eastAsia="en-US" w:bidi="ar-SA"/>
      </w:rPr>
    </w:lvl>
    <w:lvl w:ilvl="7" w:tplc="84CAD798">
      <w:numFmt w:val="bullet"/>
      <w:lvlText w:val="•"/>
      <w:lvlJc w:val="left"/>
      <w:pPr>
        <w:ind w:left="3507" w:hanging="256"/>
      </w:pPr>
      <w:rPr>
        <w:lang w:val="en-US" w:eastAsia="en-US" w:bidi="ar-SA"/>
      </w:rPr>
    </w:lvl>
    <w:lvl w:ilvl="8" w:tplc="70260332">
      <w:numFmt w:val="bullet"/>
      <w:lvlText w:val="•"/>
      <w:lvlJc w:val="left"/>
      <w:pPr>
        <w:ind w:left="3991" w:hanging="256"/>
      </w:pPr>
      <w:rPr>
        <w:lang w:val="en-US" w:eastAsia="en-US" w:bidi="ar-SA"/>
      </w:rPr>
    </w:lvl>
  </w:abstractNum>
  <w:abstractNum w:abstractNumId="17" w15:restartNumberingAfterBreak="0">
    <w:nsid w:val="19E76978"/>
    <w:multiLevelType w:val="hybridMultilevel"/>
    <w:tmpl w:val="EA3EDA72"/>
    <w:lvl w:ilvl="0" w:tplc="F7A65D90">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DE3E7900">
      <w:numFmt w:val="bullet"/>
      <w:lvlText w:val="•"/>
      <w:lvlJc w:val="left"/>
      <w:pPr>
        <w:ind w:left="928" w:hanging="256"/>
      </w:pPr>
      <w:rPr>
        <w:lang w:val="en-US" w:eastAsia="en-US" w:bidi="ar-SA"/>
      </w:rPr>
    </w:lvl>
    <w:lvl w:ilvl="2" w:tplc="855CB546">
      <w:numFmt w:val="bullet"/>
      <w:lvlText w:val="•"/>
      <w:lvlJc w:val="left"/>
      <w:pPr>
        <w:ind w:left="1476" w:hanging="256"/>
      </w:pPr>
      <w:rPr>
        <w:lang w:val="en-US" w:eastAsia="en-US" w:bidi="ar-SA"/>
      </w:rPr>
    </w:lvl>
    <w:lvl w:ilvl="3" w:tplc="E1A66124">
      <w:numFmt w:val="bullet"/>
      <w:lvlText w:val="•"/>
      <w:lvlJc w:val="left"/>
      <w:pPr>
        <w:ind w:left="2024" w:hanging="256"/>
      </w:pPr>
      <w:rPr>
        <w:lang w:val="en-US" w:eastAsia="en-US" w:bidi="ar-SA"/>
      </w:rPr>
    </w:lvl>
    <w:lvl w:ilvl="4" w:tplc="0DB89726">
      <w:numFmt w:val="bullet"/>
      <w:lvlText w:val="•"/>
      <w:lvlJc w:val="left"/>
      <w:pPr>
        <w:ind w:left="2572" w:hanging="256"/>
      </w:pPr>
      <w:rPr>
        <w:lang w:val="en-US" w:eastAsia="en-US" w:bidi="ar-SA"/>
      </w:rPr>
    </w:lvl>
    <w:lvl w:ilvl="5" w:tplc="072EC0B6">
      <w:numFmt w:val="bullet"/>
      <w:lvlText w:val="•"/>
      <w:lvlJc w:val="left"/>
      <w:pPr>
        <w:ind w:left="3121" w:hanging="256"/>
      </w:pPr>
      <w:rPr>
        <w:lang w:val="en-US" w:eastAsia="en-US" w:bidi="ar-SA"/>
      </w:rPr>
    </w:lvl>
    <w:lvl w:ilvl="6" w:tplc="9EC454FE">
      <w:numFmt w:val="bullet"/>
      <w:lvlText w:val="•"/>
      <w:lvlJc w:val="left"/>
      <w:pPr>
        <w:ind w:left="3669" w:hanging="256"/>
      </w:pPr>
      <w:rPr>
        <w:lang w:val="en-US" w:eastAsia="en-US" w:bidi="ar-SA"/>
      </w:rPr>
    </w:lvl>
    <w:lvl w:ilvl="7" w:tplc="E850F8D4">
      <w:numFmt w:val="bullet"/>
      <w:lvlText w:val="•"/>
      <w:lvlJc w:val="left"/>
      <w:pPr>
        <w:ind w:left="4217" w:hanging="256"/>
      </w:pPr>
      <w:rPr>
        <w:lang w:val="en-US" w:eastAsia="en-US" w:bidi="ar-SA"/>
      </w:rPr>
    </w:lvl>
    <w:lvl w:ilvl="8" w:tplc="618241EC">
      <w:numFmt w:val="bullet"/>
      <w:lvlText w:val="•"/>
      <w:lvlJc w:val="left"/>
      <w:pPr>
        <w:ind w:left="4765" w:hanging="256"/>
      </w:pPr>
      <w:rPr>
        <w:lang w:val="en-US" w:eastAsia="en-US" w:bidi="ar-SA"/>
      </w:rPr>
    </w:lvl>
  </w:abstractNum>
  <w:abstractNum w:abstractNumId="18" w15:restartNumberingAfterBreak="0">
    <w:nsid w:val="1C563B5D"/>
    <w:multiLevelType w:val="hybridMultilevel"/>
    <w:tmpl w:val="36A84E58"/>
    <w:lvl w:ilvl="0" w:tplc="D4649A76">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341C8F48">
      <w:numFmt w:val="bullet"/>
      <w:lvlText w:val="•"/>
      <w:lvlJc w:val="left"/>
      <w:pPr>
        <w:ind w:left="603" w:hanging="256"/>
      </w:pPr>
      <w:rPr>
        <w:lang w:val="en-US" w:eastAsia="en-US" w:bidi="ar-SA"/>
      </w:rPr>
    </w:lvl>
    <w:lvl w:ilvl="2" w:tplc="5FC0D032">
      <w:numFmt w:val="bullet"/>
      <w:lvlText w:val="•"/>
      <w:lvlJc w:val="left"/>
      <w:pPr>
        <w:ind w:left="1087" w:hanging="256"/>
      </w:pPr>
      <w:rPr>
        <w:lang w:val="en-US" w:eastAsia="en-US" w:bidi="ar-SA"/>
      </w:rPr>
    </w:lvl>
    <w:lvl w:ilvl="3" w:tplc="A5006A1C">
      <w:numFmt w:val="bullet"/>
      <w:lvlText w:val="•"/>
      <w:lvlJc w:val="left"/>
      <w:pPr>
        <w:ind w:left="1571" w:hanging="256"/>
      </w:pPr>
      <w:rPr>
        <w:lang w:val="en-US" w:eastAsia="en-US" w:bidi="ar-SA"/>
      </w:rPr>
    </w:lvl>
    <w:lvl w:ilvl="4" w:tplc="33A6B848">
      <w:numFmt w:val="bullet"/>
      <w:lvlText w:val="•"/>
      <w:lvlJc w:val="left"/>
      <w:pPr>
        <w:ind w:left="2055" w:hanging="256"/>
      </w:pPr>
      <w:rPr>
        <w:lang w:val="en-US" w:eastAsia="en-US" w:bidi="ar-SA"/>
      </w:rPr>
    </w:lvl>
    <w:lvl w:ilvl="5" w:tplc="3EB05FE8">
      <w:numFmt w:val="bullet"/>
      <w:lvlText w:val="•"/>
      <w:lvlJc w:val="left"/>
      <w:pPr>
        <w:ind w:left="2539" w:hanging="256"/>
      </w:pPr>
      <w:rPr>
        <w:lang w:val="en-US" w:eastAsia="en-US" w:bidi="ar-SA"/>
      </w:rPr>
    </w:lvl>
    <w:lvl w:ilvl="6" w:tplc="D8667170">
      <w:numFmt w:val="bullet"/>
      <w:lvlText w:val="•"/>
      <w:lvlJc w:val="left"/>
      <w:pPr>
        <w:ind w:left="3023" w:hanging="256"/>
      </w:pPr>
      <w:rPr>
        <w:lang w:val="en-US" w:eastAsia="en-US" w:bidi="ar-SA"/>
      </w:rPr>
    </w:lvl>
    <w:lvl w:ilvl="7" w:tplc="768A302A">
      <w:numFmt w:val="bullet"/>
      <w:lvlText w:val="•"/>
      <w:lvlJc w:val="left"/>
      <w:pPr>
        <w:ind w:left="3507" w:hanging="256"/>
      </w:pPr>
      <w:rPr>
        <w:lang w:val="en-US" w:eastAsia="en-US" w:bidi="ar-SA"/>
      </w:rPr>
    </w:lvl>
    <w:lvl w:ilvl="8" w:tplc="48CE7996">
      <w:numFmt w:val="bullet"/>
      <w:lvlText w:val="•"/>
      <w:lvlJc w:val="left"/>
      <w:pPr>
        <w:ind w:left="3991" w:hanging="256"/>
      </w:pPr>
      <w:rPr>
        <w:lang w:val="en-US" w:eastAsia="en-US" w:bidi="ar-SA"/>
      </w:rPr>
    </w:lvl>
  </w:abstractNum>
  <w:abstractNum w:abstractNumId="19" w15:restartNumberingAfterBreak="0">
    <w:nsid w:val="205B7F8E"/>
    <w:multiLevelType w:val="hybridMultilevel"/>
    <w:tmpl w:val="7CAAF2B8"/>
    <w:lvl w:ilvl="0" w:tplc="02327914">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63C26954">
      <w:numFmt w:val="bullet"/>
      <w:lvlText w:val="•"/>
      <w:lvlJc w:val="left"/>
      <w:pPr>
        <w:ind w:left="603" w:hanging="256"/>
      </w:pPr>
      <w:rPr>
        <w:lang w:val="en-US" w:eastAsia="en-US" w:bidi="ar-SA"/>
      </w:rPr>
    </w:lvl>
    <w:lvl w:ilvl="2" w:tplc="4C48C106">
      <w:numFmt w:val="bullet"/>
      <w:lvlText w:val="•"/>
      <w:lvlJc w:val="left"/>
      <w:pPr>
        <w:ind w:left="1087" w:hanging="256"/>
      </w:pPr>
      <w:rPr>
        <w:lang w:val="en-US" w:eastAsia="en-US" w:bidi="ar-SA"/>
      </w:rPr>
    </w:lvl>
    <w:lvl w:ilvl="3" w:tplc="A19EB566">
      <w:numFmt w:val="bullet"/>
      <w:lvlText w:val="•"/>
      <w:lvlJc w:val="left"/>
      <w:pPr>
        <w:ind w:left="1571" w:hanging="256"/>
      </w:pPr>
      <w:rPr>
        <w:lang w:val="en-US" w:eastAsia="en-US" w:bidi="ar-SA"/>
      </w:rPr>
    </w:lvl>
    <w:lvl w:ilvl="4" w:tplc="B5F2BD32">
      <w:numFmt w:val="bullet"/>
      <w:lvlText w:val="•"/>
      <w:lvlJc w:val="left"/>
      <w:pPr>
        <w:ind w:left="2055" w:hanging="256"/>
      </w:pPr>
      <w:rPr>
        <w:lang w:val="en-US" w:eastAsia="en-US" w:bidi="ar-SA"/>
      </w:rPr>
    </w:lvl>
    <w:lvl w:ilvl="5" w:tplc="B1E07A16">
      <w:numFmt w:val="bullet"/>
      <w:lvlText w:val="•"/>
      <w:lvlJc w:val="left"/>
      <w:pPr>
        <w:ind w:left="2539" w:hanging="256"/>
      </w:pPr>
      <w:rPr>
        <w:lang w:val="en-US" w:eastAsia="en-US" w:bidi="ar-SA"/>
      </w:rPr>
    </w:lvl>
    <w:lvl w:ilvl="6" w:tplc="114CF21E">
      <w:numFmt w:val="bullet"/>
      <w:lvlText w:val="•"/>
      <w:lvlJc w:val="left"/>
      <w:pPr>
        <w:ind w:left="3023" w:hanging="256"/>
      </w:pPr>
      <w:rPr>
        <w:lang w:val="en-US" w:eastAsia="en-US" w:bidi="ar-SA"/>
      </w:rPr>
    </w:lvl>
    <w:lvl w:ilvl="7" w:tplc="33C0D074">
      <w:numFmt w:val="bullet"/>
      <w:lvlText w:val="•"/>
      <w:lvlJc w:val="left"/>
      <w:pPr>
        <w:ind w:left="3507" w:hanging="256"/>
      </w:pPr>
      <w:rPr>
        <w:lang w:val="en-US" w:eastAsia="en-US" w:bidi="ar-SA"/>
      </w:rPr>
    </w:lvl>
    <w:lvl w:ilvl="8" w:tplc="94EA4CD4">
      <w:numFmt w:val="bullet"/>
      <w:lvlText w:val="•"/>
      <w:lvlJc w:val="left"/>
      <w:pPr>
        <w:ind w:left="3991" w:hanging="256"/>
      </w:pPr>
      <w:rPr>
        <w:lang w:val="en-US" w:eastAsia="en-US" w:bidi="ar-SA"/>
      </w:rPr>
    </w:lvl>
  </w:abstractNum>
  <w:abstractNum w:abstractNumId="20" w15:restartNumberingAfterBreak="0">
    <w:nsid w:val="2196425A"/>
    <w:multiLevelType w:val="hybridMultilevel"/>
    <w:tmpl w:val="73E8EF30"/>
    <w:lvl w:ilvl="0" w:tplc="C3AC21A2">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CD54BC10">
      <w:numFmt w:val="bullet"/>
      <w:lvlText w:val="•"/>
      <w:lvlJc w:val="left"/>
      <w:pPr>
        <w:ind w:left="846" w:hanging="256"/>
      </w:pPr>
      <w:rPr>
        <w:lang w:val="en-US" w:eastAsia="en-US" w:bidi="ar-SA"/>
      </w:rPr>
    </w:lvl>
    <w:lvl w:ilvl="2" w:tplc="47E8098A">
      <w:numFmt w:val="bullet"/>
      <w:lvlText w:val="•"/>
      <w:lvlJc w:val="left"/>
      <w:pPr>
        <w:ind w:left="1313" w:hanging="256"/>
      </w:pPr>
      <w:rPr>
        <w:lang w:val="en-US" w:eastAsia="en-US" w:bidi="ar-SA"/>
      </w:rPr>
    </w:lvl>
    <w:lvl w:ilvl="3" w:tplc="5B1CBCE8">
      <w:numFmt w:val="bullet"/>
      <w:lvlText w:val="•"/>
      <w:lvlJc w:val="left"/>
      <w:pPr>
        <w:ind w:left="1780" w:hanging="256"/>
      </w:pPr>
      <w:rPr>
        <w:lang w:val="en-US" w:eastAsia="en-US" w:bidi="ar-SA"/>
      </w:rPr>
    </w:lvl>
    <w:lvl w:ilvl="4" w:tplc="8CC02350">
      <w:numFmt w:val="bullet"/>
      <w:lvlText w:val="•"/>
      <w:lvlJc w:val="left"/>
      <w:pPr>
        <w:ind w:left="2247" w:hanging="256"/>
      </w:pPr>
      <w:rPr>
        <w:lang w:val="en-US" w:eastAsia="en-US" w:bidi="ar-SA"/>
      </w:rPr>
    </w:lvl>
    <w:lvl w:ilvl="5" w:tplc="FD60E514">
      <w:numFmt w:val="bullet"/>
      <w:lvlText w:val="•"/>
      <w:lvlJc w:val="left"/>
      <w:pPr>
        <w:ind w:left="2714" w:hanging="256"/>
      </w:pPr>
      <w:rPr>
        <w:lang w:val="en-US" w:eastAsia="en-US" w:bidi="ar-SA"/>
      </w:rPr>
    </w:lvl>
    <w:lvl w:ilvl="6" w:tplc="C9043F72">
      <w:numFmt w:val="bullet"/>
      <w:lvlText w:val="•"/>
      <w:lvlJc w:val="left"/>
      <w:pPr>
        <w:ind w:left="3181" w:hanging="256"/>
      </w:pPr>
      <w:rPr>
        <w:lang w:val="en-US" w:eastAsia="en-US" w:bidi="ar-SA"/>
      </w:rPr>
    </w:lvl>
    <w:lvl w:ilvl="7" w:tplc="6D168586">
      <w:numFmt w:val="bullet"/>
      <w:lvlText w:val="•"/>
      <w:lvlJc w:val="left"/>
      <w:pPr>
        <w:ind w:left="3648" w:hanging="256"/>
      </w:pPr>
      <w:rPr>
        <w:lang w:val="en-US" w:eastAsia="en-US" w:bidi="ar-SA"/>
      </w:rPr>
    </w:lvl>
    <w:lvl w:ilvl="8" w:tplc="C9961D06">
      <w:numFmt w:val="bullet"/>
      <w:lvlText w:val="•"/>
      <w:lvlJc w:val="left"/>
      <w:pPr>
        <w:ind w:left="4115" w:hanging="256"/>
      </w:pPr>
      <w:rPr>
        <w:lang w:val="en-US" w:eastAsia="en-US" w:bidi="ar-SA"/>
      </w:rPr>
    </w:lvl>
  </w:abstractNum>
  <w:abstractNum w:abstractNumId="21" w15:restartNumberingAfterBreak="0">
    <w:nsid w:val="22C21723"/>
    <w:multiLevelType w:val="hybridMultilevel"/>
    <w:tmpl w:val="80B666C8"/>
    <w:lvl w:ilvl="0" w:tplc="7180BC6A">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B034700A">
      <w:numFmt w:val="bullet"/>
      <w:lvlText w:val="•"/>
      <w:lvlJc w:val="left"/>
      <w:pPr>
        <w:ind w:left="603" w:hanging="256"/>
      </w:pPr>
      <w:rPr>
        <w:lang w:val="en-US" w:eastAsia="en-US" w:bidi="ar-SA"/>
      </w:rPr>
    </w:lvl>
    <w:lvl w:ilvl="2" w:tplc="B44C641A">
      <w:numFmt w:val="bullet"/>
      <w:lvlText w:val="•"/>
      <w:lvlJc w:val="left"/>
      <w:pPr>
        <w:ind w:left="1087" w:hanging="256"/>
      </w:pPr>
      <w:rPr>
        <w:lang w:val="en-US" w:eastAsia="en-US" w:bidi="ar-SA"/>
      </w:rPr>
    </w:lvl>
    <w:lvl w:ilvl="3" w:tplc="921CD734">
      <w:numFmt w:val="bullet"/>
      <w:lvlText w:val="•"/>
      <w:lvlJc w:val="left"/>
      <w:pPr>
        <w:ind w:left="1571" w:hanging="256"/>
      </w:pPr>
      <w:rPr>
        <w:lang w:val="en-US" w:eastAsia="en-US" w:bidi="ar-SA"/>
      </w:rPr>
    </w:lvl>
    <w:lvl w:ilvl="4" w:tplc="6BB44CB8">
      <w:numFmt w:val="bullet"/>
      <w:lvlText w:val="•"/>
      <w:lvlJc w:val="left"/>
      <w:pPr>
        <w:ind w:left="2055" w:hanging="256"/>
      </w:pPr>
      <w:rPr>
        <w:lang w:val="en-US" w:eastAsia="en-US" w:bidi="ar-SA"/>
      </w:rPr>
    </w:lvl>
    <w:lvl w:ilvl="5" w:tplc="BBDEAB52">
      <w:numFmt w:val="bullet"/>
      <w:lvlText w:val="•"/>
      <w:lvlJc w:val="left"/>
      <w:pPr>
        <w:ind w:left="2539" w:hanging="256"/>
      </w:pPr>
      <w:rPr>
        <w:lang w:val="en-US" w:eastAsia="en-US" w:bidi="ar-SA"/>
      </w:rPr>
    </w:lvl>
    <w:lvl w:ilvl="6" w:tplc="F26C989A">
      <w:numFmt w:val="bullet"/>
      <w:lvlText w:val="•"/>
      <w:lvlJc w:val="left"/>
      <w:pPr>
        <w:ind w:left="3023" w:hanging="256"/>
      </w:pPr>
      <w:rPr>
        <w:lang w:val="en-US" w:eastAsia="en-US" w:bidi="ar-SA"/>
      </w:rPr>
    </w:lvl>
    <w:lvl w:ilvl="7" w:tplc="BB681612">
      <w:numFmt w:val="bullet"/>
      <w:lvlText w:val="•"/>
      <w:lvlJc w:val="left"/>
      <w:pPr>
        <w:ind w:left="3507" w:hanging="256"/>
      </w:pPr>
      <w:rPr>
        <w:lang w:val="en-US" w:eastAsia="en-US" w:bidi="ar-SA"/>
      </w:rPr>
    </w:lvl>
    <w:lvl w:ilvl="8" w:tplc="377E2DDC">
      <w:numFmt w:val="bullet"/>
      <w:lvlText w:val="•"/>
      <w:lvlJc w:val="left"/>
      <w:pPr>
        <w:ind w:left="3991" w:hanging="256"/>
      </w:pPr>
      <w:rPr>
        <w:lang w:val="en-US" w:eastAsia="en-US" w:bidi="ar-SA"/>
      </w:rPr>
    </w:lvl>
  </w:abstractNum>
  <w:abstractNum w:abstractNumId="22" w15:restartNumberingAfterBreak="0">
    <w:nsid w:val="22F84EB1"/>
    <w:multiLevelType w:val="hybridMultilevel"/>
    <w:tmpl w:val="5372A4E2"/>
    <w:lvl w:ilvl="0" w:tplc="F676A1C0">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D3CCDBF0">
      <w:numFmt w:val="bullet"/>
      <w:lvlText w:val="•"/>
      <w:lvlJc w:val="left"/>
      <w:pPr>
        <w:ind w:left="603" w:hanging="256"/>
      </w:pPr>
      <w:rPr>
        <w:lang w:val="en-US" w:eastAsia="en-US" w:bidi="ar-SA"/>
      </w:rPr>
    </w:lvl>
    <w:lvl w:ilvl="2" w:tplc="2446FEE6">
      <w:numFmt w:val="bullet"/>
      <w:lvlText w:val="•"/>
      <w:lvlJc w:val="left"/>
      <w:pPr>
        <w:ind w:left="1087" w:hanging="256"/>
      </w:pPr>
      <w:rPr>
        <w:lang w:val="en-US" w:eastAsia="en-US" w:bidi="ar-SA"/>
      </w:rPr>
    </w:lvl>
    <w:lvl w:ilvl="3" w:tplc="6FEE5532">
      <w:numFmt w:val="bullet"/>
      <w:lvlText w:val="•"/>
      <w:lvlJc w:val="left"/>
      <w:pPr>
        <w:ind w:left="1571" w:hanging="256"/>
      </w:pPr>
      <w:rPr>
        <w:lang w:val="en-US" w:eastAsia="en-US" w:bidi="ar-SA"/>
      </w:rPr>
    </w:lvl>
    <w:lvl w:ilvl="4" w:tplc="D474FE8C">
      <w:numFmt w:val="bullet"/>
      <w:lvlText w:val="•"/>
      <w:lvlJc w:val="left"/>
      <w:pPr>
        <w:ind w:left="2055" w:hanging="256"/>
      </w:pPr>
      <w:rPr>
        <w:lang w:val="en-US" w:eastAsia="en-US" w:bidi="ar-SA"/>
      </w:rPr>
    </w:lvl>
    <w:lvl w:ilvl="5" w:tplc="F78C73D4">
      <w:numFmt w:val="bullet"/>
      <w:lvlText w:val="•"/>
      <w:lvlJc w:val="left"/>
      <w:pPr>
        <w:ind w:left="2539" w:hanging="256"/>
      </w:pPr>
      <w:rPr>
        <w:lang w:val="en-US" w:eastAsia="en-US" w:bidi="ar-SA"/>
      </w:rPr>
    </w:lvl>
    <w:lvl w:ilvl="6" w:tplc="23E44830">
      <w:numFmt w:val="bullet"/>
      <w:lvlText w:val="•"/>
      <w:lvlJc w:val="left"/>
      <w:pPr>
        <w:ind w:left="3023" w:hanging="256"/>
      </w:pPr>
      <w:rPr>
        <w:lang w:val="en-US" w:eastAsia="en-US" w:bidi="ar-SA"/>
      </w:rPr>
    </w:lvl>
    <w:lvl w:ilvl="7" w:tplc="EB466EAC">
      <w:numFmt w:val="bullet"/>
      <w:lvlText w:val="•"/>
      <w:lvlJc w:val="left"/>
      <w:pPr>
        <w:ind w:left="3507" w:hanging="256"/>
      </w:pPr>
      <w:rPr>
        <w:lang w:val="en-US" w:eastAsia="en-US" w:bidi="ar-SA"/>
      </w:rPr>
    </w:lvl>
    <w:lvl w:ilvl="8" w:tplc="4B0A49D4">
      <w:numFmt w:val="bullet"/>
      <w:lvlText w:val="•"/>
      <w:lvlJc w:val="left"/>
      <w:pPr>
        <w:ind w:left="3991" w:hanging="256"/>
      </w:pPr>
      <w:rPr>
        <w:lang w:val="en-US" w:eastAsia="en-US" w:bidi="ar-SA"/>
      </w:rPr>
    </w:lvl>
  </w:abstractNum>
  <w:abstractNum w:abstractNumId="23" w15:restartNumberingAfterBreak="0">
    <w:nsid w:val="25FB436D"/>
    <w:multiLevelType w:val="hybridMultilevel"/>
    <w:tmpl w:val="E43440B6"/>
    <w:lvl w:ilvl="0" w:tplc="18167566">
      <w:numFmt w:val="bullet"/>
      <w:lvlText w:val="■"/>
      <w:lvlJc w:val="left"/>
      <w:pPr>
        <w:ind w:left="374" w:hanging="256"/>
      </w:pPr>
      <w:rPr>
        <w:rFonts w:ascii="MS UI Gothic" w:eastAsia="MS UI Gothic" w:hAnsi="MS UI Gothic" w:cs="MS UI Gothic" w:hint="eastAsia"/>
        <w:w w:val="100"/>
        <w:sz w:val="20"/>
        <w:szCs w:val="20"/>
        <w:lang w:val="en-US" w:eastAsia="en-US" w:bidi="ar-SA"/>
      </w:rPr>
    </w:lvl>
    <w:lvl w:ilvl="1" w:tplc="50B0FDEE">
      <w:numFmt w:val="bullet"/>
      <w:lvlText w:val="•"/>
      <w:lvlJc w:val="left"/>
      <w:pPr>
        <w:ind w:left="883" w:hanging="256"/>
      </w:pPr>
      <w:rPr>
        <w:lang w:val="en-US" w:eastAsia="en-US" w:bidi="ar-SA"/>
      </w:rPr>
    </w:lvl>
    <w:lvl w:ilvl="2" w:tplc="42760AC4">
      <w:numFmt w:val="bullet"/>
      <w:lvlText w:val="•"/>
      <w:lvlJc w:val="left"/>
      <w:pPr>
        <w:ind w:left="1386" w:hanging="256"/>
      </w:pPr>
      <w:rPr>
        <w:lang w:val="en-US" w:eastAsia="en-US" w:bidi="ar-SA"/>
      </w:rPr>
    </w:lvl>
    <w:lvl w:ilvl="3" w:tplc="3F0279C2">
      <w:numFmt w:val="bullet"/>
      <w:lvlText w:val="•"/>
      <w:lvlJc w:val="left"/>
      <w:pPr>
        <w:ind w:left="1889" w:hanging="256"/>
      </w:pPr>
      <w:rPr>
        <w:lang w:val="en-US" w:eastAsia="en-US" w:bidi="ar-SA"/>
      </w:rPr>
    </w:lvl>
    <w:lvl w:ilvl="4" w:tplc="73E6B7EA">
      <w:numFmt w:val="bullet"/>
      <w:lvlText w:val="•"/>
      <w:lvlJc w:val="left"/>
      <w:pPr>
        <w:ind w:left="2392" w:hanging="256"/>
      </w:pPr>
      <w:rPr>
        <w:lang w:val="en-US" w:eastAsia="en-US" w:bidi="ar-SA"/>
      </w:rPr>
    </w:lvl>
    <w:lvl w:ilvl="5" w:tplc="2BEE9D60">
      <w:numFmt w:val="bullet"/>
      <w:lvlText w:val="•"/>
      <w:lvlJc w:val="left"/>
      <w:pPr>
        <w:ind w:left="2895" w:hanging="256"/>
      </w:pPr>
      <w:rPr>
        <w:lang w:val="en-US" w:eastAsia="en-US" w:bidi="ar-SA"/>
      </w:rPr>
    </w:lvl>
    <w:lvl w:ilvl="6" w:tplc="FED830EC">
      <w:numFmt w:val="bullet"/>
      <w:lvlText w:val="•"/>
      <w:lvlJc w:val="left"/>
      <w:pPr>
        <w:ind w:left="3398" w:hanging="256"/>
      </w:pPr>
      <w:rPr>
        <w:lang w:val="en-US" w:eastAsia="en-US" w:bidi="ar-SA"/>
      </w:rPr>
    </w:lvl>
    <w:lvl w:ilvl="7" w:tplc="21AE5AAE">
      <w:numFmt w:val="bullet"/>
      <w:lvlText w:val="•"/>
      <w:lvlJc w:val="left"/>
      <w:pPr>
        <w:ind w:left="3901" w:hanging="256"/>
      </w:pPr>
      <w:rPr>
        <w:lang w:val="en-US" w:eastAsia="en-US" w:bidi="ar-SA"/>
      </w:rPr>
    </w:lvl>
    <w:lvl w:ilvl="8" w:tplc="4FE45A28">
      <w:numFmt w:val="bullet"/>
      <w:lvlText w:val="•"/>
      <w:lvlJc w:val="left"/>
      <w:pPr>
        <w:ind w:left="4404" w:hanging="256"/>
      </w:pPr>
      <w:rPr>
        <w:lang w:val="en-US" w:eastAsia="en-US" w:bidi="ar-SA"/>
      </w:rPr>
    </w:lvl>
  </w:abstractNum>
  <w:abstractNum w:abstractNumId="24" w15:restartNumberingAfterBreak="0">
    <w:nsid w:val="27AC2CFE"/>
    <w:multiLevelType w:val="hybridMultilevel"/>
    <w:tmpl w:val="986CDD8A"/>
    <w:lvl w:ilvl="0" w:tplc="BAC0E04E">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99388386">
      <w:numFmt w:val="bullet"/>
      <w:lvlText w:val="•"/>
      <w:lvlJc w:val="left"/>
      <w:pPr>
        <w:ind w:left="837" w:hanging="256"/>
      </w:pPr>
      <w:rPr>
        <w:lang w:val="en-US" w:eastAsia="en-US" w:bidi="ar-SA"/>
      </w:rPr>
    </w:lvl>
    <w:lvl w:ilvl="2" w:tplc="3DE4A704">
      <w:numFmt w:val="bullet"/>
      <w:lvlText w:val="•"/>
      <w:lvlJc w:val="left"/>
      <w:pPr>
        <w:ind w:left="1295" w:hanging="256"/>
      </w:pPr>
      <w:rPr>
        <w:lang w:val="en-US" w:eastAsia="en-US" w:bidi="ar-SA"/>
      </w:rPr>
    </w:lvl>
    <w:lvl w:ilvl="3" w:tplc="CED69788">
      <w:numFmt w:val="bullet"/>
      <w:lvlText w:val="•"/>
      <w:lvlJc w:val="left"/>
      <w:pPr>
        <w:ind w:left="1753" w:hanging="256"/>
      </w:pPr>
      <w:rPr>
        <w:lang w:val="en-US" w:eastAsia="en-US" w:bidi="ar-SA"/>
      </w:rPr>
    </w:lvl>
    <w:lvl w:ilvl="4" w:tplc="CF8EF700">
      <w:numFmt w:val="bullet"/>
      <w:lvlText w:val="•"/>
      <w:lvlJc w:val="left"/>
      <w:pPr>
        <w:ind w:left="2211" w:hanging="256"/>
      </w:pPr>
      <w:rPr>
        <w:lang w:val="en-US" w:eastAsia="en-US" w:bidi="ar-SA"/>
      </w:rPr>
    </w:lvl>
    <w:lvl w:ilvl="5" w:tplc="68260E08">
      <w:numFmt w:val="bullet"/>
      <w:lvlText w:val="•"/>
      <w:lvlJc w:val="left"/>
      <w:pPr>
        <w:ind w:left="2669" w:hanging="256"/>
      </w:pPr>
      <w:rPr>
        <w:lang w:val="en-US" w:eastAsia="en-US" w:bidi="ar-SA"/>
      </w:rPr>
    </w:lvl>
    <w:lvl w:ilvl="6" w:tplc="B12A0386">
      <w:numFmt w:val="bullet"/>
      <w:lvlText w:val="•"/>
      <w:lvlJc w:val="left"/>
      <w:pPr>
        <w:ind w:left="3127" w:hanging="256"/>
      </w:pPr>
      <w:rPr>
        <w:lang w:val="en-US" w:eastAsia="en-US" w:bidi="ar-SA"/>
      </w:rPr>
    </w:lvl>
    <w:lvl w:ilvl="7" w:tplc="6D70CDAC">
      <w:numFmt w:val="bullet"/>
      <w:lvlText w:val="•"/>
      <w:lvlJc w:val="left"/>
      <w:pPr>
        <w:ind w:left="3585" w:hanging="256"/>
      </w:pPr>
      <w:rPr>
        <w:lang w:val="en-US" w:eastAsia="en-US" w:bidi="ar-SA"/>
      </w:rPr>
    </w:lvl>
    <w:lvl w:ilvl="8" w:tplc="EF9CCB0C">
      <w:numFmt w:val="bullet"/>
      <w:lvlText w:val="•"/>
      <w:lvlJc w:val="left"/>
      <w:pPr>
        <w:ind w:left="4043" w:hanging="256"/>
      </w:pPr>
      <w:rPr>
        <w:lang w:val="en-US" w:eastAsia="en-US" w:bidi="ar-SA"/>
      </w:rPr>
    </w:lvl>
  </w:abstractNum>
  <w:abstractNum w:abstractNumId="25" w15:restartNumberingAfterBreak="0">
    <w:nsid w:val="27C148E4"/>
    <w:multiLevelType w:val="hybridMultilevel"/>
    <w:tmpl w:val="40845B3E"/>
    <w:lvl w:ilvl="0" w:tplc="CC94F6A0">
      <w:numFmt w:val="bullet"/>
      <w:lvlText w:val="■"/>
      <w:lvlJc w:val="left"/>
      <w:pPr>
        <w:ind w:left="118" w:hanging="256"/>
      </w:pPr>
      <w:rPr>
        <w:rFonts w:ascii="MS UI Gothic" w:eastAsia="MS UI Gothic" w:hAnsi="MS UI Gothic" w:cs="MS UI Gothic" w:hint="eastAsia"/>
        <w:w w:val="100"/>
        <w:sz w:val="20"/>
        <w:szCs w:val="20"/>
        <w:lang w:val="en-US" w:eastAsia="en-US" w:bidi="ar-SA"/>
      </w:rPr>
    </w:lvl>
    <w:lvl w:ilvl="1" w:tplc="FF701B7A">
      <w:numFmt w:val="bullet"/>
      <w:lvlText w:val="•"/>
      <w:lvlJc w:val="left"/>
      <w:pPr>
        <w:ind w:left="603" w:hanging="256"/>
      </w:pPr>
      <w:rPr>
        <w:lang w:val="en-US" w:eastAsia="en-US" w:bidi="ar-SA"/>
      </w:rPr>
    </w:lvl>
    <w:lvl w:ilvl="2" w:tplc="986A8FC0">
      <w:numFmt w:val="bullet"/>
      <w:lvlText w:val="•"/>
      <w:lvlJc w:val="left"/>
      <w:pPr>
        <w:ind w:left="1087" w:hanging="256"/>
      </w:pPr>
      <w:rPr>
        <w:lang w:val="en-US" w:eastAsia="en-US" w:bidi="ar-SA"/>
      </w:rPr>
    </w:lvl>
    <w:lvl w:ilvl="3" w:tplc="311688EA">
      <w:numFmt w:val="bullet"/>
      <w:lvlText w:val="•"/>
      <w:lvlJc w:val="left"/>
      <w:pPr>
        <w:ind w:left="1571" w:hanging="256"/>
      </w:pPr>
      <w:rPr>
        <w:lang w:val="en-US" w:eastAsia="en-US" w:bidi="ar-SA"/>
      </w:rPr>
    </w:lvl>
    <w:lvl w:ilvl="4" w:tplc="DB20FC9A">
      <w:numFmt w:val="bullet"/>
      <w:lvlText w:val="•"/>
      <w:lvlJc w:val="left"/>
      <w:pPr>
        <w:ind w:left="2055" w:hanging="256"/>
      </w:pPr>
      <w:rPr>
        <w:lang w:val="en-US" w:eastAsia="en-US" w:bidi="ar-SA"/>
      </w:rPr>
    </w:lvl>
    <w:lvl w:ilvl="5" w:tplc="69FC8786">
      <w:numFmt w:val="bullet"/>
      <w:lvlText w:val="•"/>
      <w:lvlJc w:val="left"/>
      <w:pPr>
        <w:ind w:left="2539" w:hanging="256"/>
      </w:pPr>
      <w:rPr>
        <w:lang w:val="en-US" w:eastAsia="en-US" w:bidi="ar-SA"/>
      </w:rPr>
    </w:lvl>
    <w:lvl w:ilvl="6" w:tplc="BA028F58">
      <w:numFmt w:val="bullet"/>
      <w:lvlText w:val="•"/>
      <w:lvlJc w:val="left"/>
      <w:pPr>
        <w:ind w:left="3023" w:hanging="256"/>
      </w:pPr>
      <w:rPr>
        <w:lang w:val="en-US" w:eastAsia="en-US" w:bidi="ar-SA"/>
      </w:rPr>
    </w:lvl>
    <w:lvl w:ilvl="7" w:tplc="8DD6D68C">
      <w:numFmt w:val="bullet"/>
      <w:lvlText w:val="•"/>
      <w:lvlJc w:val="left"/>
      <w:pPr>
        <w:ind w:left="3507" w:hanging="256"/>
      </w:pPr>
      <w:rPr>
        <w:lang w:val="en-US" w:eastAsia="en-US" w:bidi="ar-SA"/>
      </w:rPr>
    </w:lvl>
    <w:lvl w:ilvl="8" w:tplc="706A17CA">
      <w:numFmt w:val="bullet"/>
      <w:lvlText w:val="•"/>
      <w:lvlJc w:val="left"/>
      <w:pPr>
        <w:ind w:left="3991" w:hanging="256"/>
      </w:pPr>
      <w:rPr>
        <w:lang w:val="en-US" w:eastAsia="en-US" w:bidi="ar-SA"/>
      </w:rPr>
    </w:lvl>
  </w:abstractNum>
  <w:abstractNum w:abstractNumId="26" w15:restartNumberingAfterBreak="0">
    <w:nsid w:val="27DD1685"/>
    <w:multiLevelType w:val="hybridMultilevel"/>
    <w:tmpl w:val="3F8C6C68"/>
    <w:lvl w:ilvl="0" w:tplc="3FD8A670">
      <w:numFmt w:val="bullet"/>
      <w:lvlText w:val="■"/>
      <w:lvlJc w:val="left"/>
      <w:pPr>
        <w:ind w:left="374" w:hanging="256"/>
      </w:pPr>
      <w:rPr>
        <w:rFonts w:ascii="MS UI Gothic" w:eastAsia="MS UI Gothic" w:hAnsi="MS UI Gothic" w:cs="MS UI Gothic" w:hint="eastAsia"/>
        <w:w w:val="100"/>
        <w:sz w:val="20"/>
        <w:szCs w:val="20"/>
        <w:lang w:val="en-US" w:eastAsia="en-US" w:bidi="ar-SA"/>
      </w:rPr>
    </w:lvl>
    <w:lvl w:ilvl="1" w:tplc="A36622FC">
      <w:numFmt w:val="bullet"/>
      <w:lvlText w:val="•"/>
      <w:lvlJc w:val="left"/>
      <w:pPr>
        <w:ind w:left="883" w:hanging="256"/>
      </w:pPr>
      <w:rPr>
        <w:lang w:val="en-US" w:eastAsia="en-US" w:bidi="ar-SA"/>
      </w:rPr>
    </w:lvl>
    <w:lvl w:ilvl="2" w:tplc="72C4295A">
      <w:numFmt w:val="bullet"/>
      <w:lvlText w:val="•"/>
      <w:lvlJc w:val="left"/>
      <w:pPr>
        <w:ind w:left="1386" w:hanging="256"/>
      </w:pPr>
      <w:rPr>
        <w:lang w:val="en-US" w:eastAsia="en-US" w:bidi="ar-SA"/>
      </w:rPr>
    </w:lvl>
    <w:lvl w:ilvl="3" w:tplc="B6AEBC90">
      <w:numFmt w:val="bullet"/>
      <w:lvlText w:val="•"/>
      <w:lvlJc w:val="left"/>
      <w:pPr>
        <w:ind w:left="1889" w:hanging="256"/>
      </w:pPr>
      <w:rPr>
        <w:lang w:val="en-US" w:eastAsia="en-US" w:bidi="ar-SA"/>
      </w:rPr>
    </w:lvl>
    <w:lvl w:ilvl="4" w:tplc="601A5354">
      <w:numFmt w:val="bullet"/>
      <w:lvlText w:val="•"/>
      <w:lvlJc w:val="left"/>
      <w:pPr>
        <w:ind w:left="2392" w:hanging="256"/>
      </w:pPr>
      <w:rPr>
        <w:lang w:val="en-US" w:eastAsia="en-US" w:bidi="ar-SA"/>
      </w:rPr>
    </w:lvl>
    <w:lvl w:ilvl="5" w:tplc="3A9A9440">
      <w:numFmt w:val="bullet"/>
      <w:lvlText w:val="•"/>
      <w:lvlJc w:val="left"/>
      <w:pPr>
        <w:ind w:left="2895" w:hanging="256"/>
      </w:pPr>
      <w:rPr>
        <w:lang w:val="en-US" w:eastAsia="en-US" w:bidi="ar-SA"/>
      </w:rPr>
    </w:lvl>
    <w:lvl w:ilvl="6" w:tplc="BDD8B49A">
      <w:numFmt w:val="bullet"/>
      <w:lvlText w:val="•"/>
      <w:lvlJc w:val="left"/>
      <w:pPr>
        <w:ind w:left="3398" w:hanging="256"/>
      </w:pPr>
      <w:rPr>
        <w:lang w:val="en-US" w:eastAsia="en-US" w:bidi="ar-SA"/>
      </w:rPr>
    </w:lvl>
    <w:lvl w:ilvl="7" w:tplc="E8DE37BC">
      <w:numFmt w:val="bullet"/>
      <w:lvlText w:val="•"/>
      <w:lvlJc w:val="left"/>
      <w:pPr>
        <w:ind w:left="3901" w:hanging="256"/>
      </w:pPr>
      <w:rPr>
        <w:lang w:val="en-US" w:eastAsia="en-US" w:bidi="ar-SA"/>
      </w:rPr>
    </w:lvl>
    <w:lvl w:ilvl="8" w:tplc="B0D2E5EE">
      <w:numFmt w:val="bullet"/>
      <w:lvlText w:val="•"/>
      <w:lvlJc w:val="left"/>
      <w:pPr>
        <w:ind w:left="4404" w:hanging="256"/>
      </w:pPr>
      <w:rPr>
        <w:lang w:val="en-US" w:eastAsia="en-US" w:bidi="ar-SA"/>
      </w:rPr>
    </w:lvl>
  </w:abstractNum>
  <w:abstractNum w:abstractNumId="27" w15:restartNumberingAfterBreak="0">
    <w:nsid w:val="2C38290D"/>
    <w:multiLevelType w:val="hybridMultilevel"/>
    <w:tmpl w:val="00261E14"/>
    <w:lvl w:ilvl="0" w:tplc="4BB6D5F8">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3C5AAEFA">
      <w:numFmt w:val="bullet"/>
      <w:lvlText w:val="•"/>
      <w:lvlJc w:val="left"/>
      <w:pPr>
        <w:ind w:left="883" w:hanging="256"/>
      </w:pPr>
      <w:rPr>
        <w:lang w:val="en-US" w:eastAsia="en-US" w:bidi="ar-SA"/>
      </w:rPr>
    </w:lvl>
    <w:lvl w:ilvl="2" w:tplc="3494730A">
      <w:numFmt w:val="bullet"/>
      <w:lvlText w:val="•"/>
      <w:lvlJc w:val="left"/>
      <w:pPr>
        <w:ind w:left="1386" w:hanging="256"/>
      </w:pPr>
      <w:rPr>
        <w:lang w:val="en-US" w:eastAsia="en-US" w:bidi="ar-SA"/>
      </w:rPr>
    </w:lvl>
    <w:lvl w:ilvl="3" w:tplc="D5FE1AD0">
      <w:numFmt w:val="bullet"/>
      <w:lvlText w:val="•"/>
      <w:lvlJc w:val="left"/>
      <w:pPr>
        <w:ind w:left="1889" w:hanging="256"/>
      </w:pPr>
      <w:rPr>
        <w:lang w:val="en-US" w:eastAsia="en-US" w:bidi="ar-SA"/>
      </w:rPr>
    </w:lvl>
    <w:lvl w:ilvl="4" w:tplc="184A1920">
      <w:numFmt w:val="bullet"/>
      <w:lvlText w:val="•"/>
      <w:lvlJc w:val="left"/>
      <w:pPr>
        <w:ind w:left="2392" w:hanging="256"/>
      </w:pPr>
      <w:rPr>
        <w:lang w:val="en-US" w:eastAsia="en-US" w:bidi="ar-SA"/>
      </w:rPr>
    </w:lvl>
    <w:lvl w:ilvl="5" w:tplc="64BCF8E8">
      <w:numFmt w:val="bullet"/>
      <w:lvlText w:val="•"/>
      <w:lvlJc w:val="left"/>
      <w:pPr>
        <w:ind w:left="2895" w:hanging="256"/>
      </w:pPr>
      <w:rPr>
        <w:lang w:val="en-US" w:eastAsia="en-US" w:bidi="ar-SA"/>
      </w:rPr>
    </w:lvl>
    <w:lvl w:ilvl="6" w:tplc="9CBA3306">
      <w:numFmt w:val="bullet"/>
      <w:lvlText w:val="•"/>
      <w:lvlJc w:val="left"/>
      <w:pPr>
        <w:ind w:left="3398" w:hanging="256"/>
      </w:pPr>
      <w:rPr>
        <w:lang w:val="en-US" w:eastAsia="en-US" w:bidi="ar-SA"/>
      </w:rPr>
    </w:lvl>
    <w:lvl w:ilvl="7" w:tplc="D43C881A">
      <w:numFmt w:val="bullet"/>
      <w:lvlText w:val="•"/>
      <w:lvlJc w:val="left"/>
      <w:pPr>
        <w:ind w:left="3901" w:hanging="256"/>
      </w:pPr>
      <w:rPr>
        <w:lang w:val="en-US" w:eastAsia="en-US" w:bidi="ar-SA"/>
      </w:rPr>
    </w:lvl>
    <w:lvl w:ilvl="8" w:tplc="EAE013EE">
      <w:numFmt w:val="bullet"/>
      <w:lvlText w:val="•"/>
      <w:lvlJc w:val="left"/>
      <w:pPr>
        <w:ind w:left="4404" w:hanging="256"/>
      </w:pPr>
      <w:rPr>
        <w:lang w:val="en-US" w:eastAsia="en-US" w:bidi="ar-SA"/>
      </w:rPr>
    </w:lvl>
  </w:abstractNum>
  <w:abstractNum w:abstractNumId="28" w15:restartNumberingAfterBreak="0">
    <w:nsid w:val="2D0316CC"/>
    <w:multiLevelType w:val="hybridMultilevel"/>
    <w:tmpl w:val="9F6C5E12"/>
    <w:lvl w:ilvl="0" w:tplc="6FC0814A">
      <w:numFmt w:val="bullet"/>
      <w:lvlText w:val="■"/>
      <w:lvlJc w:val="left"/>
      <w:pPr>
        <w:ind w:left="374" w:hanging="256"/>
      </w:pPr>
      <w:rPr>
        <w:rFonts w:ascii="MS UI Gothic" w:eastAsia="MS UI Gothic" w:hAnsi="MS UI Gothic" w:cs="MS UI Gothic" w:hint="eastAsia"/>
        <w:w w:val="100"/>
        <w:sz w:val="20"/>
        <w:szCs w:val="20"/>
        <w:lang w:val="en-US" w:eastAsia="en-US" w:bidi="ar-SA"/>
      </w:rPr>
    </w:lvl>
    <w:lvl w:ilvl="1" w:tplc="7EDC44C8">
      <w:numFmt w:val="bullet"/>
      <w:lvlText w:val="•"/>
      <w:lvlJc w:val="left"/>
      <w:pPr>
        <w:ind w:left="837" w:hanging="256"/>
      </w:pPr>
      <w:rPr>
        <w:lang w:val="en-US" w:eastAsia="en-US" w:bidi="ar-SA"/>
      </w:rPr>
    </w:lvl>
    <w:lvl w:ilvl="2" w:tplc="35D8E924">
      <w:numFmt w:val="bullet"/>
      <w:lvlText w:val="•"/>
      <w:lvlJc w:val="left"/>
      <w:pPr>
        <w:ind w:left="1295" w:hanging="256"/>
      </w:pPr>
      <w:rPr>
        <w:lang w:val="en-US" w:eastAsia="en-US" w:bidi="ar-SA"/>
      </w:rPr>
    </w:lvl>
    <w:lvl w:ilvl="3" w:tplc="B05C56C8">
      <w:numFmt w:val="bullet"/>
      <w:lvlText w:val="•"/>
      <w:lvlJc w:val="left"/>
      <w:pPr>
        <w:ind w:left="1753" w:hanging="256"/>
      </w:pPr>
      <w:rPr>
        <w:lang w:val="en-US" w:eastAsia="en-US" w:bidi="ar-SA"/>
      </w:rPr>
    </w:lvl>
    <w:lvl w:ilvl="4" w:tplc="A4421844">
      <w:numFmt w:val="bullet"/>
      <w:lvlText w:val="•"/>
      <w:lvlJc w:val="left"/>
      <w:pPr>
        <w:ind w:left="2211" w:hanging="256"/>
      </w:pPr>
      <w:rPr>
        <w:lang w:val="en-US" w:eastAsia="en-US" w:bidi="ar-SA"/>
      </w:rPr>
    </w:lvl>
    <w:lvl w:ilvl="5" w:tplc="62303100">
      <w:numFmt w:val="bullet"/>
      <w:lvlText w:val="•"/>
      <w:lvlJc w:val="left"/>
      <w:pPr>
        <w:ind w:left="2669" w:hanging="256"/>
      </w:pPr>
      <w:rPr>
        <w:lang w:val="en-US" w:eastAsia="en-US" w:bidi="ar-SA"/>
      </w:rPr>
    </w:lvl>
    <w:lvl w:ilvl="6" w:tplc="399C95CE">
      <w:numFmt w:val="bullet"/>
      <w:lvlText w:val="•"/>
      <w:lvlJc w:val="left"/>
      <w:pPr>
        <w:ind w:left="3127" w:hanging="256"/>
      </w:pPr>
      <w:rPr>
        <w:lang w:val="en-US" w:eastAsia="en-US" w:bidi="ar-SA"/>
      </w:rPr>
    </w:lvl>
    <w:lvl w:ilvl="7" w:tplc="99E6BC0E">
      <w:numFmt w:val="bullet"/>
      <w:lvlText w:val="•"/>
      <w:lvlJc w:val="left"/>
      <w:pPr>
        <w:ind w:left="3585" w:hanging="256"/>
      </w:pPr>
      <w:rPr>
        <w:lang w:val="en-US" w:eastAsia="en-US" w:bidi="ar-SA"/>
      </w:rPr>
    </w:lvl>
    <w:lvl w:ilvl="8" w:tplc="F3280CD4">
      <w:numFmt w:val="bullet"/>
      <w:lvlText w:val="•"/>
      <w:lvlJc w:val="left"/>
      <w:pPr>
        <w:ind w:left="4043" w:hanging="256"/>
      </w:pPr>
      <w:rPr>
        <w:lang w:val="en-US" w:eastAsia="en-US" w:bidi="ar-SA"/>
      </w:rPr>
    </w:lvl>
  </w:abstractNum>
  <w:abstractNum w:abstractNumId="29" w15:restartNumberingAfterBreak="0">
    <w:nsid w:val="2F185A54"/>
    <w:multiLevelType w:val="hybridMultilevel"/>
    <w:tmpl w:val="38BCCD7A"/>
    <w:lvl w:ilvl="0" w:tplc="5FD0021E">
      <w:numFmt w:val="bullet"/>
      <w:lvlText w:val="■"/>
      <w:lvlJc w:val="left"/>
      <w:pPr>
        <w:ind w:left="374" w:hanging="256"/>
      </w:pPr>
      <w:rPr>
        <w:rFonts w:ascii="MS UI Gothic" w:eastAsia="MS UI Gothic" w:hAnsi="MS UI Gothic" w:cs="MS UI Gothic" w:hint="eastAsia"/>
        <w:w w:val="100"/>
        <w:sz w:val="20"/>
        <w:szCs w:val="20"/>
        <w:lang w:val="en-US" w:eastAsia="en-US" w:bidi="ar-SA"/>
      </w:rPr>
    </w:lvl>
    <w:lvl w:ilvl="1" w:tplc="AE5A308E">
      <w:numFmt w:val="bullet"/>
      <w:lvlText w:val="•"/>
      <w:lvlJc w:val="left"/>
      <w:pPr>
        <w:ind w:left="883" w:hanging="256"/>
      </w:pPr>
      <w:rPr>
        <w:lang w:val="en-US" w:eastAsia="en-US" w:bidi="ar-SA"/>
      </w:rPr>
    </w:lvl>
    <w:lvl w:ilvl="2" w:tplc="02FCD338">
      <w:numFmt w:val="bullet"/>
      <w:lvlText w:val="•"/>
      <w:lvlJc w:val="left"/>
      <w:pPr>
        <w:ind w:left="1386" w:hanging="256"/>
      </w:pPr>
      <w:rPr>
        <w:lang w:val="en-US" w:eastAsia="en-US" w:bidi="ar-SA"/>
      </w:rPr>
    </w:lvl>
    <w:lvl w:ilvl="3" w:tplc="81D674CC">
      <w:numFmt w:val="bullet"/>
      <w:lvlText w:val="•"/>
      <w:lvlJc w:val="left"/>
      <w:pPr>
        <w:ind w:left="1889" w:hanging="256"/>
      </w:pPr>
      <w:rPr>
        <w:lang w:val="en-US" w:eastAsia="en-US" w:bidi="ar-SA"/>
      </w:rPr>
    </w:lvl>
    <w:lvl w:ilvl="4" w:tplc="3586A8BE">
      <w:numFmt w:val="bullet"/>
      <w:lvlText w:val="•"/>
      <w:lvlJc w:val="left"/>
      <w:pPr>
        <w:ind w:left="2392" w:hanging="256"/>
      </w:pPr>
      <w:rPr>
        <w:lang w:val="en-US" w:eastAsia="en-US" w:bidi="ar-SA"/>
      </w:rPr>
    </w:lvl>
    <w:lvl w:ilvl="5" w:tplc="0B3A092E">
      <w:numFmt w:val="bullet"/>
      <w:lvlText w:val="•"/>
      <w:lvlJc w:val="left"/>
      <w:pPr>
        <w:ind w:left="2895" w:hanging="256"/>
      </w:pPr>
      <w:rPr>
        <w:lang w:val="en-US" w:eastAsia="en-US" w:bidi="ar-SA"/>
      </w:rPr>
    </w:lvl>
    <w:lvl w:ilvl="6" w:tplc="684EFA22">
      <w:numFmt w:val="bullet"/>
      <w:lvlText w:val="•"/>
      <w:lvlJc w:val="left"/>
      <w:pPr>
        <w:ind w:left="3398" w:hanging="256"/>
      </w:pPr>
      <w:rPr>
        <w:lang w:val="en-US" w:eastAsia="en-US" w:bidi="ar-SA"/>
      </w:rPr>
    </w:lvl>
    <w:lvl w:ilvl="7" w:tplc="76FE70E4">
      <w:numFmt w:val="bullet"/>
      <w:lvlText w:val="•"/>
      <w:lvlJc w:val="left"/>
      <w:pPr>
        <w:ind w:left="3901" w:hanging="256"/>
      </w:pPr>
      <w:rPr>
        <w:lang w:val="en-US" w:eastAsia="en-US" w:bidi="ar-SA"/>
      </w:rPr>
    </w:lvl>
    <w:lvl w:ilvl="8" w:tplc="6A74765C">
      <w:numFmt w:val="bullet"/>
      <w:lvlText w:val="•"/>
      <w:lvlJc w:val="left"/>
      <w:pPr>
        <w:ind w:left="4404" w:hanging="256"/>
      </w:pPr>
      <w:rPr>
        <w:lang w:val="en-US" w:eastAsia="en-US" w:bidi="ar-SA"/>
      </w:rPr>
    </w:lvl>
  </w:abstractNum>
  <w:abstractNum w:abstractNumId="30" w15:restartNumberingAfterBreak="0">
    <w:nsid w:val="2F8B317E"/>
    <w:multiLevelType w:val="hybridMultilevel"/>
    <w:tmpl w:val="BF2EB71A"/>
    <w:lvl w:ilvl="0" w:tplc="FC6EAF00">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31FE57B2">
      <w:numFmt w:val="bullet"/>
      <w:lvlText w:val="•"/>
      <w:lvlJc w:val="left"/>
      <w:pPr>
        <w:ind w:left="603" w:hanging="256"/>
      </w:pPr>
      <w:rPr>
        <w:lang w:val="en-US" w:eastAsia="en-US" w:bidi="ar-SA"/>
      </w:rPr>
    </w:lvl>
    <w:lvl w:ilvl="2" w:tplc="9998F4B8">
      <w:numFmt w:val="bullet"/>
      <w:lvlText w:val="•"/>
      <w:lvlJc w:val="left"/>
      <w:pPr>
        <w:ind w:left="1087" w:hanging="256"/>
      </w:pPr>
      <w:rPr>
        <w:lang w:val="en-US" w:eastAsia="en-US" w:bidi="ar-SA"/>
      </w:rPr>
    </w:lvl>
    <w:lvl w:ilvl="3" w:tplc="EBD2918A">
      <w:numFmt w:val="bullet"/>
      <w:lvlText w:val="•"/>
      <w:lvlJc w:val="left"/>
      <w:pPr>
        <w:ind w:left="1571" w:hanging="256"/>
      </w:pPr>
      <w:rPr>
        <w:lang w:val="en-US" w:eastAsia="en-US" w:bidi="ar-SA"/>
      </w:rPr>
    </w:lvl>
    <w:lvl w:ilvl="4" w:tplc="028039CA">
      <w:numFmt w:val="bullet"/>
      <w:lvlText w:val="•"/>
      <w:lvlJc w:val="left"/>
      <w:pPr>
        <w:ind w:left="2055" w:hanging="256"/>
      </w:pPr>
      <w:rPr>
        <w:lang w:val="en-US" w:eastAsia="en-US" w:bidi="ar-SA"/>
      </w:rPr>
    </w:lvl>
    <w:lvl w:ilvl="5" w:tplc="58762014">
      <w:numFmt w:val="bullet"/>
      <w:lvlText w:val="•"/>
      <w:lvlJc w:val="left"/>
      <w:pPr>
        <w:ind w:left="2539" w:hanging="256"/>
      </w:pPr>
      <w:rPr>
        <w:lang w:val="en-US" w:eastAsia="en-US" w:bidi="ar-SA"/>
      </w:rPr>
    </w:lvl>
    <w:lvl w:ilvl="6" w:tplc="208E3568">
      <w:numFmt w:val="bullet"/>
      <w:lvlText w:val="•"/>
      <w:lvlJc w:val="left"/>
      <w:pPr>
        <w:ind w:left="3023" w:hanging="256"/>
      </w:pPr>
      <w:rPr>
        <w:lang w:val="en-US" w:eastAsia="en-US" w:bidi="ar-SA"/>
      </w:rPr>
    </w:lvl>
    <w:lvl w:ilvl="7" w:tplc="3FBC5B3C">
      <w:numFmt w:val="bullet"/>
      <w:lvlText w:val="•"/>
      <w:lvlJc w:val="left"/>
      <w:pPr>
        <w:ind w:left="3507" w:hanging="256"/>
      </w:pPr>
      <w:rPr>
        <w:lang w:val="en-US" w:eastAsia="en-US" w:bidi="ar-SA"/>
      </w:rPr>
    </w:lvl>
    <w:lvl w:ilvl="8" w:tplc="63EE1CA2">
      <w:numFmt w:val="bullet"/>
      <w:lvlText w:val="•"/>
      <w:lvlJc w:val="left"/>
      <w:pPr>
        <w:ind w:left="3991" w:hanging="256"/>
      </w:pPr>
      <w:rPr>
        <w:lang w:val="en-US" w:eastAsia="en-US" w:bidi="ar-SA"/>
      </w:rPr>
    </w:lvl>
  </w:abstractNum>
  <w:abstractNum w:abstractNumId="31" w15:restartNumberingAfterBreak="0">
    <w:nsid w:val="31247F19"/>
    <w:multiLevelType w:val="hybridMultilevel"/>
    <w:tmpl w:val="6C741660"/>
    <w:lvl w:ilvl="0" w:tplc="B2060F78">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DA0EF732">
      <w:numFmt w:val="bullet"/>
      <w:lvlText w:val="•"/>
      <w:lvlJc w:val="left"/>
      <w:pPr>
        <w:ind w:left="883" w:hanging="256"/>
      </w:pPr>
      <w:rPr>
        <w:lang w:val="en-US" w:eastAsia="en-US" w:bidi="ar-SA"/>
      </w:rPr>
    </w:lvl>
    <w:lvl w:ilvl="2" w:tplc="D1DA2D20">
      <w:numFmt w:val="bullet"/>
      <w:lvlText w:val="•"/>
      <w:lvlJc w:val="left"/>
      <w:pPr>
        <w:ind w:left="1386" w:hanging="256"/>
      </w:pPr>
      <w:rPr>
        <w:lang w:val="en-US" w:eastAsia="en-US" w:bidi="ar-SA"/>
      </w:rPr>
    </w:lvl>
    <w:lvl w:ilvl="3" w:tplc="8C3445FC">
      <w:numFmt w:val="bullet"/>
      <w:lvlText w:val="•"/>
      <w:lvlJc w:val="left"/>
      <w:pPr>
        <w:ind w:left="1889" w:hanging="256"/>
      </w:pPr>
      <w:rPr>
        <w:lang w:val="en-US" w:eastAsia="en-US" w:bidi="ar-SA"/>
      </w:rPr>
    </w:lvl>
    <w:lvl w:ilvl="4" w:tplc="62B06824">
      <w:numFmt w:val="bullet"/>
      <w:lvlText w:val="•"/>
      <w:lvlJc w:val="left"/>
      <w:pPr>
        <w:ind w:left="2392" w:hanging="256"/>
      </w:pPr>
      <w:rPr>
        <w:lang w:val="en-US" w:eastAsia="en-US" w:bidi="ar-SA"/>
      </w:rPr>
    </w:lvl>
    <w:lvl w:ilvl="5" w:tplc="885A602A">
      <w:numFmt w:val="bullet"/>
      <w:lvlText w:val="•"/>
      <w:lvlJc w:val="left"/>
      <w:pPr>
        <w:ind w:left="2895" w:hanging="256"/>
      </w:pPr>
      <w:rPr>
        <w:lang w:val="en-US" w:eastAsia="en-US" w:bidi="ar-SA"/>
      </w:rPr>
    </w:lvl>
    <w:lvl w:ilvl="6" w:tplc="A5C29688">
      <w:numFmt w:val="bullet"/>
      <w:lvlText w:val="•"/>
      <w:lvlJc w:val="left"/>
      <w:pPr>
        <w:ind w:left="3398" w:hanging="256"/>
      </w:pPr>
      <w:rPr>
        <w:lang w:val="en-US" w:eastAsia="en-US" w:bidi="ar-SA"/>
      </w:rPr>
    </w:lvl>
    <w:lvl w:ilvl="7" w:tplc="79D46068">
      <w:numFmt w:val="bullet"/>
      <w:lvlText w:val="•"/>
      <w:lvlJc w:val="left"/>
      <w:pPr>
        <w:ind w:left="3901" w:hanging="256"/>
      </w:pPr>
      <w:rPr>
        <w:lang w:val="en-US" w:eastAsia="en-US" w:bidi="ar-SA"/>
      </w:rPr>
    </w:lvl>
    <w:lvl w:ilvl="8" w:tplc="0866916C">
      <w:numFmt w:val="bullet"/>
      <w:lvlText w:val="•"/>
      <w:lvlJc w:val="left"/>
      <w:pPr>
        <w:ind w:left="4404" w:hanging="256"/>
      </w:pPr>
      <w:rPr>
        <w:lang w:val="en-US" w:eastAsia="en-US" w:bidi="ar-SA"/>
      </w:rPr>
    </w:lvl>
  </w:abstractNum>
  <w:abstractNum w:abstractNumId="32" w15:restartNumberingAfterBreak="0">
    <w:nsid w:val="364822FA"/>
    <w:multiLevelType w:val="hybridMultilevel"/>
    <w:tmpl w:val="FB7C5D06"/>
    <w:lvl w:ilvl="0" w:tplc="122A1762">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7A2EB0F0">
      <w:numFmt w:val="bullet"/>
      <w:lvlText w:val="•"/>
      <w:lvlJc w:val="left"/>
      <w:pPr>
        <w:ind w:left="846" w:hanging="256"/>
      </w:pPr>
      <w:rPr>
        <w:lang w:val="en-US" w:eastAsia="en-US" w:bidi="ar-SA"/>
      </w:rPr>
    </w:lvl>
    <w:lvl w:ilvl="2" w:tplc="64D83160">
      <w:numFmt w:val="bullet"/>
      <w:lvlText w:val="•"/>
      <w:lvlJc w:val="left"/>
      <w:pPr>
        <w:ind w:left="1313" w:hanging="256"/>
      </w:pPr>
      <w:rPr>
        <w:lang w:val="en-US" w:eastAsia="en-US" w:bidi="ar-SA"/>
      </w:rPr>
    </w:lvl>
    <w:lvl w:ilvl="3" w:tplc="7F986262">
      <w:numFmt w:val="bullet"/>
      <w:lvlText w:val="•"/>
      <w:lvlJc w:val="left"/>
      <w:pPr>
        <w:ind w:left="1780" w:hanging="256"/>
      </w:pPr>
      <w:rPr>
        <w:lang w:val="en-US" w:eastAsia="en-US" w:bidi="ar-SA"/>
      </w:rPr>
    </w:lvl>
    <w:lvl w:ilvl="4" w:tplc="D32CB5D0">
      <w:numFmt w:val="bullet"/>
      <w:lvlText w:val="•"/>
      <w:lvlJc w:val="left"/>
      <w:pPr>
        <w:ind w:left="2247" w:hanging="256"/>
      </w:pPr>
      <w:rPr>
        <w:lang w:val="en-US" w:eastAsia="en-US" w:bidi="ar-SA"/>
      </w:rPr>
    </w:lvl>
    <w:lvl w:ilvl="5" w:tplc="659EE9B0">
      <w:numFmt w:val="bullet"/>
      <w:lvlText w:val="•"/>
      <w:lvlJc w:val="left"/>
      <w:pPr>
        <w:ind w:left="2714" w:hanging="256"/>
      </w:pPr>
      <w:rPr>
        <w:lang w:val="en-US" w:eastAsia="en-US" w:bidi="ar-SA"/>
      </w:rPr>
    </w:lvl>
    <w:lvl w:ilvl="6" w:tplc="815AFB70">
      <w:numFmt w:val="bullet"/>
      <w:lvlText w:val="•"/>
      <w:lvlJc w:val="left"/>
      <w:pPr>
        <w:ind w:left="3181" w:hanging="256"/>
      </w:pPr>
      <w:rPr>
        <w:lang w:val="en-US" w:eastAsia="en-US" w:bidi="ar-SA"/>
      </w:rPr>
    </w:lvl>
    <w:lvl w:ilvl="7" w:tplc="79427A9A">
      <w:numFmt w:val="bullet"/>
      <w:lvlText w:val="•"/>
      <w:lvlJc w:val="left"/>
      <w:pPr>
        <w:ind w:left="3648" w:hanging="256"/>
      </w:pPr>
      <w:rPr>
        <w:lang w:val="en-US" w:eastAsia="en-US" w:bidi="ar-SA"/>
      </w:rPr>
    </w:lvl>
    <w:lvl w:ilvl="8" w:tplc="E540522A">
      <w:numFmt w:val="bullet"/>
      <w:lvlText w:val="•"/>
      <w:lvlJc w:val="left"/>
      <w:pPr>
        <w:ind w:left="4115" w:hanging="256"/>
      </w:pPr>
      <w:rPr>
        <w:lang w:val="en-US" w:eastAsia="en-US" w:bidi="ar-SA"/>
      </w:rPr>
    </w:lvl>
  </w:abstractNum>
  <w:abstractNum w:abstractNumId="33" w15:restartNumberingAfterBreak="0">
    <w:nsid w:val="37C37FDE"/>
    <w:multiLevelType w:val="hybridMultilevel"/>
    <w:tmpl w:val="93CEAC44"/>
    <w:lvl w:ilvl="0" w:tplc="52A85A5E">
      <w:start w:val="1"/>
      <w:numFmt w:val="decimal"/>
      <w:lvlText w:val="%1."/>
      <w:lvlJc w:val="left"/>
      <w:pPr>
        <w:ind w:left="551" w:hanging="312"/>
      </w:pPr>
      <w:rPr>
        <w:rFonts w:ascii="Arial" w:eastAsia="Arial" w:hAnsi="Arial" w:cs="Arial" w:hint="default"/>
        <w:b/>
        <w:bCs/>
        <w:w w:val="100"/>
        <w:sz w:val="28"/>
        <w:szCs w:val="28"/>
        <w:lang w:val="en-US" w:eastAsia="en-US" w:bidi="ar-SA"/>
      </w:rPr>
    </w:lvl>
    <w:lvl w:ilvl="1" w:tplc="2FC26DB4">
      <w:numFmt w:val="bullet"/>
      <w:lvlText w:val="•"/>
      <w:lvlJc w:val="left"/>
      <w:pPr>
        <w:ind w:left="1430" w:hanging="312"/>
      </w:pPr>
      <w:rPr>
        <w:lang w:val="en-US" w:eastAsia="en-US" w:bidi="ar-SA"/>
      </w:rPr>
    </w:lvl>
    <w:lvl w:ilvl="2" w:tplc="EAD6BF4C">
      <w:numFmt w:val="bullet"/>
      <w:lvlText w:val="•"/>
      <w:lvlJc w:val="left"/>
      <w:pPr>
        <w:ind w:left="2301" w:hanging="312"/>
      </w:pPr>
      <w:rPr>
        <w:lang w:val="en-US" w:eastAsia="en-US" w:bidi="ar-SA"/>
      </w:rPr>
    </w:lvl>
    <w:lvl w:ilvl="3" w:tplc="52A61F08">
      <w:numFmt w:val="bullet"/>
      <w:lvlText w:val="•"/>
      <w:lvlJc w:val="left"/>
      <w:pPr>
        <w:ind w:left="3171" w:hanging="312"/>
      </w:pPr>
      <w:rPr>
        <w:lang w:val="en-US" w:eastAsia="en-US" w:bidi="ar-SA"/>
      </w:rPr>
    </w:lvl>
    <w:lvl w:ilvl="4" w:tplc="D2CA1508">
      <w:numFmt w:val="bullet"/>
      <w:lvlText w:val="•"/>
      <w:lvlJc w:val="left"/>
      <w:pPr>
        <w:ind w:left="4042" w:hanging="312"/>
      </w:pPr>
      <w:rPr>
        <w:lang w:val="en-US" w:eastAsia="en-US" w:bidi="ar-SA"/>
      </w:rPr>
    </w:lvl>
    <w:lvl w:ilvl="5" w:tplc="5564368C">
      <w:numFmt w:val="bullet"/>
      <w:lvlText w:val="•"/>
      <w:lvlJc w:val="left"/>
      <w:pPr>
        <w:ind w:left="4912" w:hanging="312"/>
      </w:pPr>
      <w:rPr>
        <w:lang w:val="en-US" w:eastAsia="en-US" w:bidi="ar-SA"/>
      </w:rPr>
    </w:lvl>
    <w:lvl w:ilvl="6" w:tplc="F104EC38">
      <w:numFmt w:val="bullet"/>
      <w:lvlText w:val="•"/>
      <w:lvlJc w:val="left"/>
      <w:pPr>
        <w:ind w:left="5783" w:hanging="312"/>
      </w:pPr>
      <w:rPr>
        <w:lang w:val="en-US" w:eastAsia="en-US" w:bidi="ar-SA"/>
      </w:rPr>
    </w:lvl>
    <w:lvl w:ilvl="7" w:tplc="B7ACD56E">
      <w:numFmt w:val="bullet"/>
      <w:lvlText w:val="•"/>
      <w:lvlJc w:val="left"/>
      <w:pPr>
        <w:ind w:left="6653" w:hanging="312"/>
      </w:pPr>
      <w:rPr>
        <w:lang w:val="en-US" w:eastAsia="en-US" w:bidi="ar-SA"/>
      </w:rPr>
    </w:lvl>
    <w:lvl w:ilvl="8" w:tplc="8564C756">
      <w:numFmt w:val="bullet"/>
      <w:lvlText w:val="•"/>
      <w:lvlJc w:val="left"/>
      <w:pPr>
        <w:ind w:left="7524" w:hanging="312"/>
      </w:pPr>
      <w:rPr>
        <w:lang w:val="en-US" w:eastAsia="en-US" w:bidi="ar-SA"/>
      </w:rPr>
    </w:lvl>
  </w:abstractNum>
  <w:abstractNum w:abstractNumId="34" w15:restartNumberingAfterBreak="0">
    <w:nsid w:val="3BEF7482"/>
    <w:multiLevelType w:val="hybridMultilevel"/>
    <w:tmpl w:val="BDE48532"/>
    <w:lvl w:ilvl="0" w:tplc="38D49BE6">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5EF68868">
      <w:numFmt w:val="bullet"/>
      <w:lvlText w:val="•"/>
      <w:lvlJc w:val="left"/>
      <w:pPr>
        <w:ind w:left="846" w:hanging="256"/>
      </w:pPr>
      <w:rPr>
        <w:lang w:val="en-US" w:eastAsia="en-US" w:bidi="ar-SA"/>
      </w:rPr>
    </w:lvl>
    <w:lvl w:ilvl="2" w:tplc="94C6DDC4">
      <w:numFmt w:val="bullet"/>
      <w:lvlText w:val="•"/>
      <w:lvlJc w:val="left"/>
      <w:pPr>
        <w:ind w:left="1313" w:hanging="256"/>
      </w:pPr>
      <w:rPr>
        <w:lang w:val="en-US" w:eastAsia="en-US" w:bidi="ar-SA"/>
      </w:rPr>
    </w:lvl>
    <w:lvl w:ilvl="3" w:tplc="266E9274">
      <w:numFmt w:val="bullet"/>
      <w:lvlText w:val="•"/>
      <w:lvlJc w:val="left"/>
      <w:pPr>
        <w:ind w:left="1780" w:hanging="256"/>
      </w:pPr>
      <w:rPr>
        <w:lang w:val="en-US" w:eastAsia="en-US" w:bidi="ar-SA"/>
      </w:rPr>
    </w:lvl>
    <w:lvl w:ilvl="4" w:tplc="EA0A04D0">
      <w:numFmt w:val="bullet"/>
      <w:lvlText w:val="•"/>
      <w:lvlJc w:val="left"/>
      <w:pPr>
        <w:ind w:left="2247" w:hanging="256"/>
      </w:pPr>
      <w:rPr>
        <w:lang w:val="en-US" w:eastAsia="en-US" w:bidi="ar-SA"/>
      </w:rPr>
    </w:lvl>
    <w:lvl w:ilvl="5" w:tplc="043A8CB8">
      <w:numFmt w:val="bullet"/>
      <w:lvlText w:val="•"/>
      <w:lvlJc w:val="left"/>
      <w:pPr>
        <w:ind w:left="2714" w:hanging="256"/>
      </w:pPr>
      <w:rPr>
        <w:lang w:val="en-US" w:eastAsia="en-US" w:bidi="ar-SA"/>
      </w:rPr>
    </w:lvl>
    <w:lvl w:ilvl="6" w:tplc="E38E3A44">
      <w:numFmt w:val="bullet"/>
      <w:lvlText w:val="•"/>
      <w:lvlJc w:val="left"/>
      <w:pPr>
        <w:ind w:left="3181" w:hanging="256"/>
      </w:pPr>
      <w:rPr>
        <w:lang w:val="en-US" w:eastAsia="en-US" w:bidi="ar-SA"/>
      </w:rPr>
    </w:lvl>
    <w:lvl w:ilvl="7" w:tplc="94EA45E8">
      <w:numFmt w:val="bullet"/>
      <w:lvlText w:val="•"/>
      <w:lvlJc w:val="left"/>
      <w:pPr>
        <w:ind w:left="3648" w:hanging="256"/>
      </w:pPr>
      <w:rPr>
        <w:lang w:val="en-US" w:eastAsia="en-US" w:bidi="ar-SA"/>
      </w:rPr>
    </w:lvl>
    <w:lvl w:ilvl="8" w:tplc="644C0C2A">
      <w:numFmt w:val="bullet"/>
      <w:lvlText w:val="•"/>
      <w:lvlJc w:val="left"/>
      <w:pPr>
        <w:ind w:left="4115" w:hanging="256"/>
      </w:pPr>
      <w:rPr>
        <w:lang w:val="en-US" w:eastAsia="en-US" w:bidi="ar-SA"/>
      </w:rPr>
    </w:lvl>
  </w:abstractNum>
  <w:abstractNum w:abstractNumId="35" w15:restartNumberingAfterBreak="0">
    <w:nsid w:val="3C5E3582"/>
    <w:multiLevelType w:val="hybridMultilevel"/>
    <w:tmpl w:val="DDCA0D94"/>
    <w:lvl w:ilvl="0" w:tplc="37C8742E">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A90A8F18">
      <w:numFmt w:val="bullet"/>
      <w:lvlText w:val="•"/>
      <w:lvlJc w:val="left"/>
      <w:pPr>
        <w:ind w:left="846" w:hanging="256"/>
      </w:pPr>
      <w:rPr>
        <w:lang w:val="en-US" w:eastAsia="en-US" w:bidi="ar-SA"/>
      </w:rPr>
    </w:lvl>
    <w:lvl w:ilvl="2" w:tplc="05DC4A6E">
      <w:numFmt w:val="bullet"/>
      <w:lvlText w:val="•"/>
      <w:lvlJc w:val="left"/>
      <w:pPr>
        <w:ind w:left="1313" w:hanging="256"/>
      </w:pPr>
      <w:rPr>
        <w:lang w:val="en-US" w:eastAsia="en-US" w:bidi="ar-SA"/>
      </w:rPr>
    </w:lvl>
    <w:lvl w:ilvl="3" w:tplc="F1E6C648">
      <w:numFmt w:val="bullet"/>
      <w:lvlText w:val="•"/>
      <w:lvlJc w:val="left"/>
      <w:pPr>
        <w:ind w:left="1780" w:hanging="256"/>
      </w:pPr>
      <w:rPr>
        <w:lang w:val="en-US" w:eastAsia="en-US" w:bidi="ar-SA"/>
      </w:rPr>
    </w:lvl>
    <w:lvl w:ilvl="4" w:tplc="58460AA8">
      <w:numFmt w:val="bullet"/>
      <w:lvlText w:val="•"/>
      <w:lvlJc w:val="left"/>
      <w:pPr>
        <w:ind w:left="2247" w:hanging="256"/>
      </w:pPr>
      <w:rPr>
        <w:lang w:val="en-US" w:eastAsia="en-US" w:bidi="ar-SA"/>
      </w:rPr>
    </w:lvl>
    <w:lvl w:ilvl="5" w:tplc="15BE819E">
      <w:numFmt w:val="bullet"/>
      <w:lvlText w:val="•"/>
      <w:lvlJc w:val="left"/>
      <w:pPr>
        <w:ind w:left="2714" w:hanging="256"/>
      </w:pPr>
      <w:rPr>
        <w:lang w:val="en-US" w:eastAsia="en-US" w:bidi="ar-SA"/>
      </w:rPr>
    </w:lvl>
    <w:lvl w:ilvl="6" w:tplc="22F47492">
      <w:numFmt w:val="bullet"/>
      <w:lvlText w:val="•"/>
      <w:lvlJc w:val="left"/>
      <w:pPr>
        <w:ind w:left="3181" w:hanging="256"/>
      </w:pPr>
      <w:rPr>
        <w:lang w:val="en-US" w:eastAsia="en-US" w:bidi="ar-SA"/>
      </w:rPr>
    </w:lvl>
    <w:lvl w:ilvl="7" w:tplc="7374AF1E">
      <w:numFmt w:val="bullet"/>
      <w:lvlText w:val="•"/>
      <w:lvlJc w:val="left"/>
      <w:pPr>
        <w:ind w:left="3648" w:hanging="256"/>
      </w:pPr>
      <w:rPr>
        <w:lang w:val="en-US" w:eastAsia="en-US" w:bidi="ar-SA"/>
      </w:rPr>
    </w:lvl>
    <w:lvl w:ilvl="8" w:tplc="C21A1546">
      <w:numFmt w:val="bullet"/>
      <w:lvlText w:val="•"/>
      <w:lvlJc w:val="left"/>
      <w:pPr>
        <w:ind w:left="4115" w:hanging="256"/>
      </w:pPr>
      <w:rPr>
        <w:lang w:val="en-US" w:eastAsia="en-US" w:bidi="ar-SA"/>
      </w:rPr>
    </w:lvl>
  </w:abstractNum>
  <w:abstractNum w:abstractNumId="36" w15:restartNumberingAfterBreak="0">
    <w:nsid w:val="3C7F02CB"/>
    <w:multiLevelType w:val="hybridMultilevel"/>
    <w:tmpl w:val="8758D7B4"/>
    <w:lvl w:ilvl="0" w:tplc="CE8C89E0">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EFC891A0">
      <w:numFmt w:val="bullet"/>
      <w:lvlText w:val="•"/>
      <w:lvlJc w:val="left"/>
      <w:pPr>
        <w:ind w:left="846" w:hanging="256"/>
      </w:pPr>
      <w:rPr>
        <w:lang w:val="en-US" w:eastAsia="en-US" w:bidi="ar-SA"/>
      </w:rPr>
    </w:lvl>
    <w:lvl w:ilvl="2" w:tplc="205A849C">
      <w:numFmt w:val="bullet"/>
      <w:lvlText w:val="•"/>
      <w:lvlJc w:val="left"/>
      <w:pPr>
        <w:ind w:left="1313" w:hanging="256"/>
      </w:pPr>
      <w:rPr>
        <w:lang w:val="en-US" w:eastAsia="en-US" w:bidi="ar-SA"/>
      </w:rPr>
    </w:lvl>
    <w:lvl w:ilvl="3" w:tplc="D6C0466E">
      <w:numFmt w:val="bullet"/>
      <w:lvlText w:val="•"/>
      <w:lvlJc w:val="left"/>
      <w:pPr>
        <w:ind w:left="1780" w:hanging="256"/>
      </w:pPr>
      <w:rPr>
        <w:lang w:val="en-US" w:eastAsia="en-US" w:bidi="ar-SA"/>
      </w:rPr>
    </w:lvl>
    <w:lvl w:ilvl="4" w:tplc="77FA1DB4">
      <w:numFmt w:val="bullet"/>
      <w:lvlText w:val="•"/>
      <w:lvlJc w:val="left"/>
      <w:pPr>
        <w:ind w:left="2247" w:hanging="256"/>
      </w:pPr>
      <w:rPr>
        <w:lang w:val="en-US" w:eastAsia="en-US" w:bidi="ar-SA"/>
      </w:rPr>
    </w:lvl>
    <w:lvl w:ilvl="5" w:tplc="CDCA6816">
      <w:numFmt w:val="bullet"/>
      <w:lvlText w:val="•"/>
      <w:lvlJc w:val="left"/>
      <w:pPr>
        <w:ind w:left="2714" w:hanging="256"/>
      </w:pPr>
      <w:rPr>
        <w:lang w:val="en-US" w:eastAsia="en-US" w:bidi="ar-SA"/>
      </w:rPr>
    </w:lvl>
    <w:lvl w:ilvl="6" w:tplc="A614C5CA">
      <w:numFmt w:val="bullet"/>
      <w:lvlText w:val="•"/>
      <w:lvlJc w:val="left"/>
      <w:pPr>
        <w:ind w:left="3181" w:hanging="256"/>
      </w:pPr>
      <w:rPr>
        <w:lang w:val="en-US" w:eastAsia="en-US" w:bidi="ar-SA"/>
      </w:rPr>
    </w:lvl>
    <w:lvl w:ilvl="7" w:tplc="6C5C6ED6">
      <w:numFmt w:val="bullet"/>
      <w:lvlText w:val="•"/>
      <w:lvlJc w:val="left"/>
      <w:pPr>
        <w:ind w:left="3648" w:hanging="256"/>
      </w:pPr>
      <w:rPr>
        <w:lang w:val="en-US" w:eastAsia="en-US" w:bidi="ar-SA"/>
      </w:rPr>
    </w:lvl>
    <w:lvl w:ilvl="8" w:tplc="7AC0B014">
      <w:numFmt w:val="bullet"/>
      <w:lvlText w:val="•"/>
      <w:lvlJc w:val="left"/>
      <w:pPr>
        <w:ind w:left="4115" w:hanging="256"/>
      </w:pPr>
      <w:rPr>
        <w:lang w:val="en-US" w:eastAsia="en-US" w:bidi="ar-SA"/>
      </w:rPr>
    </w:lvl>
  </w:abstractNum>
  <w:abstractNum w:abstractNumId="37" w15:restartNumberingAfterBreak="0">
    <w:nsid w:val="3C931C4B"/>
    <w:multiLevelType w:val="hybridMultilevel"/>
    <w:tmpl w:val="577EEEEE"/>
    <w:lvl w:ilvl="0" w:tplc="CE3EC570">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00C60C80">
      <w:numFmt w:val="bullet"/>
      <w:lvlText w:val="•"/>
      <w:lvlJc w:val="left"/>
      <w:pPr>
        <w:ind w:left="837" w:hanging="256"/>
      </w:pPr>
      <w:rPr>
        <w:lang w:val="en-US" w:eastAsia="en-US" w:bidi="ar-SA"/>
      </w:rPr>
    </w:lvl>
    <w:lvl w:ilvl="2" w:tplc="08945DC0">
      <w:numFmt w:val="bullet"/>
      <w:lvlText w:val="•"/>
      <w:lvlJc w:val="left"/>
      <w:pPr>
        <w:ind w:left="1295" w:hanging="256"/>
      </w:pPr>
      <w:rPr>
        <w:lang w:val="en-US" w:eastAsia="en-US" w:bidi="ar-SA"/>
      </w:rPr>
    </w:lvl>
    <w:lvl w:ilvl="3" w:tplc="15281F96">
      <w:numFmt w:val="bullet"/>
      <w:lvlText w:val="•"/>
      <w:lvlJc w:val="left"/>
      <w:pPr>
        <w:ind w:left="1753" w:hanging="256"/>
      </w:pPr>
      <w:rPr>
        <w:lang w:val="en-US" w:eastAsia="en-US" w:bidi="ar-SA"/>
      </w:rPr>
    </w:lvl>
    <w:lvl w:ilvl="4" w:tplc="1502729C">
      <w:numFmt w:val="bullet"/>
      <w:lvlText w:val="•"/>
      <w:lvlJc w:val="left"/>
      <w:pPr>
        <w:ind w:left="2211" w:hanging="256"/>
      </w:pPr>
      <w:rPr>
        <w:lang w:val="en-US" w:eastAsia="en-US" w:bidi="ar-SA"/>
      </w:rPr>
    </w:lvl>
    <w:lvl w:ilvl="5" w:tplc="52F26B86">
      <w:numFmt w:val="bullet"/>
      <w:lvlText w:val="•"/>
      <w:lvlJc w:val="left"/>
      <w:pPr>
        <w:ind w:left="2669" w:hanging="256"/>
      </w:pPr>
      <w:rPr>
        <w:lang w:val="en-US" w:eastAsia="en-US" w:bidi="ar-SA"/>
      </w:rPr>
    </w:lvl>
    <w:lvl w:ilvl="6" w:tplc="8B0CF00A">
      <w:numFmt w:val="bullet"/>
      <w:lvlText w:val="•"/>
      <w:lvlJc w:val="left"/>
      <w:pPr>
        <w:ind w:left="3127" w:hanging="256"/>
      </w:pPr>
      <w:rPr>
        <w:lang w:val="en-US" w:eastAsia="en-US" w:bidi="ar-SA"/>
      </w:rPr>
    </w:lvl>
    <w:lvl w:ilvl="7" w:tplc="3132987A">
      <w:numFmt w:val="bullet"/>
      <w:lvlText w:val="•"/>
      <w:lvlJc w:val="left"/>
      <w:pPr>
        <w:ind w:left="3585" w:hanging="256"/>
      </w:pPr>
      <w:rPr>
        <w:lang w:val="en-US" w:eastAsia="en-US" w:bidi="ar-SA"/>
      </w:rPr>
    </w:lvl>
    <w:lvl w:ilvl="8" w:tplc="FF76111C">
      <w:numFmt w:val="bullet"/>
      <w:lvlText w:val="•"/>
      <w:lvlJc w:val="left"/>
      <w:pPr>
        <w:ind w:left="4043" w:hanging="256"/>
      </w:pPr>
      <w:rPr>
        <w:lang w:val="en-US" w:eastAsia="en-US" w:bidi="ar-SA"/>
      </w:rPr>
    </w:lvl>
  </w:abstractNum>
  <w:abstractNum w:abstractNumId="38" w15:restartNumberingAfterBreak="0">
    <w:nsid w:val="3E186E97"/>
    <w:multiLevelType w:val="hybridMultilevel"/>
    <w:tmpl w:val="CB24E0CA"/>
    <w:lvl w:ilvl="0" w:tplc="2DA46510">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A74EF4F2">
      <w:numFmt w:val="bullet"/>
      <w:lvlText w:val="•"/>
      <w:lvlJc w:val="left"/>
      <w:pPr>
        <w:ind w:left="603" w:hanging="256"/>
      </w:pPr>
      <w:rPr>
        <w:lang w:val="en-US" w:eastAsia="en-US" w:bidi="ar-SA"/>
      </w:rPr>
    </w:lvl>
    <w:lvl w:ilvl="2" w:tplc="A300AFC2">
      <w:numFmt w:val="bullet"/>
      <w:lvlText w:val="•"/>
      <w:lvlJc w:val="left"/>
      <w:pPr>
        <w:ind w:left="1087" w:hanging="256"/>
      </w:pPr>
      <w:rPr>
        <w:lang w:val="en-US" w:eastAsia="en-US" w:bidi="ar-SA"/>
      </w:rPr>
    </w:lvl>
    <w:lvl w:ilvl="3" w:tplc="2FAAEB74">
      <w:numFmt w:val="bullet"/>
      <w:lvlText w:val="•"/>
      <w:lvlJc w:val="left"/>
      <w:pPr>
        <w:ind w:left="1571" w:hanging="256"/>
      </w:pPr>
      <w:rPr>
        <w:lang w:val="en-US" w:eastAsia="en-US" w:bidi="ar-SA"/>
      </w:rPr>
    </w:lvl>
    <w:lvl w:ilvl="4" w:tplc="657CAB08">
      <w:numFmt w:val="bullet"/>
      <w:lvlText w:val="•"/>
      <w:lvlJc w:val="left"/>
      <w:pPr>
        <w:ind w:left="2055" w:hanging="256"/>
      </w:pPr>
      <w:rPr>
        <w:lang w:val="en-US" w:eastAsia="en-US" w:bidi="ar-SA"/>
      </w:rPr>
    </w:lvl>
    <w:lvl w:ilvl="5" w:tplc="F46C5438">
      <w:numFmt w:val="bullet"/>
      <w:lvlText w:val="•"/>
      <w:lvlJc w:val="left"/>
      <w:pPr>
        <w:ind w:left="2539" w:hanging="256"/>
      </w:pPr>
      <w:rPr>
        <w:lang w:val="en-US" w:eastAsia="en-US" w:bidi="ar-SA"/>
      </w:rPr>
    </w:lvl>
    <w:lvl w:ilvl="6" w:tplc="3E62907E">
      <w:numFmt w:val="bullet"/>
      <w:lvlText w:val="•"/>
      <w:lvlJc w:val="left"/>
      <w:pPr>
        <w:ind w:left="3023" w:hanging="256"/>
      </w:pPr>
      <w:rPr>
        <w:lang w:val="en-US" w:eastAsia="en-US" w:bidi="ar-SA"/>
      </w:rPr>
    </w:lvl>
    <w:lvl w:ilvl="7" w:tplc="9AFE8EC0">
      <w:numFmt w:val="bullet"/>
      <w:lvlText w:val="•"/>
      <w:lvlJc w:val="left"/>
      <w:pPr>
        <w:ind w:left="3507" w:hanging="256"/>
      </w:pPr>
      <w:rPr>
        <w:lang w:val="en-US" w:eastAsia="en-US" w:bidi="ar-SA"/>
      </w:rPr>
    </w:lvl>
    <w:lvl w:ilvl="8" w:tplc="DD360510">
      <w:numFmt w:val="bullet"/>
      <w:lvlText w:val="•"/>
      <w:lvlJc w:val="left"/>
      <w:pPr>
        <w:ind w:left="3991" w:hanging="256"/>
      </w:pPr>
      <w:rPr>
        <w:lang w:val="en-US" w:eastAsia="en-US" w:bidi="ar-SA"/>
      </w:rPr>
    </w:lvl>
  </w:abstractNum>
  <w:abstractNum w:abstractNumId="39" w15:restartNumberingAfterBreak="0">
    <w:nsid w:val="3E5920E0"/>
    <w:multiLevelType w:val="hybridMultilevel"/>
    <w:tmpl w:val="B3B248A4"/>
    <w:lvl w:ilvl="0" w:tplc="0B480314">
      <w:numFmt w:val="bullet"/>
      <w:lvlText w:val="■"/>
      <w:lvlJc w:val="left"/>
      <w:pPr>
        <w:ind w:left="118" w:hanging="256"/>
      </w:pPr>
      <w:rPr>
        <w:rFonts w:ascii="MS UI Gothic" w:eastAsia="MS UI Gothic" w:hAnsi="MS UI Gothic" w:cs="MS UI Gothic" w:hint="eastAsia"/>
        <w:w w:val="100"/>
        <w:sz w:val="20"/>
        <w:szCs w:val="20"/>
        <w:lang w:val="en-US" w:eastAsia="en-US" w:bidi="ar-SA"/>
      </w:rPr>
    </w:lvl>
    <w:lvl w:ilvl="1" w:tplc="77BA93DA">
      <w:numFmt w:val="bullet"/>
      <w:lvlText w:val="•"/>
      <w:lvlJc w:val="left"/>
      <w:pPr>
        <w:ind w:left="603" w:hanging="256"/>
      </w:pPr>
      <w:rPr>
        <w:lang w:val="en-US" w:eastAsia="en-US" w:bidi="ar-SA"/>
      </w:rPr>
    </w:lvl>
    <w:lvl w:ilvl="2" w:tplc="7E32A92A">
      <w:numFmt w:val="bullet"/>
      <w:lvlText w:val="•"/>
      <w:lvlJc w:val="left"/>
      <w:pPr>
        <w:ind w:left="1087" w:hanging="256"/>
      </w:pPr>
      <w:rPr>
        <w:lang w:val="en-US" w:eastAsia="en-US" w:bidi="ar-SA"/>
      </w:rPr>
    </w:lvl>
    <w:lvl w:ilvl="3" w:tplc="52FE6826">
      <w:numFmt w:val="bullet"/>
      <w:lvlText w:val="•"/>
      <w:lvlJc w:val="left"/>
      <w:pPr>
        <w:ind w:left="1571" w:hanging="256"/>
      </w:pPr>
      <w:rPr>
        <w:lang w:val="en-US" w:eastAsia="en-US" w:bidi="ar-SA"/>
      </w:rPr>
    </w:lvl>
    <w:lvl w:ilvl="4" w:tplc="F6BE73B0">
      <w:numFmt w:val="bullet"/>
      <w:lvlText w:val="•"/>
      <w:lvlJc w:val="left"/>
      <w:pPr>
        <w:ind w:left="2055" w:hanging="256"/>
      </w:pPr>
      <w:rPr>
        <w:lang w:val="en-US" w:eastAsia="en-US" w:bidi="ar-SA"/>
      </w:rPr>
    </w:lvl>
    <w:lvl w:ilvl="5" w:tplc="9334C07A">
      <w:numFmt w:val="bullet"/>
      <w:lvlText w:val="•"/>
      <w:lvlJc w:val="left"/>
      <w:pPr>
        <w:ind w:left="2539" w:hanging="256"/>
      </w:pPr>
      <w:rPr>
        <w:lang w:val="en-US" w:eastAsia="en-US" w:bidi="ar-SA"/>
      </w:rPr>
    </w:lvl>
    <w:lvl w:ilvl="6" w:tplc="7B8C18B8">
      <w:numFmt w:val="bullet"/>
      <w:lvlText w:val="•"/>
      <w:lvlJc w:val="left"/>
      <w:pPr>
        <w:ind w:left="3023" w:hanging="256"/>
      </w:pPr>
      <w:rPr>
        <w:lang w:val="en-US" w:eastAsia="en-US" w:bidi="ar-SA"/>
      </w:rPr>
    </w:lvl>
    <w:lvl w:ilvl="7" w:tplc="9F867C8E">
      <w:numFmt w:val="bullet"/>
      <w:lvlText w:val="•"/>
      <w:lvlJc w:val="left"/>
      <w:pPr>
        <w:ind w:left="3507" w:hanging="256"/>
      </w:pPr>
      <w:rPr>
        <w:lang w:val="en-US" w:eastAsia="en-US" w:bidi="ar-SA"/>
      </w:rPr>
    </w:lvl>
    <w:lvl w:ilvl="8" w:tplc="B5D08AD0">
      <w:numFmt w:val="bullet"/>
      <w:lvlText w:val="•"/>
      <w:lvlJc w:val="left"/>
      <w:pPr>
        <w:ind w:left="3991" w:hanging="256"/>
      </w:pPr>
      <w:rPr>
        <w:lang w:val="en-US" w:eastAsia="en-US" w:bidi="ar-SA"/>
      </w:rPr>
    </w:lvl>
  </w:abstractNum>
  <w:abstractNum w:abstractNumId="40" w15:restartNumberingAfterBreak="0">
    <w:nsid w:val="4073424E"/>
    <w:multiLevelType w:val="hybridMultilevel"/>
    <w:tmpl w:val="F25A0C68"/>
    <w:lvl w:ilvl="0" w:tplc="732829B8">
      <w:numFmt w:val="bullet"/>
      <w:lvlText w:val="■"/>
      <w:lvlJc w:val="left"/>
      <w:pPr>
        <w:ind w:left="374" w:hanging="256"/>
      </w:pPr>
      <w:rPr>
        <w:rFonts w:ascii="MS UI Gothic" w:eastAsia="MS UI Gothic" w:hAnsi="MS UI Gothic" w:cs="MS UI Gothic" w:hint="eastAsia"/>
        <w:w w:val="100"/>
        <w:sz w:val="20"/>
        <w:szCs w:val="20"/>
        <w:lang w:val="en-US" w:eastAsia="en-US" w:bidi="ar-SA"/>
      </w:rPr>
    </w:lvl>
    <w:lvl w:ilvl="1" w:tplc="C9A69F38">
      <w:numFmt w:val="bullet"/>
      <w:lvlText w:val="•"/>
      <w:lvlJc w:val="left"/>
      <w:pPr>
        <w:ind w:left="883" w:hanging="256"/>
      </w:pPr>
      <w:rPr>
        <w:lang w:val="en-US" w:eastAsia="en-US" w:bidi="ar-SA"/>
      </w:rPr>
    </w:lvl>
    <w:lvl w:ilvl="2" w:tplc="98603DD8">
      <w:numFmt w:val="bullet"/>
      <w:lvlText w:val="•"/>
      <w:lvlJc w:val="left"/>
      <w:pPr>
        <w:ind w:left="1386" w:hanging="256"/>
      </w:pPr>
      <w:rPr>
        <w:lang w:val="en-US" w:eastAsia="en-US" w:bidi="ar-SA"/>
      </w:rPr>
    </w:lvl>
    <w:lvl w:ilvl="3" w:tplc="1C042B00">
      <w:numFmt w:val="bullet"/>
      <w:lvlText w:val="•"/>
      <w:lvlJc w:val="left"/>
      <w:pPr>
        <w:ind w:left="1889" w:hanging="256"/>
      </w:pPr>
      <w:rPr>
        <w:lang w:val="en-US" w:eastAsia="en-US" w:bidi="ar-SA"/>
      </w:rPr>
    </w:lvl>
    <w:lvl w:ilvl="4" w:tplc="20E8C592">
      <w:numFmt w:val="bullet"/>
      <w:lvlText w:val="•"/>
      <w:lvlJc w:val="left"/>
      <w:pPr>
        <w:ind w:left="2392" w:hanging="256"/>
      </w:pPr>
      <w:rPr>
        <w:lang w:val="en-US" w:eastAsia="en-US" w:bidi="ar-SA"/>
      </w:rPr>
    </w:lvl>
    <w:lvl w:ilvl="5" w:tplc="F95AB664">
      <w:numFmt w:val="bullet"/>
      <w:lvlText w:val="•"/>
      <w:lvlJc w:val="left"/>
      <w:pPr>
        <w:ind w:left="2895" w:hanging="256"/>
      </w:pPr>
      <w:rPr>
        <w:lang w:val="en-US" w:eastAsia="en-US" w:bidi="ar-SA"/>
      </w:rPr>
    </w:lvl>
    <w:lvl w:ilvl="6" w:tplc="AB3EDF38">
      <w:numFmt w:val="bullet"/>
      <w:lvlText w:val="•"/>
      <w:lvlJc w:val="left"/>
      <w:pPr>
        <w:ind w:left="3398" w:hanging="256"/>
      </w:pPr>
      <w:rPr>
        <w:lang w:val="en-US" w:eastAsia="en-US" w:bidi="ar-SA"/>
      </w:rPr>
    </w:lvl>
    <w:lvl w:ilvl="7" w:tplc="FA787A16">
      <w:numFmt w:val="bullet"/>
      <w:lvlText w:val="•"/>
      <w:lvlJc w:val="left"/>
      <w:pPr>
        <w:ind w:left="3901" w:hanging="256"/>
      </w:pPr>
      <w:rPr>
        <w:lang w:val="en-US" w:eastAsia="en-US" w:bidi="ar-SA"/>
      </w:rPr>
    </w:lvl>
    <w:lvl w:ilvl="8" w:tplc="35CC50BA">
      <w:numFmt w:val="bullet"/>
      <w:lvlText w:val="•"/>
      <w:lvlJc w:val="left"/>
      <w:pPr>
        <w:ind w:left="4404" w:hanging="256"/>
      </w:pPr>
      <w:rPr>
        <w:lang w:val="en-US" w:eastAsia="en-US" w:bidi="ar-SA"/>
      </w:rPr>
    </w:lvl>
  </w:abstractNum>
  <w:abstractNum w:abstractNumId="41" w15:restartNumberingAfterBreak="0">
    <w:nsid w:val="44A53775"/>
    <w:multiLevelType w:val="hybridMultilevel"/>
    <w:tmpl w:val="6AC0A3F6"/>
    <w:lvl w:ilvl="0" w:tplc="A9A836B4">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21C4D200">
      <w:numFmt w:val="bullet"/>
      <w:lvlText w:val="•"/>
      <w:lvlJc w:val="left"/>
      <w:pPr>
        <w:ind w:left="603" w:hanging="256"/>
      </w:pPr>
      <w:rPr>
        <w:lang w:val="en-US" w:eastAsia="en-US" w:bidi="ar-SA"/>
      </w:rPr>
    </w:lvl>
    <w:lvl w:ilvl="2" w:tplc="D5E6831A">
      <w:numFmt w:val="bullet"/>
      <w:lvlText w:val="•"/>
      <w:lvlJc w:val="left"/>
      <w:pPr>
        <w:ind w:left="1087" w:hanging="256"/>
      </w:pPr>
      <w:rPr>
        <w:lang w:val="en-US" w:eastAsia="en-US" w:bidi="ar-SA"/>
      </w:rPr>
    </w:lvl>
    <w:lvl w:ilvl="3" w:tplc="07EAED8E">
      <w:numFmt w:val="bullet"/>
      <w:lvlText w:val="•"/>
      <w:lvlJc w:val="left"/>
      <w:pPr>
        <w:ind w:left="1571" w:hanging="256"/>
      </w:pPr>
      <w:rPr>
        <w:lang w:val="en-US" w:eastAsia="en-US" w:bidi="ar-SA"/>
      </w:rPr>
    </w:lvl>
    <w:lvl w:ilvl="4" w:tplc="0D2E05BC">
      <w:numFmt w:val="bullet"/>
      <w:lvlText w:val="•"/>
      <w:lvlJc w:val="left"/>
      <w:pPr>
        <w:ind w:left="2055" w:hanging="256"/>
      </w:pPr>
      <w:rPr>
        <w:lang w:val="en-US" w:eastAsia="en-US" w:bidi="ar-SA"/>
      </w:rPr>
    </w:lvl>
    <w:lvl w:ilvl="5" w:tplc="5F0E33AA">
      <w:numFmt w:val="bullet"/>
      <w:lvlText w:val="•"/>
      <w:lvlJc w:val="left"/>
      <w:pPr>
        <w:ind w:left="2539" w:hanging="256"/>
      </w:pPr>
      <w:rPr>
        <w:lang w:val="en-US" w:eastAsia="en-US" w:bidi="ar-SA"/>
      </w:rPr>
    </w:lvl>
    <w:lvl w:ilvl="6" w:tplc="7E7278FC">
      <w:numFmt w:val="bullet"/>
      <w:lvlText w:val="•"/>
      <w:lvlJc w:val="left"/>
      <w:pPr>
        <w:ind w:left="3023" w:hanging="256"/>
      </w:pPr>
      <w:rPr>
        <w:lang w:val="en-US" w:eastAsia="en-US" w:bidi="ar-SA"/>
      </w:rPr>
    </w:lvl>
    <w:lvl w:ilvl="7" w:tplc="CA6C4448">
      <w:numFmt w:val="bullet"/>
      <w:lvlText w:val="•"/>
      <w:lvlJc w:val="left"/>
      <w:pPr>
        <w:ind w:left="3507" w:hanging="256"/>
      </w:pPr>
      <w:rPr>
        <w:lang w:val="en-US" w:eastAsia="en-US" w:bidi="ar-SA"/>
      </w:rPr>
    </w:lvl>
    <w:lvl w:ilvl="8" w:tplc="DA2A034C">
      <w:numFmt w:val="bullet"/>
      <w:lvlText w:val="•"/>
      <w:lvlJc w:val="left"/>
      <w:pPr>
        <w:ind w:left="3991" w:hanging="256"/>
      </w:pPr>
      <w:rPr>
        <w:lang w:val="en-US" w:eastAsia="en-US" w:bidi="ar-SA"/>
      </w:rPr>
    </w:lvl>
  </w:abstractNum>
  <w:abstractNum w:abstractNumId="42" w15:restartNumberingAfterBreak="0">
    <w:nsid w:val="4B3D3329"/>
    <w:multiLevelType w:val="hybridMultilevel"/>
    <w:tmpl w:val="F3DABE16"/>
    <w:lvl w:ilvl="0" w:tplc="F3BE8A6E">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49FCB968">
      <w:numFmt w:val="bullet"/>
      <w:lvlText w:val="•"/>
      <w:lvlJc w:val="left"/>
      <w:pPr>
        <w:ind w:left="603" w:hanging="256"/>
      </w:pPr>
      <w:rPr>
        <w:lang w:val="en-US" w:eastAsia="en-US" w:bidi="ar-SA"/>
      </w:rPr>
    </w:lvl>
    <w:lvl w:ilvl="2" w:tplc="7CFC3E0E">
      <w:numFmt w:val="bullet"/>
      <w:lvlText w:val="•"/>
      <w:lvlJc w:val="left"/>
      <w:pPr>
        <w:ind w:left="1087" w:hanging="256"/>
      </w:pPr>
      <w:rPr>
        <w:lang w:val="en-US" w:eastAsia="en-US" w:bidi="ar-SA"/>
      </w:rPr>
    </w:lvl>
    <w:lvl w:ilvl="3" w:tplc="2E0CF608">
      <w:numFmt w:val="bullet"/>
      <w:lvlText w:val="•"/>
      <w:lvlJc w:val="left"/>
      <w:pPr>
        <w:ind w:left="1571" w:hanging="256"/>
      </w:pPr>
      <w:rPr>
        <w:lang w:val="en-US" w:eastAsia="en-US" w:bidi="ar-SA"/>
      </w:rPr>
    </w:lvl>
    <w:lvl w:ilvl="4" w:tplc="4DCCF20A">
      <w:numFmt w:val="bullet"/>
      <w:lvlText w:val="•"/>
      <w:lvlJc w:val="left"/>
      <w:pPr>
        <w:ind w:left="2055" w:hanging="256"/>
      </w:pPr>
      <w:rPr>
        <w:lang w:val="en-US" w:eastAsia="en-US" w:bidi="ar-SA"/>
      </w:rPr>
    </w:lvl>
    <w:lvl w:ilvl="5" w:tplc="1FA8CD98">
      <w:numFmt w:val="bullet"/>
      <w:lvlText w:val="•"/>
      <w:lvlJc w:val="left"/>
      <w:pPr>
        <w:ind w:left="2539" w:hanging="256"/>
      </w:pPr>
      <w:rPr>
        <w:lang w:val="en-US" w:eastAsia="en-US" w:bidi="ar-SA"/>
      </w:rPr>
    </w:lvl>
    <w:lvl w:ilvl="6" w:tplc="CEC04E38">
      <w:numFmt w:val="bullet"/>
      <w:lvlText w:val="•"/>
      <w:lvlJc w:val="left"/>
      <w:pPr>
        <w:ind w:left="3023" w:hanging="256"/>
      </w:pPr>
      <w:rPr>
        <w:lang w:val="en-US" w:eastAsia="en-US" w:bidi="ar-SA"/>
      </w:rPr>
    </w:lvl>
    <w:lvl w:ilvl="7" w:tplc="356CDB66">
      <w:numFmt w:val="bullet"/>
      <w:lvlText w:val="•"/>
      <w:lvlJc w:val="left"/>
      <w:pPr>
        <w:ind w:left="3507" w:hanging="256"/>
      </w:pPr>
      <w:rPr>
        <w:lang w:val="en-US" w:eastAsia="en-US" w:bidi="ar-SA"/>
      </w:rPr>
    </w:lvl>
    <w:lvl w:ilvl="8" w:tplc="59741070">
      <w:numFmt w:val="bullet"/>
      <w:lvlText w:val="•"/>
      <w:lvlJc w:val="left"/>
      <w:pPr>
        <w:ind w:left="3991" w:hanging="256"/>
      </w:pPr>
      <w:rPr>
        <w:lang w:val="en-US" w:eastAsia="en-US" w:bidi="ar-SA"/>
      </w:rPr>
    </w:lvl>
  </w:abstractNum>
  <w:abstractNum w:abstractNumId="43" w15:restartNumberingAfterBreak="0">
    <w:nsid w:val="4DCD77A5"/>
    <w:multiLevelType w:val="hybridMultilevel"/>
    <w:tmpl w:val="A448D756"/>
    <w:lvl w:ilvl="0" w:tplc="924CF85C">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8BB4154C">
      <w:numFmt w:val="bullet"/>
      <w:lvlText w:val="•"/>
      <w:lvlJc w:val="left"/>
      <w:pPr>
        <w:ind w:left="603" w:hanging="256"/>
      </w:pPr>
      <w:rPr>
        <w:lang w:val="en-US" w:eastAsia="en-US" w:bidi="ar-SA"/>
      </w:rPr>
    </w:lvl>
    <w:lvl w:ilvl="2" w:tplc="462C8776">
      <w:numFmt w:val="bullet"/>
      <w:lvlText w:val="•"/>
      <w:lvlJc w:val="left"/>
      <w:pPr>
        <w:ind w:left="1087" w:hanging="256"/>
      </w:pPr>
      <w:rPr>
        <w:lang w:val="en-US" w:eastAsia="en-US" w:bidi="ar-SA"/>
      </w:rPr>
    </w:lvl>
    <w:lvl w:ilvl="3" w:tplc="6394C324">
      <w:numFmt w:val="bullet"/>
      <w:lvlText w:val="•"/>
      <w:lvlJc w:val="left"/>
      <w:pPr>
        <w:ind w:left="1571" w:hanging="256"/>
      </w:pPr>
      <w:rPr>
        <w:lang w:val="en-US" w:eastAsia="en-US" w:bidi="ar-SA"/>
      </w:rPr>
    </w:lvl>
    <w:lvl w:ilvl="4" w:tplc="DAC6591C">
      <w:numFmt w:val="bullet"/>
      <w:lvlText w:val="•"/>
      <w:lvlJc w:val="left"/>
      <w:pPr>
        <w:ind w:left="2055" w:hanging="256"/>
      </w:pPr>
      <w:rPr>
        <w:lang w:val="en-US" w:eastAsia="en-US" w:bidi="ar-SA"/>
      </w:rPr>
    </w:lvl>
    <w:lvl w:ilvl="5" w:tplc="E81E7B7A">
      <w:numFmt w:val="bullet"/>
      <w:lvlText w:val="•"/>
      <w:lvlJc w:val="left"/>
      <w:pPr>
        <w:ind w:left="2539" w:hanging="256"/>
      </w:pPr>
      <w:rPr>
        <w:lang w:val="en-US" w:eastAsia="en-US" w:bidi="ar-SA"/>
      </w:rPr>
    </w:lvl>
    <w:lvl w:ilvl="6" w:tplc="865CEEA4">
      <w:numFmt w:val="bullet"/>
      <w:lvlText w:val="•"/>
      <w:lvlJc w:val="left"/>
      <w:pPr>
        <w:ind w:left="3023" w:hanging="256"/>
      </w:pPr>
      <w:rPr>
        <w:lang w:val="en-US" w:eastAsia="en-US" w:bidi="ar-SA"/>
      </w:rPr>
    </w:lvl>
    <w:lvl w:ilvl="7" w:tplc="D2C2F31A">
      <w:numFmt w:val="bullet"/>
      <w:lvlText w:val="•"/>
      <w:lvlJc w:val="left"/>
      <w:pPr>
        <w:ind w:left="3507" w:hanging="256"/>
      </w:pPr>
      <w:rPr>
        <w:lang w:val="en-US" w:eastAsia="en-US" w:bidi="ar-SA"/>
      </w:rPr>
    </w:lvl>
    <w:lvl w:ilvl="8" w:tplc="B73CEB28">
      <w:numFmt w:val="bullet"/>
      <w:lvlText w:val="•"/>
      <w:lvlJc w:val="left"/>
      <w:pPr>
        <w:ind w:left="3991" w:hanging="256"/>
      </w:pPr>
      <w:rPr>
        <w:lang w:val="en-US" w:eastAsia="en-US" w:bidi="ar-SA"/>
      </w:rPr>
    </w:lvl>
  </w:abstractNum>
  <w:abstractNum w:abstractNumId="44" w15:restartNumberingAfterBreak="0">
    <w:nsid w:val="501029FC"/>
    <w:multiLevelType w:val="hybridMultilevel"/>
    <w:tmpl w:val="D1A66810"/>
    <w:lvl w:ilvl="0" w:tplc="895C14D4">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77903276">
      <w:numFmt w:val="bullet"/>
      <w:lvlText w:val="•"/>
      <w:lvlJc w:val="left"/>
      <w:pPr>
        <w:ind w:left="846" w:hanging="256"/>
      </w:pPr>
      <w:rPr>
        <w:lang w:val="en-US" w:eastAsia="en-US" w:bidi="ar-SA"/>
      </w:rPr>
    </w:lvl>
    <w:lvl w:ilvl="2" w:tplc="417812CE">
      <w:numFmt w:val="bullet"/>
      <w:lvlText w:val="•"/>
      <w:lvlJc w:val="left"/>
      <w:pPr>
        <w:ind w:left="1313" w:hanging="256"/>
      </w:pPr>
      <w:rPr>
        <w:lang w:val="en-US" w:eastAsia="en-US" w:bidi="ar-SA"/>
      </w:rPr>
    </w:lvl>
    <w:lvl w:ilvl="3" w:tplc="BB786CF0">
      <w:numFmt w:val="bullet"/>
      <w:lvlText w:val="•"/>
      <w:lvlJc w:val="left"/>
      <w:pPr>
        <w:ind w:left="1780" w:hanging="256"/>
      </w:pPr>
      <w:rPr>
        <w:lang w:val="en-US" w:eastAsia="en-US" w:bidi="ar-SA"/>
      </w:rPr>
    </w:lvl>
    <w:lvl w:ilvl="4" w:tplc="8AE02C24">
      <w:numFmt w:val="bullet"/>
      <w:lvlText w:val="•"/>
      <w:lvlJc w:val="left"/>
      <w:pPr>
        <w:ind w:left="2247" w:hanging="256"/>
      </w:pPr>
      <w:rPr>
        <w:lang w:val="en-US" w:eastAsia="en-US" w:bidi="ar-SA"/>
      </w:rPr>
    </w:lvl>
    <w:lvl w:ilvl="5" w:tplc="CBAC1C8C">
      <w:numFmt w:val="bullet"/>
      <w:lvlText w:val="•"/>
      <w:lvlJc w:val="left"/>
      <w:pPr>
        <w:ind w:left="2714" w:hanging="256"/>
      </w:pPr>
      <w:rPr>
        <w:lang w:val="en-US" w:eastAsia="en-US" w:bidi="ar-SA"/>
      </w:rPr>
    </w:lvl>
    <w:lvl w:ilvl="6" w:tplc="9DB6EB1E">
      <w:numFmt w:val="bullet"/>
      <w:lvlText w:val="•"/>
      <w:lvlJc w:val="left"/>
      <w:pPr>
        <w:ind w:left="3181" w:hanging="256"/>
      </w:pPr>
      <w:rPr>
        <w:lang w:val="en-US" w:eastAsia="en-US" w:bidi="ar-SA"/>
      </w:rPr>
    </w:lvl>
    <w:lvl w:ilvl="7" w:tplc="7F1E3B70">
      <w:numFmt w:val="bullet"/>
      <w:lvlText w:val="•"/>
      <w:lvlJc w:val="left"/>
      <w:pPr>
        <w:ind w:left="3648" w:hanging="256"/>
      </w:pPr>
      <w:rPr>
        <w:lang w:val="en-US" w:eastAsia="en-US" w:bidi="ar-SA"/>
      </w:rPr>
    </w:lvl>
    <w:lvl w:ilvl="8" w:tplc="C4685BA0">
      <w:numFmt w:val="bullet"/>
      <w:lvlText w:val="•"/>
      <w:lvlJc w:val="left"/>
      <w:pPr>
        <w:ind w:left="4115" w:hanging="256"/>
      </w:pPr>
      <w:rPr>
        <w:lang w:val="en-US" w:eastAsia="en-US" w:bidi="ar-SA"/>
      </w:rPr>
    </w:lvl>
  </w:abstractNum>
  <w:abstractNum w:abstractNumId="45" w15:restartNumberingAfterBreak="0">
    <w:nsid w:val="55B9744B"/>
    <w:multiLevelType w:val="hybridMultilevel"/>
    <w:tmpl w:val="60785F88"/>
    <w:lvl w:ilvl="0" w:tplc="7C94C196">
      <w:numFmt w:val="bullet"/>
      <w:lvlText w:val="■"/>
      <w:lvlJc w:val="left"/>
      <w:pPr>
        <w:ind w:left="374" w:hanging="256"/>
      </w:pPr>
      <w:rPr>
        <w:rFonts w:ascii="MS UI Gothic" w:eastAsia="MS UI Gothic" w:hAnsi="MS UI Gothic" w:cs="MS UI Gothic" w:hint="eastAsia"/>
        <w:w w:val="100"/>
        <w:sz w:val="20"/>
        <w:szCs w:val="20"/>
        <w:lang w:val="en-US" w:eastAsia="en-US" w:bidi="ar-SA"/>
      </w:rPr>
    </w:lvl>
    <w:lvl w:ilvl="1" w:tplc="5254F3E4">
      <w:numFmt w:val="bullet"/>
      <w:lvlText w:val="•"/>
      <w:lvlJc w:val="left"/>
      <w:pPr>
        <w:ind w:left="883" w:hanging="256"/>
      </w:pPr>
      <w:rPr>
        <w:lang w:val="en-US" w:eastAsia="en-US" w:bidi="ar-SA"/>
      </w:rPr>
    </w:lvl>
    <w:lvl w:ilvl="2" w:tplc="F30A70F6">
      <w:numFmt w:val="bullet"/>
      <w:lvlText w:val="•"/>
      <w:lvlJc w:val="left"/>
      <w:pPr>
        <w:ind w:left="1386" w:hanging="256"/>
      </w:pPr>
      <w:rPr>
        <w:lang w:val="en-US" w:eastAsia="en-US" w:bidi="ar-SA"/>
      </w:rPr>
    </w:lvl>
    <w:lvl w:ilvl="3" w:tplc="1C04476A">
      <w:numFmt w:val="bullet"/>
      <w:lvlText w:val="•"/>
      <w:lvlJc w:val="left"/>
      <w:pPr>
        <w:ind w:left="1889" w:hanging="256"/>
      </w:pPr>
      <w:rPr>
        <w:lang w:val="en-US" w:eastAsia="en-US" w:bidi="ar-SA"/>
      </w:rPr>
    </w:lvl>
    <w:lvl w:ilvl="4" w:tplc="2E70E5E2">
      <w:numFmt w:val="bullet"/>
      <w:lvlText w:val="•"/>
      <w:lvlJc w:val="left"/>
      <w:pPr>
        <w:ind w:left="2392" w:hanging="256"/>
      </w:pPr>
      <w:rPr>
        <w:lang w:val="en-US" w:eastAsia="en-US" w:bidi="ar-SA"/>
      </w:rPr>
    </w:lvl>
    <w:lvl w:ilvl="5" w:tplc="9F5C26A6">
      <w:numFmt w:val="bullet"/>
      <w:lvlText w:val="•"/>
      <w:lvlJc w:val="left"/>
      <w:pPr>
        <w:ind w:left="2895" w:hanging="256"/>
      </w:pPr>
      <w:rPr>
        <w:lang w:val="en-US" w:eastAsia="en-US" w:bidi="ar-SA"/>
      </w:rPr>
    </w:lvl>
    <w:lvl w:ilvl="6" w:tplc="012AE6CA">
      <w:numFmt w:val="bullet"/>
      <w:lvlText w:val="•"/>
      <w:lvlJc w:val="left"/>
      <w:pPr>
        <w:ind w:left="3398" w:hanging="256"/>
      </w:pPr>
      <w:rPr>
        <w:lang w:val="en-US" w:eastAsia="en-US" w:bidi="ar-SA"/>
      </w:rPr>
    </w:lvl>
    <w:lvl w:ilvl="7" w:tplc="626E736A">
      <w:numFmt w:val="bullet"/>
      <w:lvlText w:val="•"/>
      <w:lvlJc w:val="left"/>
      <w:pPr>
        <w:ind w:left="3901" w:hanging="256"/>
      </w:pPr>
      <w:rPr>
        <w:lang w:val="en-US" w:eastAsia="en-US" w:bidi="ar-SA"/>
      </w:rPr>
    </w:lvl>
    <w:lvl w:ilvl="8" w:tplc="3AFAE2E6">
      <w:numFmt w:val="bullet"/>
      <w:lvlText w:val="•"/>
      <w:lvlJc w:val="left"/>
      <w:pPr>
        <w:ind w:left="4404" w:hanging="256"/>
      </w:pPr>
      <w:rPr>
        <w:lang w:val="en-US" w:eastAsia="en-US" w:bidi="ar-SA"/>
      </w:rPr>
    </w:lvl>
  </w:abstractNum>
  <w:abstractNum w:abstractNumId="46" w15:restartNumberingAfterBreak="0">
    <w:nsid w:val="566B0800"/>
    <w:multiLevelType w:val="hybridMultilevel"/>
    <w:tmpl w:val="4188497E"/>
    <w:lvl w:ilvl="0" w:tplc="F2BE0520">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DDC0C7B6">
      <w:numFmt w:val="bullet"/>
      <w:lvlText w:val="•"/>
      <w:lvlJc w:val="left"/>
      <w:pPr>
        <w:ind w:left="883" w:hanging="256"/>
      </w:pPr>
      <w:rPr>
        <w:lang w:val="en-US" w:eastAsia="en-US" w:bidi="ar-SA"/>
      </w:rPr>
    </w:lvl>
    <w:lvl w:ilvl="2" w:tplc="2A28AADC">
      <w:numFmt w:val="bullet"/>
      <w:lvlText w:val="•"/>
      <w:lvlJc w:val="left"/>
      <w:pPr>
        <w:ind w:left="1386" w:hanging="256"/>
      </w:pPr>
      <w:rPr>
        <w:lang w:val="en-US" w:eastAsia="en-US" w:bidi="ar-SA"/>
      </w:rPr>
    </w:lvl>
    <w:lvl w:ilvl="3" w:tplc="247061CE">
      <w:numFmt w:val="bullet"/>
      <w:lvlText w:val="•"/>
      <w:lvlJc w:val="left"/>
      <w:pPr>
        <w:ind w:left="1889" w:hanging="256"/>
      </w:pPr>
      <w:rPr>
        <w:lang w:val="en-US" w:eastAsia="en-US" w:bidi="ar-SA"/>
      </w:rPr>
    </w:lvl>
    <w:lvl w:ilvl="4" w:tplc="A8D47B4A">
      <w:numFmt w:val="bullet"/>
      <w:lvlText w:val="•"/>
      <w:lvlJc w:val="left"/>
      <w:pPr>
        <w:ind w:left="2392" w:hanging="256"/>
      </w:pPr>
      <w:rPr>
        <w:lang w:val="en-US" w:eastAsia="en-US" w:bidi="ar-SA"/>
      </w:rPr>
    </w:lvl>
    <w:lvl w:ilvl="5" w:tplc="53682D48">
      <w:numFmt w:val="bullet"/>
      <w:lvlText w:val="•"/>
      <w:lvlJc w:val="left"/>
      <w:pPr>
        <w:ind w:left="2895" w:hanging="256"/>
      </w:pPr>
      <w:rPr>
        <w:lang w:val="en-US" w:eastAsia="en-US" w:bidi="ar-SA"/>
      </w:rPr>
    </w:lvl>
    <w:lvl w:ilvl="6" w:tplc="9F2E455E">
      <w:numFmt w:val="bullet"/>
      <w:lvlText w:val="•"/>
      <w:lvlJc w:val="left"/>
      <w:pPr>
        <w:ind w:left="3398" w:hanging="256"/>
      </w:pPr>
      <w:rPr>
        <w:lang w:val="en-US" w:eastAsia="en-US" w:bidi="ar-SA"/>
      </w:rPr>
    </w:lvl>
    <w:lvl w:ilvl="7" w:tplc="A0649834">
      <w:numFmt w:val="bullet"/>
      <w:lvlText w:val="•"/>
      <w:lvlJc w:val="left"/>
      <w:pPr>
        <w:ind w:left="3901" w:hanging="256"/>
      </w:pPr>
      <w:rPr>
        <w:lang w:val="en-US" w:eastAsia="en-US" w:bidi="ar-SA"/>
      </w:rPr>
    </w:lvl>
    <w:lvl w:ilvl="8" w:tplc="79646E62">
      <w:numFmt w:val="bullet"/>
      <w:lvlText w:val="•"/>
      <w:lvlJc w:val="left"/>
      <w:pPr>
        <w:ind w:left="4404" w:hanging="256"/>
      </w:pPr>
      <w:rPr>
        <w:lang w:val="en-US" w:eastAsia="en-US" w:bidi="ar-SA"/>
      </w:rPr>
    </w:lvl>
  </w:abstractNum>
  <w:abstractNum w:abstractNumId="47" w15:restartNumberingAfterBreak="0">
    <w:nsid w:val="56793759"/>
    <w:multiLevelType w:val="hybridMultilevel"/>
    <w:tmpl w:val="2B466080"/>
    <w:lvl w:ilvl="0" w:tplc="9612CC52">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0702474C">
      <w:numFmt w:val="bullet"/>
      <w:lvlText w:val="•"/>
      <w:lvlJc w:val="left"/>
      <w:pPr>
        <w:ind w:left="883" w:hanging="256"/>
      </w:pPr>
      <w:rPr>
        <w:lang w:val="en-US" w:eastAsia="en-US" w:bidi="ar-SA"/>
      </w:rPr>
    </w:lvl>
    <w:lvl w:ilvl="2" w:tplc="9A46FAC8">
      <w:numFmt w:val="bullet"/>
      <w:lvlText w:val="•"/>
      <w:lvlJc w:val="left"/>
      <w:pPr>
        <w:ind w:left="1386" w:hanging="256"/>
      </w:pPr>
      <w:rPr>
        <w:lang w:val="en-US" w:eastAsia="en-US" w:bidi="ar-SA"/>
      </w:rPr>
    </w:lvl>
    <w:lvl w:ilvl="3" w:tplc="757456C0">
      <w:numFmt w:val="bullet"/>
      <w:lvlText w:val="•"/>
      <w:lvlJc w:val="left"/>
      <w:pPr>
        <w:ind w:left="1889" w:hanging="256"/>
      </w:pPr>
      <w:rPr>
        <w:lang w:val="en-US" w:eastAsia="en-US" w:bidi="ar-SA"/>
      </w:rPr>
    </w:lvl>
    <w:lvl w:ilvl="4" w:tplc="8970EEDA">
      <w:numFmt w:val="bullet"/>
      <w:lvlText w:val="•"/>
      <w:lvlJc w:val="left"/>
      <w:pPr>
        <w:ind w:left="2392" w:hanging="256"/>
      </w:pPr>
      <w:rPr>
        <w:lang w:val="en-US" w:eastAsia="en-US" w:bidi="ar-SA"/>
      </w:rPr>
    </w:lvl>
    <w:lvl w:ilvl="5" w:tplc="A836BDC6">
      <w:numFmt w:val="bullet"/>
      <w:lvlText w:val="•"/>
      <w:lvlJc w:val="left"/>
      <w:pPr>
        <w:ind w:left="2895" w:hanging="256"/>
      </w:pPr>
      <w:rPr>
        <w:lang w:val="en-US" w:eastAsia="en-US" w:bidi="ar-SA"/>
      </w:rPr>
    </w:lvl>
    <w:lvl w:ilvl="6" w:tplc="D8C80CF4">
      <w:numFmt w:val="bullet"/>
      <w:lvlText w:val="•"/>
      <w:lvlJc w:val="left"/>
      <w:pPr>
        <w:ind w:left="3398" w:hanging="256"/>
      </w:pPr>
      <w:rPr>
        <w:lang w:val="en-US" w:eastAsia="en-US" w:bidi="ar-SA"/>
      </w:rPr>
    </w:lvl>
    <w:lvl w:ilvl="7" w:tplc="62AE3DD8">
      <w:numFmt w:val="bullet"/>
      <w:lvlText w:val="•"/>
      <w:lvlJc w:val="left"/>
      <w:pPr>
        <w:ind w:left="3901" w:hanging="256"/>
      </w:pPr>
      <w:rPr>
        <w:lang w:val="en-US" w:eastAsia="en-US" w:bidi="ar-SA"/>
      </w:rPr>
    </w:lvl>
    <w:lvl w:ilvl="8" w:tplc="D318CF90">
      <w:numFmt w:val="bullet"/>
      <w:lvlText w:val="•"/>
      <w:lvlJc w:val="left"/>
      <w:pPr>
        <w:ind w:left="4404" w:hanging="256"/>
      </w:pPr>
      <w:rPr>
        <w:lang w:val="en-US" w:eastAsia="en-US" w:bidi="ar-SA"/>
      </w:rPr>
    </w:lvl>
  </w:abstractNum>
  <w:abstractNum w:abstractNumId="48" w15:restartNumberingAfterBreak="0">
    <w:nsid w:val="576D2D51"/>
    <w:multiLevelType w:val="hybridMultilevel"/>
    <w:tmpl w:val="865AC3FE"/>
    <w:lvl w:ilvl="0" w:tplc="80DABA7A">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54300688">
      <w:numFmt w:val="bullet"/>
      <w:lvlText w:val="•"/>
      <w:lvlJc w:val="left"/>
      <w:pPr>
        <w:ind w:left="846" w:hanging="256"/>
      </w:pPr>
      <w:rPr>
        <w:lang w:val="en-US" w:eastAsia="en-US" w:bidi="ar-SA"/>
      </w:rPr>
    </w:lvl>
    <w:lvl w:ilvl="2" w:tplc="0682E5FC">
      <w:numFmt w:val="bullet"/>
      <w:lvlText w:val="•"/>
      <w:lvlJc w:val="left"/>
      <w:pPr>
        <w:ind w:left="1313" w:hanging="256"/>
      </w:pPr>
      <w:rPr>
        <w:lang w:val="en-US" w:eastAsia="en-US" w:bidi="ar-SA"/>
      </w:rPr>
    </w:lvl>
    <w:lvl w:ilvl="3" w:tplc="7BBC7778">
      <w:numFmt w:val="bullet"/>
      <w:lvlText w:val="•"/>
      <w:lvlJc w:val="left"/>
      <w:pPr>
        <w:ind w:left="1780" w:hanging="256"/>
      </w:pPr>
      <w:rPr>
        <w:lang w:val="en-US" w:eastAsia="en-US" w:bidi="ar-SA"/>
      </w:rPr>
    </w:lvl>
    <w:lvl w:ilvl="4" w:tplc="CF06D738">
      <w:numFmt w:val="bullet"/>
      <w:lvlText w:val="•"/>
      <w:lvlJc w:val="left"/>
      <w:pPr>
        <w:ind w:left="2247" w:hanging="256"/>
      </w:pPr>
      <w:rPr>
        <w:lang w:val="en-US" w:eastAsia="en-US" w:bidi="ar-SA"/>
      </w:rPr>
    </w:lvl>
    <w:lvl w:ilvl="5" w:tplc="19645E22">
      <w:numFmt w:val="bullet"/>
      <w:lvlText w:val="•"/>
      <w:lvlJc w:val="left"/>
      <w:pPr>
        <w:ind w:left="2714" w:hanging="256"/>
      </w:pPr>
      <w:rPr>
        <w:lang w:val="en-US" w:eastAsia="en-US" w:bidi="ar-SA"/>
      </w:rPr>
    </w:lvl>
    <w:lvl w:ilvl="6" w:tplc="D9A2CC42">
      <w:numFmt w:val="bullet"/>
      <w:lvlText w:val="•"/>
      <w:lvlJc w:val="left"/>
      <w:pPr>
        <w:ind w:left="3181" w:hanging="256"/>
      </w:pPr>
      <w:rPr>
        <w:lang w:val="en-US" w:eastAsia="en-US" w:bidi="ar-SA"/>
      </w:rPr>
    </w:lvl>
    <w:lvl w:ilvl="7" w:tplc="8C16A8A2">
      <w:numFmt w:val="bullet"/>
      <w:lvlText w:val="•"/>
      <w:lvlJc w:val="left"/>
      <w:pPr>
        <w:ind w:left="3648" w:hanging="256"/>
      </w:pPr>
      <w:rPr>
        <w:lang w:val="en-US" w:eastAsia="en-US" w:bidi="ar-SA"/>
      </w:rPr>
    </w:lvl>
    <w:lvl w:ilvl="8" w:tplc="BAEC9CEE">
      <w:numFmt w:val="bullet"/>
      <w:lvlText w:val="•"/>
      <w:lvlJc w:val="left"/>
      <w:pPr>
        <w:ind w:left="4115" w:hanging="256"/>
      </w:pPr>
      <w:rPr>
        <w:lang w:val="en-US" w:eastAsia="en-US" w:bidi="ar-SA"/>
      </w:rPr>
    </w:lvl>
  </w:abstractNum>
  <w:abstractNum w:abstractNumId="49" w15:restartNumberingAfterBreak="0">
    <w:nsid w:val="59335262"/>
    <w:multiLevelType w:val="multilevel"/>
    <w:tmpl w:val="6B3657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9427127"/>
    <w:multiLevelType w:val="hybridMultilevel"/>
    <w:tmpl w:val="80F0096E"/>
    <w:lvl w:ilvl="0" w:tplc="1D0474F6">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6E34635A">
      <w:numFmt w:val="bullet"/>
      <w:lvlText w:val="•"/>
      <w:lvlJc w:val="left"/>
      <w:pPr>
        <w:ind w:left="603" w:hanging="256"/>
      </w:pPr>
      <w:rPr>
        <w:lang w:val="en-US" w:eastAsia="en-US" w:bidi="ar-SA"/>
      </w:rPr>
    </w:lvl>
    <w:lvl w:ilvl="2" w:tplc="07EE8D54">
      <w:numFmt w:val="bullet"/>
      <w:lvlText w:val="•"/>
      <w:lvlJc w:val="left"/>
      <w:pPr>
        <w:ind w:left="1087" w:hanging="256"/>
      </w:pPr>
      <w:rPr>
        <w:lang w:val="en-US" w:eastAsia="en-US" w:bidi="ar-SA"/>
      </w:rPr>
    </w:lvl>
    <w:lvl w:ilvl="3" w:tplc="75ACAADE">
      <w:numFmt w:val="bullet"/>
      <w:lvlText w:val="•"/>
      <w:lvlJc w:val="left"/>
      <w:pPr>
        <w:ind w:left="1571" w:hanging="256"/>
      </w:pPr>
      <w:rPr>
        <w:lang w:val="en-US" w:eastAsia="en-US" w:bidi="ar-SA"/>
      </w:rPr>
    </w:lvl>
    <w:lvl w:ilvl="4" w:tplc="B13A8A60">
      <w:numFmt w:val="bullet"/>
      <w:lvlText w:val="•"/>
      <w:lvlJc w:val="left"/>
      <w:pPr>
        <w:ind w:left="2055" w:hanging="256"/>
      </w:pPr>
      <w:rPr>
        <w:lang w:val="en-US" w:eastAsia="en-US" w:bidi="ar-SA"/>
      </w:rPr>
    </w:lvl>
    <w:lvl w:ilvl="5" w:tplc="290614D8">
      <w:numFmt w:val="bullet"/>
      <w:lvlText w:val="•"/>
      <w:lvlJc w:val="left"/>
      <w:pPr>
        <w:ind w:left="2539" w:hanging="256"/>
      </w:pPr>
      <w:rPr>
        <w:lang w:val="en-US" w:eastAsia="en-US" w:bidi="ar-SA"/>
      </w:rPr>
    </w:lvl>
    <w:lvl w:ilvl="6" w:tplc="E634D518">
      <w:numFmt w:val="bullet"/>
      <w:lvlText w:val="•"/>
      <w:lvlJc w:val="left"/>
      <w:pPr>
        <w:ind w:left="3023" w:hanging="256"/>
      </w:pPr>
      <w:rPr>
        <w:lang w:val="en-US" w:eastAsia="en-US" w:bidi="ar-SA"/>
      </w:rPr>
    </w:lvl>
    <w:lvl w:ilvl="7" w:tplc="9378F9C6">
      <w:numFmt w:val="bullet"/>
      <w:lvlText w:val="•"/>
      <w:lvlJc w:val="left"/>
      <w:pPr>
        <w:ind w:left="3507" w:hanging="256"/>
      </w:pPr>
      <w:rPr>
        <w:lang w:val="en-US" w:eastAsia="en-US" w:bidi="ar-SA"/>
      </w:rPr>
    </w:lvl>
    <w:lvl w:ilvl="8" w:tplc="AC163FD0">
      <w:numFmt w:val="bullet"/>
      <w:lvlText w:val="•"/>
      <w:lvlJc w:val="left"/>
      <w:pPr>
        <w:ind w:left="3991" w:hanging="256"/>
      </w:pPr>
      <w:rPr>
        <w:lang w:val="en-US" w:eastAsia="en-US" w:bidi="ar-SA"/>
      </w:rPr>
    </w:lvl>
  </w:abstractNum>
  <w:abstractNum w:abstractNumId="51" w15:restartNumberingAfterBreak="0">
    <w:nsid w:val="59891FCE"/>
    <w:multiLevelType w:val="hybridMultilevel"/>
    <w:tmpl w:val="BCB87A1C"/>
    <w:lvl w:ilvl="0" w:tplc="264EDC44">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C812D1E6">
      <w:numFmt w:val="bullet"/>
      <w:lvlText w:val="•"/>
      <w:lvlJc w:val="left"/>
      <w:pPr>
        <w:ind w:left="603" w:hanging="256"/>
      </w:pPr>
      <w:rPr>
        <w:lang w:val="en-US" w:eastAsia="en-US" w:bidi="ar-SA"/>
      </w:rPr>
    </w:lvl>
    <w:lvl w:ilvl="2" w:tplc="13EC860A">
      <w:numFmt w:val="bullet"/>
      <w:lvlText w:val="•"/>
      <w:lvlJc w:val="left"/>
      <w:pPr>
        <w:ind w:left="1087" w:hanging="256"/>
      </w:pPr>
      <w:rPr>
        <w:lang w:val="en-US" w:eastAsia="en-US" w:bidi="ar-SA"/>
      </w:rPr>
    </w:lvl>
    <w:lvl w:ilvl="3" w:tplc="90BAA100">
      <w:numFmt w:val="bullet"/>
      <w:lvlText w:val="•"/>
      <w:lvlJc w:val="left"/>
      <w:pPr>
        <w:ind w:left="1571" w:hanging="256"/>
      </w:pPr>
      <w:rPr>
        <w:lang w:val="en-US" w:eastAsia="en-US" w:bidi="ar-SA"/>
      </w:rPr>
    </w:lvl>
    <w:lvl w:ilvl="4" w:tplc="0B0888B6">
      <w:numFmt w:val="bullet"/>
      <w:lvlText w:val="•"/>
      <w:lvlJc w:val="left"/>
      <w:pPr>
        <w:ind w:left="2055" w:hanging="256"/>
      </w:pPr>
      <w:rPr>
        <w:lang w:val="en-US" w:eastAsia="en-US" w:bidi="ar-SA"/>
      </w:rPr>
    </w:lvl>
    <w:lvl w:ilvl="5" w:tplc="5186FBDE">
      <w:numFmt w:val="bullet"/>
      <w:lvlText w:val="•"/>
      <w:lvlJc w:val="left"/>
      <w:pPr>
        <w:ind w:left="2539" w:hanging="256"/>
      </w:pPr>
      <w:rPr>
        <w:lang w:val="en-US" w:eastAsia="en-US" w:bidi="ar-SA"/>
      </w:rPr>
    </w:lvl>
    <w:lvl w:ilvl="6" w:tplc="FABC93AA">
      <w:numFmt w:val="bullet"/>
      <w:lvlText w:val="•"/>
      <w:lvlJc w:val="left"/>
      <w:pPr>
        <w:ind w:left="3023" w:hanging="256"/>
      </w:pPr>
      <w:rPr>
        <w:lang w:val="en-US" w:eastAsia="en-US" w:bidi="ar-SA"/>
      </w:rPr>
    </w:lvl>
    <w:lvl w:ilvl="7" w:tplc="5E0A39B6">
      <w:numFmt w:val="bullet"/>
      <w:lvlText w:val="•"/>
      <w:lvlJc w:val="left"/>
      <w:pPr>
        <w:ind w:left="3507" w:hanging="256"/>
      </w:pPr>
      <w:rPr>
        <w:lang w:val="en-US" w:eastAsia="en-US" w:bidi="ar-SA"/>
      </w:rPr>
    </w:lvl>
    <w:lvl w:ilvl="8" w:tplc="542801D6">
      <w:numFmt w:val="bullet"/>
      <w:lvlText w:val="•"/>
      <w:lvlJc w:val="left"/>
      <w:pPr>
        <w:ind w:left="3991" w:hanging="256"/>
      </w:pPr>
      <w:rPr>
        <w:lang w:val="en-US" w:eastAsia="en-US" w:bidi="ar-SA"/>
      </w:rPr>
    </w:lvl>
  </w:abstractNum>
  <w:abstractNum w:abstractNumId="52" w15:restartNumberingAfterBreak="0">
    <w:nsid w:val="5A900188"/>
    <w:multiLevelType w:val="hybridMultilevel"/>
    <w:tmpl w:val="E3ACFF2A"/>
    <w:lvl w:ilvl="0" w:tplc="9A343FAE">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50BA462C">
      <w:numFmt w:val="bullet"/>
      <w:lvlText w:val="•"/>
      <w:lvlJc w:val="left"/>
      <w:pPr>
        <w:ind w:left="883" w:hanging="256"/>
      </w:pPr>
      <w:rPr>
        <w:lang w:val="en-US" w:eastAsia="en-US" w:bidi="ar-SA"/>
      </w:rPr>
    </w:lvl>
    <w:lvl w:ilvl="2" w:tplc="6D608766">
      <w:numFmt w:val="bullet"/>
      <w:lvlText w:val="•"/>
      <w:lvlJc w:val="left"/>
      <w:pPr>
        <w:ind w:left="1386" w:hanging="256"/>
      </w:pPr>
      <w:rPr>
        <w:lang w:val="en-US" w:eastAsia="en-US" w:bidi="ar-SA"/>
      </w:rPr>
    </w:lvl>
    <w:lvl w:ilvl="3" w:tplc="C4966C0A">
      <w:numFmt w:val="bullet"/>
      <w:lvlText w:val="•"/>
      <w:lvlJc w:val="left"/>
      <w:pPr>
        <w:ind w:left="1889" w:hanging="256"/>
      </w:pPr>
      <w:rPr>
        <w:lang w:val="en-US" w:eastAsia="en-US" w:bidi="ar-SA"/>
      </w:rPr>
    </w:lvl>
    <w:lvl w:ilvl="4" w:tplc="3C4C9418">
      <w:numFmt w:val="bullet"/>
      <w:lvlText w:val="•"/>
      <w:lvlJc w:val="left"/>
      <w:pPr>
        <w:ind w:left="2392" w:hanging="256"/>
      </w:pPr>
      <w:rPr>
        <w:lang w:val="en-US" w:eastAsia="en-US" w:bidi="ar-SA"/>
      </w:rPr>
    </w:lvl>
    <w:lvl w:ilvl="5" w:tplc="095A2E70">
      <w:numFmt w:val="bullet"/>
      <w:lvlText w:val="•"/>
      <w:lvlJc w:val="left"/>
      <w:pPr>
        <w:ind w:left="2895" w:hanging="256"/>
      </w:pPr>
      <w:rPr>
        <w:lang w:val="en-US" w:eastAsia="en-US" w:bidi="ar-SA"/>
      </w:rPr>
    </w:lvl>
    <w:lvl w:ilvl="6" w:tplc="C4B867D2">
      <w:numFmt w:val="bullet"/>
      <w:lvlText w:val="•"/>
      <w:lvlJc w:val="left"/>
      <w:pPr>
        <w:ind w:left="3398" w:hanging="256"/>
      </w:pPr>
      <w:rPr>
        <w:lang w:val="en-US" w:eastAsia="en-US" w:bidi="ar-SA"/>
      </w:rPr>
    </w:lvl>
    <w:lvl w:ilvl="7" w:tplc="7B840FFA">
      <w:numFmt w:val="bullet"/>
      <w:lvlText w:val="•"/>
      <w:lvlJc w:val="left"/>
      <w:pPr>
        <w:ind w:left="3901" w:hanging="256"/>
      </w:pPr>
      <w:rPr>
        <w:lang w:val="en-US" w:eastAsia="en-US" w:bidi="ar-SA"/>
      </w:rPr>
    </w:lvl>
    <w:lvl w:ilvl="8" w:tplc="6D8275A8">
      <w:numFmt w:val="bullet"/>
      <w:lvlText w:val="•"/>
      <w:lvlJc w:val="left"/>
      <w:pPr>
        <w:ind w:left="4404" w:hanging="256"/>
      </w:pPr>
      <w:rPr>
        <w:lang w:val="en-US" w:eastAsia="en-US" w:bidi="ar-SA"/>
      </w:rPr>
    </w:lvl>
  </w:abstractNum>
  <w:abstractNum w:abstractNumId="53" w15:restartNumberingAfterBreak="0">
    <w:nsid w:val="5E287FE8"/>
    <w:multiLevelType w:val="hybridMultilevel"/>
    <w:tmpl w:val="79A29996"/>
    <w:lvl w:ilvl="0" w:tplc="A5183224">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19845DF0">
      <w:numFmt w:val="bullet"/>
      <w:lvlText w:val="•"/>
      <w:lvlJc w:val="left"/>
      <w:pPr>
        <w:ind w:left="694" w:hanging="256"/>
      </w:pPr>
      <w:rPr>
        <w:lang w:val="en-US" w:eastAsia="en-US" w:bidi="ar-SA"/>
      </w:rPr>
    </w:lvl>
    <w:lvl w:ilvl="2" w:tplc="511CF450">
      <w:numFmt w:val="bullet"/>
      <w:lvlText w:val="•"/>
      <w:lvlJc w:val="left"/>
      <w:pPr>
        <w:ind w:left="1268" w:hanging="256"/>
      </w:pPr>
      <w:rPr>
        <w:lang w:val="en-US" w:eastAsia="en-US" w:bidi="ar-SA"/>
      </w:rPr>
    </w:lvl>
    <w:lvl w:ilvl="3" w:tplc="3E44461C">
      <w:numFmt w:val="bullet"/>
      <w:lvlText w:val="•"/>
      <w:lvlJc w:val="left"/>
      <w:pPr>
        <w:ind w:left="1842" w:hanging="256"/>
      </w:pPr>
      <w:rPr>
        <w:lang w:val="en-US" w:eastAsia="en-US" w:bidi="ar-SA"/>
      </w:rPr>
    </w:lvl>
    <w:lvl w:ilvl="4" w:tplc="FE0E244C">
      <w:numFmt w:val="bullet"/>
      <w:lvlText w:val="•"/>
      <w:lvlJc w:val="left"/>
      <w:pPr>
        <w:ind w:left="2416" w:hanging="256"/>
      </w:pPr>
      <w:rPr>
        <w:lang w:val="en-US" w:eastAsia="en-US" w:bidi="ar-SA"/>
      </w:rPr>
    </w:lvl>
    <w:lvl w:ilvl="5" w:tplc="C0EA5F40">
      <w:numFmt w:val="bullet"/>
      <w:lvlText w:val="•"/>
      <w:lvlJc w:val="left"/>
      <w:pPr>
        <w:ind w:left="2991" w:hanging="256"/>
      </w:pPr>
      <w:rPr>
        <w:lang w:val="en-US" w:eastAsia="en-US" w:bidi="ar-SA"/>
      </w:rPr>
    </w:lvl>
    <w:lvl w:ilvl="6" w:tplc="6DC6D300">
      <w:numFmt w:val="bullet"/>
      <w:lvlText w:val="•"/>
      <w:lvlJc w:val="left"/>
      <w:pPr>
        <w:ind w:left="3565" w:hanging="256"/>
      </w:pPr>
      <w:rPr>
        <w:lang w:val="en-US" w:eastAsia="en-US" w:bidi="ar-SA"/>
      </w:rPr>
    </w:lvl>
    <w:lvl w:ilvl="7" w:tplc="52E6BB36">
      <w:numFmt w:val="bullet"/>
      <w:lvlText w:val="•"/>
      <w:lvlJc w:val="left"/>
      <w:pPr>
        <w:ind w:left="4139" w:hanging="256"/>
      </w:pPr>
      <w:rPr>
        <w:lang w:val="en-US" w:eastAsia="en-US" w:bidi="ar-SA"/>
      </w:rPr>
    </w:lvl>
    <w:lvl w:ilvl="8" w:tplc="9F5AC938">
      <w:numFmt w:val="bullet"/>
      <w:lvlText w:val="•"/>
      <w:lvlJc w:val="left"/>
      <w:pPr>
        <w:ind w:left="4713" w:hanging="256"/>
      </w:pPr>
      <w:rPr>
        <w:lang w:val="en-US" w:eastAsia="en-US" w:bidi="ar-SA"/>
      </w:rPr>
    </w:lvl>
  </w:abstractNum>
  <w:abstractNum w:abstractNumId="54" w15:restartNumberingAfterBreak="0">
    <w:nsid w:val="62EA0824"/>
    <w:multiLevelType w:val="hybridMultilevel"/>
    <w:tmpl w:val="D98AFBAE"/>
    <w:lvl w:ilvl="0" w:tplc="08F87990">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0A141A04">
      <w:numFmt w:val="bullet"/>
      <w:lvlText w:val="•"/>
      <w:lvlJc w:val="left"/>
      <w:pPr>
        <w:ind w:left="883" w:hanging="256"/>
      </w:pPr>
      <w:rPr>
        <w:lang w:val="en-US" w:eastAsia="en-US" w:bidi="ar-SA"/>
      </w:rPr>
    </w:lvl>
    <w:lvl w:ilvl="2" w:tplc="86B2D150">
      <w:numFmt w:val="bullet"/>
      <w:lvlText w:val="•"/>
      <w:lvlJc w:val="left"/>
      <w:pPr>
        <w:ind w:left="1386" w:hanging="256"/>
      </w:pPr>
      <w:rPr>
        <w:lang w:val="en-US" w:eastAsia="en-US" w:bidi="ar-SA"/>
      </w:rPr>
    </w:lvl>
    <w:lvl w:ilvl="3" w:tplc="6B226738">
      <w:numFmt w:val="bullet"/>
      <w:lvlText w:val="•"/>
      <w:lvlJc w:val="left"/>
      <w:pPr>
        <w:ind w:left="1889" w:hanging="256"/>
      </w:pPr>
      <w:rPr>
        <w:lang w:val="en-US" w:eastAsia="en-US" w:bidi="ar-SA"/>
      </w:rPr>
    </w:lvl>
    <w:lvl w:ilvl="4" w:tplc="6832D31A">
      <w:numFmt w:val="bullet"/>
      <w:lvlText w:val="•"/>
      <w:lvlJc w:val="left"/>
      <w:pPr>
        <w:ind w:left="2392" w:hanging="256"/>
      </w:pPr>
      <w:rPr>
        <w:lang w:val="en-US" w:eastAsia="en-US" w:bidi="ar-SA"/>
      </w:rPr>
    </w:lvl>
    <w:lvl w:ilvl="5" w:tplc="320ED2AA">
      <w:numFmt w:val="bullet"/>
      <w:lvlText w:val="•"/>
      <w:lvlJc w:val="left"/>
      <w:pPr>
        <w:ind w:left="2895" w:hanging="256"/>
      </w:pPr>
      <w:rPr>
        <w:lang w:val="en-US" w:eastAsia="en-US" w:bidi="ar-SA"/>
      </w:rPr>
    </w:lvl>
    <w:lvl w:ilvl="6" w:tplc="74208888">
      <w:numFmt w:val="bullet"/>
      <w:lvlText w:val="•"/>
      <w:lvlJc w:val="left"/>
      <w:pPr>
        <w:ind w:left="3398" w:hanging="256"/>
      </w:pPr>
      <w:rPr>
        <w:lang w:val="en-US" w:eastAsia="en-US" w:bidi="ar-SA"/>
      </w:rPr>
    </w:lvl>
    <w:lvl w:ilvl="7" w:tplc="6DDCEAE4">
      <w:numFmt w:val="bullet"/>
      <w:lvlText w:val="•"/>
      <w:lvlJc w:val="left"/>
      <w:pPr>
        <w:ind w:left="3901" w:hanging="256"/>
      </w:pPr>
      <w:rPr>
        <w:lang w:val="en-US" w:eastAsia="en-US" w:bidi="ar-SA"/>
      </w:rPr>
    </w:lvl>
    <w:lvl w:ilvl="8" w:tplc="E8F472BA">
      <w:numFmt w:val="bullet"/>
      <w:lvlText w:val="•"/>
      <w:lvlJc w:val="left"/>
      <w:pPr>
        <w:ind w:left="4404" w:hanging="256"/>
      </w:pPr>
      <w:rPr>
        <w:lang w:val="en-US" w:eastAsia="en-US" w:bidi="ar-SA"/>
      </w:rPr>
    </w:lvl>
  </w:abstractNum>
  <w:abstractNum w:abstractNumId="55" w15:restartNumberingAfterBreak="0">
    <w:nsid w:val="63A34337"/>
    <w:multiLevelType w:val="hybridMultilevel"/>
    <w:tmpl w:val="8E38746A"/>
    <w:lvl w:ilvl="0" w:tplc="6526FBFC">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A1084C34">
      <w:numFmt w:val="bullet"/>
      <w:lvlText w:val="•"/>
      <w:lvlJc w:val="left"/>
      <w:pPr>
        <w:ind w:left="694" w:hanging="256"/>
      </w:pPr>
      <w:rPr>
        <w:lang w:val="en-US" w:eastAsia="en-US" w:bidi="ar-SA"/>
      </w:rPr>
    </w:lvl>
    <w:lvl w:ilvl="2" w:tplc="C94E2E46">
      <w:numFmt w:val="bullet"/>
      <w:lvlText w:val="•"/>
      <w:lvlJc w:val="left"/>
      <w:pPr>
        <w:ind w:left="1268" w:hanging="256"/>
      </w:pPr>
      <w:rPr>
        <w:lang w:val="en-US" w:eastAsia="en-US" w:bidi="ar-SA"/>
      </w:rPr>
    </w:lvl>
    <w:lvl w:ilvl="3" w:tplc="ADB8E9F8">
      <w:numFmt w:val="bullet"/>
      <w:lvlText w:val="•"/>
      <w:lvlJc w:val="left"/>
      <w:pPr>
        <w:ind w:left="1842" w:hanging="256"/>
      </w:pPr>
      <w:rPr>
        <w:lang w:val="en-US" w:eastAsia="en-US" w:bidi="ar-SA"/>
      </w:rPr>
    </w:lvl>
    <w:lvl w:ilvl="4" w:tplc="9574FF92">
      <w:numFmt w:val="bullet"/>
      <w:lvlText w:val="•"/>
      <w:lvlJc w:val="left"/>
      <w:pPr>
        <w:ind w:left="2416" w:hanging="256"/>
      </w:pPr>
      <w:rPr>
        <w:lang w:val="en-US" w:eastAsia="en-US" w:bidi="ar-SA"/>
      </w:rPr>
    </w:lvl>
    <w:lvl w:ilvl="5" w:tplc="38F0A030">
      <w:numFmt w:val="bullet"/>
      <w:lvlText w:val="•"/>
      <w:lvlJc w:val="left"/>
      <w:pPr>
        <w:ind w:left="2991" w:hanging="256"/>
      </w:pPr>
      <w:rPr>
        <w:lang w:val="en-US" w:eastAsia="en-US" w:bidi="ar-SA"/>
      </w:rPr>
    </w:lvl>
    <w:lvl w:ilvl="6" w:tplc="BF7C8E3A">
      <w:numFmt w:val="bullet"/>
      <w:lvlText w:val="•"/>
      <w:lvlJc w:val="left"/>
      <w:pPr>
        <w:ind w:left="3565" w:hanging="256"/>
      </w:pPr>
      <w:rPr>
        <w:lang w:val="en-US" w:eastAsia="en-US" w:bidi="ar-SA"/>
      </w:rPr>
    </w:lvl>
    <w:lvl w:ilvl="7" w:tplc="B4B645B6">
      <w:numFmt w:val="bullet"/>
      <w:lvlText w:val="•"/>
      <w:lvlJc w:val="left"/>
      <w:pPr>
        <w:ind w:left="4139" w:hanging="256"/>
      </w:pPr>
      <w:rPr>
        <w:lang w:val="en-US" w:eastAsia="en-US" w:bidi="ar-SA"/>
      </w:rPr>
    </w:lvl>
    <w:lvl w:ilvl="8" w:tplc="E1E81B50">
      <w:numFmt w:val="bullet"/>
      <w:lvlText w:val="•"/>
      <w:lvlJc w:val="left"/>
      <w:pPr>
        <w:ind w:left="4713" w:hanging="256"/>
      </w:pPr>
      <w:rPr>
        <w:lang w:val="en-US" w:eastAsia="en-US" w:bidi="ar-SA"/>
      </w:rPr>
    </w:lvl>
  </w:abstractNum>
  <w:abstractNum w:abstractNumId="56" w15:restartNumberingAfterBreak="0">
    <w:nsid w:val="65535B29"/>
    <w:multiLevelType w:val="hybridMultilevel"/>
    <w:tmpl w:val="FAC8749E"/>
    <w:lvl w:ilvl="0" w:tplc="57D60CAE">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F2EE4076">
      <w:numFmt w:val="bullet"/>
      <w:lvlText w:val="•"/>
      <w:lvlJc w:val="left"/>
      <w:pPr>
        <w:ind w:left="928" w:hanging="256"/>
      </w:pPr>
      <w:rPr>
        <w:lang w:val="en-US" w:eastAsia="en-US" w:bidi="ar-SA"/>
      </w:rPr>
    </w:lvl>
    <w:lvl w:ilvl="2" w:tplc="5A7473AA">
      <w:numFmt w:val="bullet"/>
      <w:lvlText w:val="•"/>
      <w:lvlJc w:val="left"/>
      <w:pPr>
        <w:ind w:left="1476" w:hanging="256"/>
      </w:pPr>
      <w:rPr>
        <w:lang w:val="en-US" w:eastAsia="en-US" w:bidi="ar-SA"/>
      </w:rPr>
    </w:lvl>
    <w:lvl w:ilvl="3" w:tplc="9E860694">
      <w:numFmt w:val="bullet"/>
      <w:lvlText w:val="•"/>
      <w:lvlJc w:val="left"/>
      <w:pPr>
        <w:ind w:left="2024" w:hanging="256"/>
      </w:pPr>
      <w:rPr>
        <w:lang w:val="en-US" w:eastAsia="en-US" w:bidi="ar-SA"/>
      </w:rPr>
    </w:lvl>
    <w:lvl w:ilvl="4" w:tplc="BC687020">
      <w:numFmt w:val="bullet"/>
      <w:lvlText w:val="•"/>
      <w:lvlJc w:val="left"/>
      <w:pPr>
        <w:ind w:left="2572" w:hanging="256"/>
      </w:pPr>
      <w:rPr>
        <w:lang w:val="en-US" w:eastAsia="en-US" w:bidi="ar-SA"/>
      </w:rPr>
    </w:lvl>
    <w:lvl w:ilvl="5" w:tplc="04D4AFA4">
      <w:numFmt w:val="bullet"/>
      <w:lvlText w:val="•"/>
      <w:lvlJc w:val="left"/>
      <w:pPr>
        <w:ind w:left="3121" w:hanging="256"/>
      </w:pPr>
      <w:rPr>
        <w:lang w:val="en-US" w:eastAsia="en-US" w:bidi="ar-SA"/>
      </w:rPr>
    </w:lvl>
    <w:lvl w:ilvl="6" w:tplc="D944C706">
      <w:numFmt w:val="bullet"/>
      <w:lvlText w:val="•"/>
      <w:lvlJc w:val="left"/>
      <w:pPr>
        <w:ind w:left="3669" w:hanging="256"/>
      </w:pPr>
      <w:rPr>
        <w:lang w:val="en-US" w:eastAsia="en-US" w:bidi="ar-SA"/>
      </w:rPr>
    </w:lvl>
    <w:lvl w:ilvl="7" w:tplc="ED6AB69E">
      <w:numFmt w:val="bullet"/>
      <w:lvlText w:val="•"/>
      <w:lvlJc w:val="left"/>
      <w:pPr>
        <w:ind w:left="4217" w:hanging="256"/>
      </w:pPr>
      <w:rPr>
        <w:lang w:val="en-US" w:eastAsia="en-US" w:bidi="ar-SA"/>
      </w:rPr>
    </w:lvl>
    <w:lvl w:ilvl="8" w:tplc="751E87E0">
      <w:numFmt w:val="bullet"/>
      <w:lvlText w:val="•"/>
      <w:lvlJc w:val="left"/>
      <w:pPr>
        <w:ind w:left="4765" w:hanging="256"/>
      </w:pPr>
      <w:rPr>
        <w:lang w:val="en-US" w:eastAsia="en-US" w:bidi="ar-SA"/>
      </w:rPr>
    </w:lvl>
  </w:abstractNum>
  <w:abstractNum w:abstractNumId="57" w15:restartNumberingAfterBreak="0">
    <w:nsid w:val="68084A86"/>
    <w:multiLevelType w:val="hybridMultilevel"/>
    <w:tmpl w:val="739A34CC"/>
    <w:lvl w:ilvl="0" w:tplc="FCA62A7A">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099E3660">
      <w:numFmt w:val="bullet"/>
      <w:lvlText w:val="•"/>
      <w:lvlJc w:val="left"/>
      <w:pPr>
        <w:ind w:left="837" w:hanging="256"/>
      </w:pPr>
      <w:rPr>
        <w:lang w:val="en-US" w:eastAsia="en-US" w:bidi="ar-SA"/>
      </w:rPr>
    </w:lvl>
    <w:lvl w:ilvl="2" w:tplc="598A8D0E">
      <w:numFmt w:val="bullet"/>
      <w:lvlText w:val="•"/>
      <w:lvlJc w:val="left"/>
      <w:pPr>
        <w:ind w:left="1295" w:hanging="256"/>
      </w:pPr>
      <w:rPr>
        <w:lang w:val="en-US" w:eastAsia="en-US" w:bidi="ar-SA"/>
      </w:rPr>
    </w:lvl>
    <w:lvl w:ilvl="3" w:tplc="BBE27F90">
      <w:numFmt w:val="bullet"/>
      <w:lvlText w:val="•"/>
      <w:lvlJc w:val="left"/>
      <w:pPr>
        <w:ind w:left="1753" w:hanging="256"/>
      </w:pPr>
      <w:rPr>
        <w:lang w:val="en-US" w:eastAsia="en-US" w:bidi="ar-SA"/>
      </w:rPr>
    </w:lvl>
    <w:lvl w:ilvl="4" w:tplc="592436D6">
      <w:numFmt w:val="bullet"/>
      <w:lvlText w:val="•"/>
      <w:lvlJc w:val="left"/>
      <w:pPr>
        <w:ind w:left="2211" w:hanging="256"/>
      </w:pPr>
      <w:rPr>
        <w:lang w:val="en-US" w:eastAsia="en-US" w:bidi="ar-SA"/>
      </w:rPr>
    </w:lvl>
    <w:lvl w:ilvl="5" w:tplc="0E0A000E">
      <w:numFmt w:val="bullet"/>
      <w:lvlText w:val="•"/>
      <w:lvlJc w:val="left"/>
      <w:pPr>
        <w:ind w:left="2669" w:hanging="256"/>
      </w:pPr>
      <w:rPr>
        <w:lang w:val="en-US" w:eastAsia="en-US" w:bidi="ar-SA"/>
      </w:rPr>
    </w:lvl>
    <w:lvl w:ilvl="6" w:tplc="5DC2581C">
      <w:numFmt w:val="bullet"/>
      <w:lvlText w:val="•"/>
      <w:lvlJc w:val="left"/>
      <w:pPr>
        <w:ind w:left="3127" w:hanging="256"/>
      </w:pPr>
      <w:rPr>
        <w:lang w:val="en-US" w:eastAsia="en-US" w:bidi="ar-SA"/>
      </w:rPr>
    </w:lvl>
    <w:lvl w:ilvl="7" w:tplc="9D404080">
      <w:numFmt w:val="bullet"/>
      <w:lvlText w:val="•"/>
      <w:lvlJc w:val="left"/>
      <w:pPr>
        <w:ind w:left="3585" w:hanging="256"/>
      </w:pPr>
      <w:rPr>
        <w:lang w:val="en-US" w:eastAsia="en-US" w:bidi="ar-SA"/>
      </w:rPr>
    </w:lvl>
    <w:lvl w:ilvl="8" w:tplc="D1367EAE">
      <w:numFmt w:val="bullet"/>
      <w:lvlText w:val="•"/>
      <w:lvlJc w:val="left"/>
      <w:pPr>
        <w:ind w:left="4043" w:hanging="256"/>
      </w:pPr>
      <w:rPr>
        <w:lang w:val="en-US" w:eastAsia="en-US" w:bidi="ar-SA"/>
      </w:rPr>
    </w:lvl>
  </w:abstractNum>
  <w:abstractNum w:abstractNumId="58" w15:restartNumberingAfterBreak="0">
    <w:nsid w:val="6CB4107B"/>
    <w:multiLevelType w:val="hybridMultilevel"/>
    <w:tmpl w:val="F73AF584"/>
    <w:lvl w:ilvl="0" w:tplc="7FFA1684">
      <w:numFmt w:val="bullet"/>
      <w:lvlText w:val="■"/>
      <w:lvlJc w:val="left"/>
      <w:pPr>
        <w:ind w:left="118" w:hanging="256"/>
      </w:pPr>
      <w:rPr>
        <w:rFonts w:ascii="MS UI Gothic" w:eastAsia="MS UI Gothic" w:hAnsi="MS UI Gothic" w:cs="MS UI Gothic" w:hint="eastAsia"/>
        <w:w w:val="100"/>
        <w:sz w:val="20"/>
        <w:szCs w:val="20"/>
        <w:lang w:val="en-US" w:eastAsia="en-US" w:bidi="ar-SA"/>
      </w:rPr>
    </w:lvl>
    <w:lvl w:ilvl="1" w:tplc="2DF217D0">
      <w:numFmt w:val="bullet"/>
      <w:lvlText w:val="•"/>
      <w:lvlJc w:val="left"/>
      <w:pPr>
        <w:ind w:left="603" w:hanging="256"/>
      </w:pPr>
      <w:rPr>
        <w:lang w:val="en-US" w:eastAsia="en-US" w:bidi="ar-SA"/>
      </w:rPr>
    </w:lvl>
    <w:lvl w:ilvl="2" w:tplc="082A6D2A">
      <w:numFmt w:val="bullet"/>
      <w:lvlText w:val="•"/>
      <w:lvlJc w:val="left"/>
      <w:pPr>
        <w:ind w:left="1087" w:hanging="256"/>
      </w:pPr>
      <w:rPr>
        <w:lang w:val="en-US" w:eastAsia="en-US" w:bidi="ar-SA"/>
      </w:rPr>
    </w:lvl>
    <w:lvl w:ilvl="3" w:tplc="847E3EF0">
      <w:numFmt w:val="bullet"/>
      <w:lvlText w:val="•"/>
      <w:lvlJc w:val="left"/>
      <w:pPr>
        <w:ind w:left="1571" w:hanging="256"/>
      </w:pPr>
      <w:rPr>
        <w:lang w:val="en-US" w:eastAsia="en-US" w:bidi="ar-SA"/>
      </w:rPr>
    </w:lvl>
    <w:lvl w:ilvl="4" w:tplc="D540A0EA">
      <w:numFmt w:val="bullet"/>
      <w:lvlText w:val="•"/>
      <w:lvlJc w:val="left"/>
      <w:pPr>
        <w:ind w:left="2055" w:hanging="256"/>
      </w:pPr>
      <w:rPr>
        <w:lang w:val="en-US" w:eastAsia="en-US" w:bidi="ar-SA"/>
      </w:rPr>
    </w:lvl>
    <w:lvl w:ilvl="5" w:tplc="DADE20DA">
      <w:numFmt w:val="bullet"/>
      <w:lvlText w:val="•"/>
      <w:lvlJc w:val="left"/>
      <w:pPr>
        <w:ind w:left="2539" w:hanging="256"/>
      </w:pPr>
      <w:rPr>
        <w:lang w:val="en-US" w:eastAsia="en-US" w:bidi="ar-SA"/>
      </w:rPr>
    </w:lvl>
    <w:lvl w:ilvl="6" w:tplc="D21C0132">
      <w:numFmt w:val="bullet"/>
      <w:lvlText w:val="•"/>
      <w:lvlJc w:val="left"/>
      <w:pPr>
        <w:ind w:left="3023" w:hanging="256"/>
      </w:pPr>
      <w:rPr>
        <w:lang w:val="en-US" w:eastAsia="en-US" w:bidi="ar-SA"/>
      </w:rPr>
    </w:lvl>
    <w:lvl w:ilvl="7" w:tplc="55B09918">
      <w:numFmt w:val="bullet"/>
      <w:lvlText w:val="•"/>
      <w:lvlJc w:val="left"/>
      <w:pPr>
        <w:ind w:left="3507" w:hanging="256"/>
      </w:pPr>
      <w:rPr>
        <w:lang w:val="en-US" w:eastAsia="en-US" w:bidi="ar-SA"/>
      </w:rPr>
    </w:lvl>
    <w:lvl w:ilvl="8" w:tplc="B6A69896">
      <w:numFmt w:val="bullet"/>
      <w:lvlText w:val="•"/>
      <w:lvlJc w:val="left"/>
      <w:pPr>
        <w:ind w:left="3991" w:hanging="256"/>
      </w:pPr>
      <w:rPr>
        <w:lang w:val="en-US" w:eastAsia="en-US" w:bidi="ar-SA"/>
      </w:rPr>
    </w:lvl>
  </w:abstractNum>
  <w:abstractNum w:abstractNumId="59" w15:restartNumberingAfterBreak="0">
    <w:nsid w:val="6D105CD0"/>
    <w:multiLevelType w:val="hybridMultilevel"/>
    <w:tmpl w:val="C9AC762C"/>
    <w:lvl w:ilvl="0" w:tplc="151057A0">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1CC4E5C8">
      <w:numFmt w:val="bullet"/>
      <w:lvlText w:val="•"/>
      <w:lvlJc w:val="left"/>
      <w:pPr>
        <w:ind w:left="846" w:hanging="256"/>
      </w:pPr>
      <w:rPr>
        <w:lang w:val="en-US" w:eastAsia="en-US" w:bidi="ar-SA"/>
      </w:rPr>
    </w:lvl>
    <w:lvl w:ilvl="2" w:tplc="D8E46624">
      <w:numFmt w:val="bullet"/>
      <w:lvlText w:val="•"/>
      <w:lvlJc w:val="left"/>
      <w:pPr>
        <w:ind w:left="1313" w:hanging="256"/>
      </w:pPr>
      <w:rPr>
        <w:lang w:val="en-US" w:eastAsia="en-US" w:bidi="ar-SA"/>
      </w:rPr>
    </w:lvl>
    <w:lvl w:ilvl="3" w:tplc="D9704020">
      <w:numFmt w:val="bullet"/>
      <w:lvlText w:val="•"/>
      <w:lvlJc w:val="left"/>
      <w:pPr>
        <w:ind w:left="1780" w:hanging="256"/>
      </w:pPr>
      <w:rPr>
        <w:lang w:val="en-US" w:eastAsia="en-US" w:bidi="ar-SA"/>
      </w:rPr>
    </w:lvl>
    <w:lvl w:ilvl="4" w:tplc="64742BE2">
      <w:numFmt w:val="bullet"/>
      <w:lvlText w:val="•"/>
      <w:lvlJc w:val="left"/>
      <w:pPr>
        <w:ind w:left="2247" w:hanging="256"/>
      </w:pPr>
      <w:rPr>
        <w:lang w:val="en-US" w:eastAsia="en-US" w:bidi="ar-SA"/>
      </w:rPr>
    </w:lvl>
    <w:lvl w:ilvl="5" w:tplc="E3AE41EA">
      <w:numFmt w:val="bullet"/>
      <w:lvlText w:val="•"/>
      <w:lvlJc w:val="left"/>
      <w:pPr>
        <w:ind w:left="2714" w:hanging="256"/>
      </w:pPr>
      <w:rPr>
        <w:lang w:val="en-US" w:eastAsia="en-US" w:bidi="ar-SA"/>
      </w:rPr>
    </w:lvl>
    <w:lvl w:ilvl="6" w:tplc="3C0E65D8">
      <w:numFmt w:val="bullet"/>
      <w:lvlText w:val="•"/>
      <w:lvlJc w:val="left"/>
      <w:pPr>
        <w:ind w:left="3181" w:hanging="256"/>
      </w:pPr>
      <w:rPr>
        <w:lang w:val="en-US" w:eastAsia="en-US" w:bidi="ar-SA"/>
      </w:rPr>
    </w:lvl>
    <w:lvl w:ilvl="7" w:tplc="6492B26C">
      <w:numFmt w:val="bullet"/>
      <w:lvlText w:val="•"/>
      <w:lvlJc w:val="left"/>
      <w:pPr>
        <w:ind w:left="3648" w:hanging="256"/>
      </w:pPr>
      <w:rPr>
        <w:lang w:val="en-US" w:eastAsia="en-US" w:bidi="ar-SA"/>
      </w:rPr>
    </w:lvl>
    <w:lvl w:ilvl="8" w:tplc="5CCEE1E4">
      <w:numFmt w:val="bullet"/>
      <w:lvlText w:val="•"/>
      <w:lvlJc w:val="left"/>
      <w:pPr>
        <w:ind w:left="4115" w:hanging="256"/>
      </w:pPr>
      <w:rPr>
        <w:lang w:val="en-US" w:eastAsia="en-US" w:bidi="ar-SA"/>
      </w:rPr>
    </w:lvl>
  </w:abstractNum>
  <w:abstractNum w:abstractNumId="60" w15:restartNumberingAfterBreak="0">
    <w:nsid w:val="6DC56524"/>
    <w:multiLevelType w:val="hybridMultilevel"/>
    <w:tmpl w:val="E3FE3C54"/>
    <w:lvl w:ilvl="0" w:tplc="B5AAF048">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A302ED70">
      <w:numFmt w:val="bullet"/>
      <w:lvlText w:val="•"/>
      <w:lvlJc w:val="left"/>
      <w:pPr>
        <w:ind w:left="603" w:hanging="256"/>
      </w:pPr>
      <w:rPr>
        <w:lang w:val="en-US" w:eastAsia="en-US" w:bidi="ar-SA"/>
      </w:rPr>
    </w:lvl>
    <w:lvl w:ilvl="2" w:tplc="A0902C76">
      <w:numFmt w:val="bullet"/>
      <w:lvlText w:val="•"/>
      <w:lvlJc w:val="left"/>
      <w:pPr>
        <w:ind w:left="1087" w:hanging="256"/>
      </w:pPr>
      <w:rPr>
        <w:lang w:val="en-US" w:eastAsia="en-US" w:bidi="ar-SA"/>
      </w:rPr>
    </w:lvl>
    <w:lvl w:ilvl="3" w:tplc="2DD8060C">
      <w:numFmt w:val="bullet"/>
      <w:lvlText w:val="•"/>
      <w:lvlJc w:val="left"/>
      <w:pPr>
        <w:ind w:left="1571" w:hanging="256"/>
      </w:pPr>
      <w:rPr>
        <w:lang w:val="en-US" w:eastAsia="en-US" w:bidi="ar-SA"/>
      </w:rPr>
    </w:lvl>
    <w:lvl w:ilvl="4" w:tplc="74FC7FB0">
      <w:numFmt w:val="bullet"/>
      <w:lvlText w:val="•"/>
      <w:lvlJc w:val="left"/>
      <w:pPr>
        <w:ind w:left="2055" w:hanging="256"/>
      </w:pPr>
      <w:rPr>
        <w:lang w:val="en-US" w:eastAsia="en-US" w:bidi="ar-SA"/>
      </w:rPr>
    </w:lvl>
    <w:lvl w:ilvl="5" w:tplc="0BB2214A">
      <w:numFmt w:val="bullet"/>
      <w:lvlText w:val="•"/>
      <w:lvlJc w:val="left"/>
      <w:pPr>
        <w:ind w:left="2539" w:hanging="256"/>
      </w:pPr>
      <w:rPr>
        <w:lang w:val="en-US" w:eastAsia="en-US" w:bidi="ar-SA"/>
      </w:rPr>
    </w:lvl>
    <w:lvl w:ilvl="6" w:tplc="8F485BAA">
      <w:numFmt w:val="bullet"/>
      <w:lvlText w:val="•"/>
      <w:lvlJc w:val="left"/>
      <w:pPr>
        <w:ind w:left="3023" w:hanging="256"/>
      </w:pPr>
      <w:rPr>
        <w:lang w:val="en-US" w:eastAsia="en-US" w:bidi="ar-SA"/>
      </w:rPr>
    </w:lvl>
    <w:lvl w:ilvl="7" w:tplc="19D2E8FE">
      <w:numFmt w:val="bullet"/>
      <w:lvlText w:val="•"/>
      <w:lvlJc w:val="left"/>
      <w:pPr>
        <w:ind w:left="3507" w:hanging="256"/>
      </w:pPr>
      <w:rPr>
        <w:lang w:val="en-US" w:eastAsia="en-US" w:bidi="ar-SA"/>
      </w:rPr>
    </w:lvl>
    <w:lvl w:ilvl="8" w:tplc="EE88629A">
      <w:numFmt w:val="bullet"/>
      <w:lvlText w:val="•"/>
      <w:lvlJc w:val="left"/>
      <w:pPr>
        <w:ind w:left="3991" w:hanging="256"/>
      </w:pPr>
      <w:rPr>
        <w:lang w:val="en-US" w:eastAsia="en-US" w:bidi="ar-SA"/>
      </w:rPr>
    </w:lvl>
  </w:abstractNum>
  <w:abstractNum w:abstractNumId="61" w15:restartNumberingAfterBreak="0">
    <w:nsid w:val="6E2C55A1"/>
    <w:multiLevelType w:val="hybridMultilevel"/>
    <w:tmpl w:val="8FA04F98"/>
    <w:lvl w:ilvl="0" w:tplc="00005DD6">
      <w:numFmt w:val="bullet"/>
      <w:lvlText w:val="■"/>
      <w:lvlJc w:val="left"/>
      <w:pPr>
        <w:ind w:left="374" w:hanging="256"/>
      </w:pPr>
      <w:rPr>
        <w:rFonts w:ascii="MS UI Gothic" w:eastAsia="MS UI Gothic" w:hAnsi="MS UI Gothic" w:cs="MS UI Gothic" w:hint="eastAsia"/>
        <w:w w:val="100"/>
        <w:sz w:val="20"/>
        <w:szCs w:val="20"/>
        <w:lang w:val="en-US" w:eastAsia="en-US" w:bidi="ar-SA"/>
      </w:rPr>
    </w:lvl>
    <w:lvl w:ilvl="1" w:tplc="60D66362">
      <w:numFmt w:val="bullet"/>
      <w:lvlText w:val="•"/>
      <w:lvlJc w:val="left"/>
      <w:pPr>
        <w:ind w:left="883" w:hanging="256"/>
      </w:pPr>
      <w:rPr>
        <w:lang w:val="en-US" w:eastAsia="en-US" w:bidi="ar-SA"/>
      </w:rPr>
    </w:lvl>
    <w:lvl w:ilvl="2" w:tplc="45228BD0">
      <w:numFmt w:val="bullet"/>
      <w:lvlText w:val="•"/>
      <w:lvlJc w:val="left"/>
      <w:pPr>
        <w:ind w:left="1386" w:hanging="256"/>
      </w:pPr>
      <w:rPr>
        <w:lang w:val="en-US" w:eastAsia="en-US" w:bidi="ar-SA"/>
      </w:rPr>
    </w:lvl>
    <w:lvl w:ilvl="3" w:tplc="52A031AE">
      <w:numFmt w:val="bullet"/>
      <w:lvlText w:val="•"/>
      <w:lvlJc w:val="left"/>
      <w:pPr>
        <w:ind w:left="1889" w:hanging="256"/>
      </w:pPr>
      <w:rPr>
        <w:lang w:val="en-US" w:eastAsia="en-US" w:bidi="ar-SA"/>
      </w:rPr>
    </w:lvl>
    <w:lvl w:ilvl="4" w:tplc="2B2805D2">
      <w:numFmt w:val="bullet"/>
      <w:lvlText w:val="•"/>
      <w:lvlJc w:val="left"/>
      <w:pPr>
        <w:ind w:left="2392" w:hanging="256"/>
      </w:pPr>
      <w:rPr>
        <w:lang w:val="en-US" w:eastAsia="en-US" w:bidi="ar-SA"/>
      </w:rPr>
    </w:lvl>
    <w:lvl w:ilvl="5" w:tplc="94BEA9DE">
      <w:numFmt w:val="bullet"/>
      <w:lvlText w:val="•"/>
      <w:lvlJc w:val="left"/>
      <w:pPr>
        <w:ind w:left="2895" w:hanging="256"/>
      </w:pPr>
      <w:rPr>
        <w:lang w:val="en-US" w:eastAsia="en-US" w:bidi="ar-SA"/>
      </w:rPr>
    </w:lvl>
    <w:lvl w:ilvl="6" w:tplc="183AC624">
      <w:numFmt w:val="bullet"/>
      <w:lvlText w:val="•"/>
      <w:lvlJc w:val="left"/>
      <w:pPr>
        <w:ind w:left="3398" w:hanging="256"/>
      </w:pPr>
      <w:rPr>
        <w:lang w:val="en-US" w:eastAsia="en-US" w:bidi="ar-SA"/>
      </w:rPr>
    </w:lvl>
    <w:lvl w:ilvl="7" w:tplc="F3E2F0A0">
      <w:numFmt w:val="bullet"/>
      <w:lvlText w:val="•"/>
      <w:lvlJc w:val="left"/>
      <w:pPr>
        <w:ind w:left="3901" w:hanging="256"/>
      </w:pPr>
      <w:rPr>
        <w:lang w:val="en-US" w:eastAsia="en-US" w:bidi="ar-SA"/>
      </w:rPr>
    </w:lvl>
    <w:lvl w:ilvl="8" w:tplc="BEC6293A">
      <w:numFmt w:val="bullet"/>
      <w:lvlText w:val="•"/>
      <w:lvlJc w:val="left"/>
      <w:pPr>
        <w:ind w:left="4404" w:hanging="256"/>
      </w:pPr>
      <w:rPr>
        <w:lang w:val="en-US" w:eastAsia="en-US" w:bidi="ar-SA"/>
      </w:rPr>
    </w:lvl>
  </w:abstractNum>
  <w:abstractNum w:abstractNumId="62" w15:restartNumberingAfterBreak="0">
    <w:nsid w:val="6FEA46AD"/>
    <w:multiLevelType w:val="hybridMultilevel"/>
    <w:tmpl w:val="41D86D5A"/>
    <w:lvl w:ilvl="0" w:tplc="A47226AA">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C266370A">
      <w:numFmt w:val="bullet"/>
      <w:lvlText w:val="•"/>
      <w:lvlJc w:val="left"/>
      <w:pPr>
        <w:ind w:left="603" w:hanging="256"/>
      </w:pPr>
      <w:rPr>
        <w:lang w:val="en-US" w:eastAsia="en-US" w:bidi="ar-SA"/>
      </w:rPr>
    </w:lvl>
    <w:lvl w:ilvl="2" w:tplc="DBFCE152">
      <w:numFmt w:val="bullet"/>
      <w:lvlText w:val="•"/>
      <w:lvlJc w:val="left"/>
      <w:pPr>
        <w:ind w:left="1087" w:hanging="256"/>
      </w:pPr>
      <w:rPr>
        <w:lang w:val="en-US" w:eastAsia="en-US" w:bidi="ar-SA"/>
      </w:rPr>
    </w:lvl>
    <w:lvl w:ilvl="3" w:tplc="C3C03ECE">
      <w:numFmt w:val="bullet"/>
      <w:lvlText w:val="•"/>
      <w:lvlJc w:val="left"/>
      <w:pPr>
        <w:ind w:left="1571" w:hanging="256"/>
      </w:pPr>
      <w:rPr>
        <w:lang w:val="en-US" w:eastAsia="en-US" w:bidi="ar-SA"/>
      </w:rPr>
    </w:lvl>
    <w:lvl w:ilvl="4" w:tplc="EBC0CD46">
      <w:numFmt w:val="bullet"/>
      <w:lvlText w:val="•"/>
      <w:lvlJc w:val="left"/>
      <w:pPr>
        <w:ind w:left="2055" w:hanging="256"/>
      </w:pPr>
      <w:rPr>
        <w:lang w:val="en-US" w:eastAsia="en-US" w:bidi="ar-SA"/>
      </w:rPr>
    </w:lvl>
    <w:lvl w:ilvl="5" w:tplc="9D2AF5E8">
      <w:numFmt w:val="bullet"/>
      <w:lvlText w:val="•"/>
      <w:lvlJc w:val="left"/>
      <w:pPr>
        <w:ind w:left="2539" w:hanging="256"/>
      </w:pPr>
      <w:rPr>
        <w:lang w:val="en-US" w:eastAsia="en-US" w:bidi="ar-SA"/>
      </w:rPr>
    </w:lvl>
    <w:lvl w:ilvl="6" w:tplc="5CBC07A8">
      <w:numFmt w:val="bullet"/>
      <w:lvlText w:val="•"/>
      <w:lvlJc w:val="left"/>
      <w:pPr>
        <w:ind w:left="3023" w:hanging="256"/>
      </w:pPr>
      <w:rPr>
        <w:lang w:val="en-US" w:eastAsia="en-US" w:bidi="ar-SA"/>
      </w:rPr>
    </w:lvl>
    <w:lvl w:ilvl="7" w:tplc="FD460BF6">
      <w:numFmt w:val="bullet"/>
      <w:lvlText w:val="•"/>
      <w:lvlJc w:val="left"/>
      <w:pPr>
        <w:ind w:left="3507" w:hanging="256"/>
      </w:pPr>
      <w:rPr>
        <w:lang w:val="en-US" w:eastAsia="en-US" w:bidi="ar-SA"/>
      </w:rPr>
    </w:lvl>
    <w:lvl w:ilvl="8" w:tplc="4C2CC5AA">
      <w:numFmt w:val="bullet"/>
      <w:lvlText w:val="•"/>
      <w:lvlJc w:val="left"/>
      <w:pPr>
        <w:ind w:left="3991" w:hanging="256"/>
      </w:pPr>
      <w:rPr>
        <w:lang w:val="en-US" w:eastAsia="en-US" w:bidi="ar-SA"/>
      </w:rPr>
    </w:lvl>
  </w:abstractNum>
  <w:abstractNum w:abstractNumId="63" w15:restartNumberingAfterBreak="0">
    <w:nsid w:val="71EB27E6"/>
    <w:multiLevelType w:val="hybridMultilevel"/>
    <w:tmpl w:val="D6FAE25C"/>
    <w:lvl w:ilvl="0" w:tplc="83C6B8D8">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C41E6C76">
      <w:numFmt w:val="bullet"/>
      <w:lvlText w:val="•"/>
      <w:lvlJc w:val="left"/>
      <w:pPr>
        <w:ind w:left="603" w:hanging="256"/>
      </w:pPr>
      <w:rPr>
        <w:lang w:val="en-US" w:eastAsia="en-US" w:bidi="ar-SA"/>
      </w:rPr>
    </w:lvl>
    <w:lvl w:ilvl="2" w:tplc="5C940578">
      <w:numFmt w:val="bullet"/>
      <w:lvlText w:val="•"/>
      <w:lvlJc w:val="left"/>
      <w:pPr>
        <w:ind w:left="1087" w:hanging="256"/>
      </w:pPr>
      <w:rPr>
        <w:lang w:val="en-US" w:eastAsia="en-US" w:bidi="ar-SA"/>
      </w:rPr>
    </w:lvl>
    <w:lvl w:ilvl="3" w:tplc="24482B88">
      <w:numFmt w:val="bullet"/>
      <w:lvlText w:val="•"/>
      <w:lvlJc w:val="left"/>
      <w:pPr>
        <w:ind w:left="1571" w:hanging="256"/>
      </w:pPr>
      <w:rPr>
        <w:lang w:val="en-US" w:eastAsia="en-US" w:bidi="ar-SA"/>
      </w:rPr>
    </w:lvl>
    <w:lvl w:ilvl="4" w:tplc="8F869A9E">
      <w:numFmt w:val="bullet"/>
      <w:lvlText w:val="•"/>
      <w:lvlJc w:val="left"/>
      <w:pPr>
        <w:ind w:left="2055" w:hanging="256"/>
      </w:pPr>
      <w:rPr>
        <w:lang w:val="en-US" w:eastAsia="en-US" w:bidi="ar-SA"/>
      </w:rPr>
    </w:lvl>
    <w:lvl w:ilvl="5" w:tplc="24CE71EE">
      <w:numFmt w:val="bullet"/>
      <w:lvlText w:val="•"/>
      <w:lvlJc w:val="left"/>
      <w:pPr>
        <w:ind w:left="2539" w:hanging="256"/>
      </w:pPr>
      <w:rPr>
        <w:lang w:val="en-US" w:eastAsia="en-US" w:bidi="ar-SA"/>
      </w:rPr>
    </w:lvl>
    <w:lvl w:ilvl="6" w:tplc="1ED899A2">
      <w:numFmt w:val="bullet"/>
      <w:lvlText w:val="•"/>
      <w:lvlJc w:val="left"/>
      <w:pPr>
        <w:ind w:left="3023" w:hanging="256"/>
      </w:pPr>
      <w:rPr>
        <w:lang w:val="en-US" w:eastAsia="en-US" w:bidi="ar-SA"/>
      </w:rPr>
    </w:lvl>
    <w:lvl w:ilvl="7" w:tplc="7868CD6A">
      <w:numFmt w:val="bullet"/>
      <w:lvlText w:val="•"/>
      <w:lvlJc w:val="left"/>
      <w:pPr>
        <w:ind w:left="3507" w:hanging="256"/>
      </w:pPr>
      <w:rPr>
        <w:lang w:val="en-US" w:eastAsia="en-US" w:bidi="ar-SA"/>
      </w:rPr>
    </w:lvl>
    <w:lvl w:ilvl="8" w:tplc="F448F2C4">
      <w:numFmt w:val="bullet"/>
      <w:lvlText w:val="•"/>
      <w:lvlJc w:val="left"/>
      <w:pPr>
        <w:ind w:left="3991" w:hanging="256"/>
      </w:pPr>
      <w:rPr>
        <w:lang w:val="en-US" w:eastAsia="en-US" w:bidi="ar-SA"/>
      </w:rPr>
    </w:lvl>
  </w:abstractNum>
  <w:abstractNum w:abstractNumId="64" w15:restartNumberingAfterBreak="0">
    <w:nsid w:val="71F93C2B"/>
    <w:multiLevelType w:val="hybridMultilevel"/>
    <w:tmpl w:val="08E6D354"/>
    <w:lvl w:ilvl="0" w:tplc="C0040390">
      <w:numFmt w:val="bullet"/>
      <w:lvlText w:val="■"/>
      <w:lvlJc w:val="left"/>
      <w:pPr>
        <w:ind w:left="119" w:hanging="256"/>
      </w:pPr>
      <w:rPr>
        <w:rFonts w:ascii="MS UI Gothic" w:eastAsia="MS UI Gothic" w:hAnsi="MS UI Gothic" w:cs="MS UI Gothic" w:hint="eastAsia"/>
        <w:w w:val="100"/>
        <w:sz w:val="20"/>
        <w:szCs w:val="20"/>
        <w:lang w:val="en-US" w:eastAsia="en-US" w:bidi="ar-SA"/>
      </w:rPr>
    </w:lvl>
    <w:lvl w:ilvl="1" w:tplc="F43405B4">
      <w:numFmt w:val="bullet"/>
      <w:lvlText w:val="•"/>
      <w:lvlJc w:val="left"/>
      <w:pPr>
        <w:ind w:left="603" w:hanging="256"/>
      </w:pPr>
      <w:rPr>
        <w:lang w:val="en-US" w:eastAsia="en-US" w:bidi="ar-SA"/>
      </w:rPr>
    </w:lvl>
    <w:lvl w:ilvl="2" w:tplc="46F48CBA">
      <w:numFmt w:val="bullet"/>
      <w:lvlText w:val="•"/>
      <w:lvlJc w:val="left"/>
      <w:pPr>
        <w:ind w:left="1087" w:hanging="256"/>
      </w:pPr>
      <w:rPr>
        <w:lang w:val="en-US" w:eastAsia="en-US" w:bidi="ar-SA"/>
      </w:rPr>
    </w:lvl>
    <w:lvl w:ilvl="3" w:tplc="222434B6">
      <w:numFmt w:val="bullet"/>
      <w:lvlText w:val="•"/>
      <w:lvlJc w:val="left"/>
      <w:pPr>
        <w:ind w:left="1571" w:hanging="256"/>
      </w:pPr>
      <w:rPr>
        <w:lang w:val="en-US" w:eastAsia="en-US" w:bidi="ar-SA"/>
      </w:rPr>
    </w:lvl>
    <w:lvl w:ilvl="4" w:tplc="722684F6">
      <w:numFmt w:val="bullet"/>
      <w:lvlText w:val="•"/>
      <w:lvlJc w:val="left"/>
      <w:pPr>
        <w:ind w:left="2055" w:hanging="256"/>
      </w:pPr>
      <w:rPr>
        <w:lang w:val="en-US" w:eastAsia="en-US" w:bidi="ar-SA"/>
      </w:rPr>
    </w:lvl>
    <w:lvl w:ilvl="5" w:tplc="61FEDF34">
      <w:numFmt w:val="bullet"/>
      <w:lvlText w:val="•"/>
      <w:lvlJc w:val="left"/>
      <w:pPr>
        <w:ind w:left="2539" w:hanging="256"/>
      </w:pPr>
      <w:rPr>
        <w:lang w:val="en-US" w:eastAsia="en-US" w:bidi="ar-SA"/>
      </w:rPr>
    </w:lvl>
    <w:lvl w:ilvl="6" w:tplc="55A404FC">
      <w:numFmt w:val="bullet"/>
      <w:lvlText w:val="•"/>
      <w:lvlJc w:val="left"/>
      <w:pPr>
        <w:ind w:left="3023" w:hanging="256"/>
      </w:pPr>
      <w:rPr>
        <w:lang w:val="en-US" w:eastAsia="en-US" w:bidi="ar-SA"/>
      </w:rPr>
    </w:lvl>
    <w:lvl w:ilvl="7" w:tplc="9A16DA60">
      <w:numFmt w:val="bullet"/>
      <w:lvlText w:val="•"/>
      <w:lvlJc w:val="left"/>
      <w:pPr>
        <w:ind w:left="3507" w:hanging="256"/>
      </w:pPr>
      <w:rPr>
        <w:lang w:val="en-US" w:eastAsia="en-US" w:bidi="ar-SA"/>
      </w:rPr>
    </w:lvl>
    <w:lvl w:ilvl="8" w:tplc="15D278B0">
      <w:numFmt w:val="bullet"/>
      <w:lvlText w:val="•"/>
      <w:lvlJc w:val="left"/>
      <w:pPr>
        <w:ind w:left="3991" w:hanging="256"/>
      </w:pPr>
      <w:rPr>
        <w:lang w:val="en-US" w:eastAsia="en-US" w:bidi="ar-SA"/>
      </w:rPr>
    </w:lvl>
  </w:abstractNum>
  <w:abstractNum w:abstractNumId="65" w15:restartNumberingAfterBreak="0">
    <w:nsid w:val="78871BEE"/>
    <w:multiLevelType w:val="hybridMultilevel"/>
    <w:tmpl w:val="644E9688"/>
    <w:lvl w:ilvl="0" w:tplc="5D840720">
      <w:numFmt w:val="bullet"/>
      <w:lvlText w:val="■"/>
      <w:lvlJc w:val="left"/>
      <w:pPr>
        <w:ind w:left="118" w:hanging="256"/>
      </w:pPr>
      <w:rPr>
        <w:rFonts w:ascii="MS UI Gothic" w:eastAsia="MS UI Gothic" w:hAnsi="MS UI Gothic" w:cs="MS UI Gothic" w:hint="eastAsia"/>
        <w:w w:val="100"/>
        <w:sz w:val="20"/>
        <w:szCs w:val="20"/>
        <w:lang w:val="en-US" w:eastAsia="en-US" w:bidi="ar-SA"/>
      </w:rPr>
    </w:lvl>
    <w:lvl w:ilvl="1" w:tplc="C054E7DC">
      <w:numFmt w:val="bullet"/>
      <w:lvlText w:val="•"/>
      <w:lvlJc w:val="left"/>
      <w:pPr>
        <w:ind w:left="603" w:hanging="256"/>
      </w:pPr>
      <w:rPr>
        <w:lang w:val="en-US" w:eastAsia="en-US" w:bidi="ar-SA"/>
      </w:rPr>
    </w:lvl>
    <w:lvl w:ilvl="2" w:tplc="6E44B6A2">
      <w:numFmt w:val="bullet"/>
      <w:lvlText w:val="•"/>
      <w:lvlJc w:val="left"/>
      <w:pPr>
        <w:ind w:left="1087" w:hanging="256"/>
      </w:pPr>
      <w:rPr>
        <w:lang w:val="en-US" w:eastAsia="en-US" w:bidi="ar-SA"/>
      </w:rPr>
    </w:lvl>
    <w:lvl w:ilvl="3" w:tplc="D50E3B2A">
      <w:numFmt w:val="bullet"/>
      <w:lvlText w:val="•"/>
      <w:lvlJc w:val="left"/>
      <w:pPr>
        <w:ind w:left="1571" w:hanging="256"/>
      </w:pPr>
      <w:rPr>
        <w:lang w:val="en-US" w:eastAsia="en-US" w:bidi="ar-SA"/>
      </w:rPr>
    </w:lvl>
    <w:lvl w:ilvl="4" w:tplc="3432ED1E">
      <w:numFmt w:val="bullet"/>
      <w:lvlText w:val="•"/>
      <w:lvlJc w:val="left"/>
      <w:pPr>
        <w:ind w:left="2055" w:hanging="256"/>
      </w:pPr>
      <w:rPr>
        <w:lang w:val="en-US" w:eastAsia="en-US" w:bidi="ar-SA"/>
      </w:rPr>
    </w:lvl>
    <w:lvl w:ilvl="5" w:tplc="2ECA768E">
      <w:numFmt w:val="bullet"/>
      <w:lvlText w:val="•"/>
      <w:lvlJc w:val="left"/>
      <w:pPr>
        <w:ind w:left="2539" w:hanging="256"/>
      </w:pPr>
      <w:rPr>
        <w:lang w:val="en-US" w:eastAsia="en-US" w:bidi="ar-SA"/>
      </w:rPr>
    </w:lvl>
    <w:lvl w:ilvl="6" w:tplc="9B429B92">
      <w:numFmt w:val="bullet"/>
      <w:lvlText w:val="•"/>
      <w:lvlJc w:val="left"/>
      <w:pPr>
        <w:ind w:left="3023" w:hanging="256"/>
      </w:pPr>
      <w:rPr>
        <w:lang w:val="en-US" w:eastAsia="en-US" w:bidi="ar-SA"/>
      </w:rPr>
    </w:lvl>
    <w:lvl w:ilvl="7" w:tplc="9A2879DC">
      <w:numFmt w:val="bullet"/>
      <w:lvlText w:val="•"/>
      <w:lvlJc w:val="left"/>
      <w:pPr>
        <w:ind w:left="3507" w:hanging="256"/>
      </w:pPr>
      <w:rPr>
        <w:lang w:val="en-US" w:eastAsia="en-US" w:bidi="ar-SA"/>
      </w:rPr>
    </w:lvl>
    <w:lvl w:ilvl="8" w:tplc="91665A52">
      <w:numFmt w:val="bullet"/>
      <w:lvlText w:val="•"/>
      <w:lvlJc w:val="left"/>
      <w:pPr>
        <w:ind w:left="3991" w:hanging="256"/>
      </w:pPr>
      <w:rPr>
        <w:lang w:val="en-US" w:eastAsia="en-US" w:bidi="ar-SA"/>
      </w:rPr>
    </w:lvl>
  </w:abstractNum>
  <w:abstractNum w:abstractNumId="66" w15:restartNumberingAfterBreak="0">
    <w:nsid w:val="7A544AC0"/>
    <w:multiLevelType w:val="hybridMultilevel"/>
    <w:tmpl w:val="DD244A4E"/>
    <w:lvl w:ilvl="0" w:tplc="F1B410D4">
      <w:numFmt w:val="bullet"/>
      <w:lvlText w:val="■"/>
      <w:lvlJc w:val="left"/>
      <w:pPr>
        <w:ind w:left="375" w:hanging="256"/>
      </w:pPr>
      <w:rPr>
        <w:rFonts w:ascii="MS UI Gothic" w:eastAsia="MS UI Gothic" w:hAnsi="MS UI Gothic" w:cs="MS UI Gothic" w:hint="eastAsia"/>
        <w:w w:val="100"/>
        <w:sz w:val="20"/>
        <w:szCs w:val="20"/>
        <w:lang w:val="en-US" w:eastAsia="en-US" w:bidi="ar-SA"/>
      </w:rPr>
    </w:lvl>
    <w:lvl w:ilvl="1" w:tplc="F21CD7E4">
      <w:numFmt w:val="bullet"/>
      <w:lvlText w:val="•"/>
      <w:lvlJc w:val="left"/>
      <w:pPr>
        <w:ind w:left="837" w:hanging="256"/>
      </w:pPr>
      <w:rPr>
        <w:lang w:val="en-US" w:eastAsia="en-US" w:bidi="ar-SA"/>
      </w:rPr>
    </w:lvl>
    <w:lvl w:ilvl="2" w:tplc="D540A3D0">
      <w:numFmt w:val="bullet"/>
      <w:lvlText w:val="•"/>
      <w:lvlJc w:val="left"/>
      <w:pPr>
        <w:ind w:left="1295" w:hanging="256"/>
      </w:pPr>
      <w:rPr>
        <w:lang w:val="en-US" w:eastAsia="en-US" w:bidi="ar-SA"/>
      </w:rPr>
    </w:lvl>
    <w:lvl w:ilvl="3" w:tplc="F2229928">
      <w:numFmt w:val="bullet"/>
      <w:lvlText w:val="•"/>
      <w:lvlJc w:val="left"/>
      <w:pPr>
        <w:ind w:left="1753" w:hanging="256"/>
      </w:pPr>
      <w:rPr>
        <w:lang w:val="en-US" w:eastAsia="en-US" w:bidi="ar-SA"/>
      </w:rPr>
    </w:lvl>
    <w:lvl w:ilvl="4" w:tplc="1398FD94">
      <w:numFmt w:val="bullet"/>
      <w:lvlText w:val="•"/>
      <w:lvlJc w:val="left"/>
      <w:pPr>
        <w:ind w:left="2211" w:hanging="256"/>
      </w:pPr>
      <w:rPr>
        <w:lang w:val="en-US" w:eastAsia="en-US" w:bidi="ar-SA"/>
      </w:rPr>
    </w:lvl>
    <w:lvl w:ilvl="5" w:tplc="B05C446E">
      <w:numFmt w:val="bullet"/>
      <w:lvlText w:val="•"/>
      <w:lvlJc w:val="left"/>
      <w:pPr>
        <w:ind w:left="2669" w:hanging="256"/>
      </w:pPr>
      <w:rPr>
        <w:lang w:val="en-US" w:eastAsia="en-US" w:bidi="ar-SA"/>
      </w:rPr>
    </w:lvl>
    <w:lvl w:ilvl="6" w:tplc="BE7E6B16">
      <w:numFmt w:val="bullet"/>
      <w:lvlText w:val="•"/>
      <w:lvlJc w:val="left"/>
      <w:pPr>
        <w:ind w:left="3127" w:hanging="256"/>
      </w:pPr>
      <w:rPr>
        <w:lang w:val="en-US" w:eastAsia="en-US" w:bidi="ar-SA"/>
      </w:rPr>
    </w:lvl>
    <w:lvl w:ilvl="7" w:tplc="8460DE18">
      <w:numFmt w:val="bullet"/>
      <w:lvlText w:val="•"/>
      <w:lvlJc w:val="left"/>
      <w:pPr>
        <w:ind w:left="3585" w:hanging="256"/>
      </w:pPr>
      <w:rPr>
        <w:lang w:val="en-US" w:eastAsia="en-US" w:bidi="ar-SA"/>
      </w:rPr>
    </w:lvl>
    <w:lvl w:ilvl="8" w:tplc="C6C2BD9C">
      <w:numFmt w:val="bullet"/>
      <w:lvlText w:val="•"/>
      <w:lvlJc w:val="left"/>
      <w:pPr>
        <w:ind w:left="4043" w:hanging="256"/>
      </w:pPr>
      <w:rPr>
        <w:lang w:val="en-US" w:eastAsia="en-US" w:bidi="ar-SA"/>
      </w:rPr>
    </w:lvl>
  </w:abstractNum>
  <w:abstractNum w:abstractNumId="67" w15:restartNumberingAfterBreak="0">
    <w:nsid w:val="7F443758"/>
    <w:multiLevelType w:val="hybridMultilevel"/>
    <w:tmpl w:val="B0DED35C"/>
    <w:lvl w:ilvl="0" w:tplc="001A39E2">
      <w:numFmt w:val="bullet"/>
      <w:lvlText w:val="■"/>
      <w:lvlJc w:val="left"/>
      <w:pPr>
        <w:ind w:left="374" w:hanging="256"/>
      </w:pPr>
      <w:rPr>
        <w:rFonts w:ascii="MS UI Gothic" w:eastAsia="MS UI Gothic" w:hAnsi="MS UI Gothic" w:cs="MS UI Gothic" w:hint="eastAsia"/>
        <w:w w:val="100"/>
        <w:sz w:val="20"/>
        <w:szCs w:val="20"/>
        <w:lang w:val="en-US" w:eastAsia="en-US" w:bidi="ar-SA"/>
      </w:rPr>
    </w:lvl>
    <w:lvl w:ilvl="1" w:tplc="FC74746A">
      <w:numFmt w:val="bullet"/>
      <w:lvlText w:val="•"/>
      <w:lvlJc w:val="left"/>
      <w:pPr>
        <w:ind w:left="883" w:hanging="256"/>
      </w:pPr>
      <w:rPr>
        <w:lang w:val="en-US" w:eastAsia="en-US" w:bidi="ar-SA"/>
      </w:rPr>
    </w:lvl>
    <w:lvl w:ilvl="2" w:tplc="8FB6CBA8">
      <w:numFmt w:val="bullet"/>
      <w:lvlText w:val="•"/>
      <w:lvlJc w:val="left"/>
      <w:pPr>
        <w:ind w:left="1386" w:hanging="256"/>
      </w:pPr>
      <w:rPr>
        <w:lang w:val="en-US" w:eastAsia="en-US" w:bidi="ar-SA"/>
      </w:rPr>
    </w:lvl>
    <w:lvl w:ilvl="3" w:tplc="9E801486">
      <w:numFmt w:val="bullet"/>
      <w:lvlText w:val="•"/>
      <w:lvlJc w:val="left"/>
      <w:pPr>
        <w:ind w:left="1889" w:hanging="256"/>
      </w:pPr>
      <w:rPr>
        <w:lang w:val="en-US" w:eastAsia="en-US" w:bidi="ar-SA"/>
      </w:rPr>
    </w:lvl>
    <w:lvl w:ilvl="4" w:tplc="94F4D604">
      <w:numFmt w:val="bullet"/>
      <w:lvlText w:val="•"/>
      <w:lvlJc w:val="left"/>
      <w:pPr>
        <w:ind w:left="2392" w:hanging="256"/>
      </w:pPr>
      <w:rPr>
        <w:lang w:val="en-US" w:eastAsia="en-US" w:bidi="ar-SA"/>
      </w:rPr>
    </w:lvl>
    <w:lvl w:ilvl="5" w:tplc="F7A8AED2">
      <w:numFmt w:val="bullet"/>
      <w:lvlText w:val="•"/>
      <w:lvlJc w:val="left"/>
      <w:pPr>
        <w:ind w:left="2895" w:hanging="256"/>
      </w:pPr>
      <w:rPr>
        <w:lang w:val="en-US" w:eastAsia="en-US" w:bidi="ar-SA"/>
      </w:rPr>
    </w:lvl>
    <w:lvl w:ilvl="6" w:tplc="4D2C1962">
      <w:numFmt w:val="bullet"/>
      <w:lvlText w:val="•"/>
      <w:lvlJc w:val="left"/>
      <w:pPr>
        <w:ind w:left="3398" w:hanging="256"/>
      </w:pPr>
      <w:rPr>
        <w:lang w:val="en-US" w:eastAsia="en-US" w:bidi="ar-SA"/>
      </w:rPr>
    </w:lvl>
    <w:lvl w:ilvl="7" w:tplc="1E2CDEAE">
      <w:numFmt w:val="bullet"/>
      <w:lvlText w:val="•"/>
      <w:lvlJc w:val="left"/>
      <w:pPr>
        <w:ind w:left="3901" w:hanging="256"/>
      </w:pPr>
      <w:rPr>
        <w:lang w:val="en-US" w:eastAsia="en-US" w:bidi="ar-SA"/>
      </w:rPr>
    </w:lvl>
    <w:lvl w:ilvl="8" w:tplc="46743830">
      <w:numFmt w:val="bullet"/>
      <w:lvlText w:val="•"/>
      <w:lvlJc w:val="left"/>
      <w:pPr>
        <w:ind w:left="4404" w:hanging="256"/>
      </w:pPr>
      <w:rPr>
        <w:lang w:val="en-US" w:eastAsia="en-US" w:bidi="ar-SA"/>
      </w:rPr>
    </w:lvl>
  </w:abstractNum>
  <w:num w:numId="1" w16cid:durableId="473565218">
    <w:abstractNumId w:val="49"/>
  </w:num>
  <w:num w:numId="2" w16cid:durableId="1688601831">
    <w:abstractNumId w:val="7"/>
  </w:num>
  <w:num w:numId="3" w16cid:durableId="1112163147">
    <w:abstractNumId w:val="0"/>
  </w:num>
  <w:num w:numId="4" w16cid:durableId="1175656319">
    <w:abstractNumId w:val="33"/>
    <w:lvlOverride w:ilvl="0">
      <w:startOverride w:val="1"/>
    </w:lvlOverride>
    <w:lvlOverride w:ilvl="1"/>
    <w:lvlOverride w:ilvl="2"/>
    <w:lvlOverride w:ilvl="3"/>
    <w:lvlOverride w:ilvl="4"/>
    <w:lvlOverride w:ilvl="5"/>
    <w:lvlOverride w:ilvl="6"/>
    <w:lvlOverride w:ilvl="7"/>
    <w:lvlOverride w:ilvl="8"/>
  </w:num>
  <w:num w:numId="5" w16cid:durableId="1892614193">
    <w:abstractNumId w:val="51"/>
  </w:num>
  <w:num w:numId="6" w16cid:durableId="116721391">
    <w:abstractNumId w:val="21"/>
  </w:num>
  <w:num w:numId="7" w16cid:durableId="1864319504">
    <w:abstractNumId w:val="60"/>
  </w:num>
  <w:num w:numId="8" w16cid:durableId="1980500111">
    <w:abstractNumId w:val="66"/>
  </w:num>
  <w:num w:numId="9" w16cid:durableId="694161788">
    <w:abstractNumId w:val="1"/>
  </w:num>
  <w:num w:numId="10" w16cid:durableId="679090461">
    <w:abstractNumId w:val="30"/>
  </w:num>
  <w:num w:numId="11" w16cid:durableId="212355755">
    <w:abstractNumId w:val="22"/>
  </w:num>
  <w:num w:numId="12" w16cid:durableId="1990286817">
    <w:abstractNumId w:val="13"/>
  </w:num>
  <w:num w:numId="13" w16cid:durableId="18750852">
    <w:abstractNumId w:val="28"/>
  </w:num>
  <w:num w:numId="14" w16cid:durableId="1546871154">
    <w:abstractNumId w:val="58"/>
  </w:num>
  <w:num w:numId="15" w16cid:durableId="800921607">
    <w:abstractNumId w:val="25"/>
  </w:num>
  <w:num w:numId="16" w16cid:durableId="2124380391">
    <w:abstractNumId w:val="39"/>
  </w:num>
  <w:num w:numId="17" w16cid:durableId="1660764513">
    <w:abstractNumId w:val="65"/>
  </w:num>
  <w:num w:numId="18" w16cid:durableId="1701734307">
    <w:abstractNumId w:val="9"/>
  </w:num>
  <w:num w:numId="19" w16cid:durableId="172964196">
    <w:abstractNumId w:val="16"/>
  </w:num>
  <w:num w:numId="20" w16cid:durableId="862591537">
    <w:abstractNumId w:val="37"/>
  </w:num>
  <w:num w:numId="21" w16cid:durableId="70736672">
    <w:abstractNumId w:val="42"/>
  </w:num>
  <w:num w:numId="22" w16cid:durableId="1802111031">
    <w:abstractNumId w:val="24"/>
  </w:num>
  <w:num w:numId="23" w16cid:durableId="138423087">
    <w:abstractNumId w:val="27"/>
  </w:num>
  <w:num w:numId="24" w16cid:durableId="1106656892">
    <w:abstractNumId w:val="54"/>
  </w:num>
  <w:num w:numId="25" w16cid:durableId="407122240">
    <w:abstractNumId w:val="47"/>
  </w:num>
  <w:num w:numId="26" w16cid:durableId="268437934">
    <w:abstractNumId w:val="10"/>
  </w:num>
  <w:num w:numId="27" w16cid:durableId="1516113645">
    <w:abstractNumId w:val="11"/>
  </w:num>
  <w:num w:numId="28" w16cid:durableId="1485924827">
    <w:abstractNumId w:val="4"/>
  </w:num>
  <w:num w:numId="29" w16cid:durableId="2055503184">
    <w:abstractNumId w:val="8"/>
  </w:num>
  <w:num w:numId="30" w16cid:durableId="449474985">
    <w:abstractNumId w:val="52"/>
  </w:num>
  <w:num w:numId="31" w16cid:durableId="442044339">
    <w:abstractNumId w:val="46"/>
  </w:num>
  <w:num w:numId="32" w16cid:durableId="776944257">
    <w:abstractNumId w:val="31"/>
  </w:num>
  <w:num w:numId="33" w16cid:durableId="1576159506">
    <w:abstractNumId w:val="43"/>
  </w:num>
  <w:num w:numId="34" w16cid:durableId="491987129">
    <w:abstractNumId w:val="64"/>
  </w:num>
  <w:num w:numId="35" w16cid:durableId="1797478780">
    <w:abstractNumId w:val="6"/>
  </w:num>
  <w:num w:numId="36" w16cid:durableId="402021602">
    <w:abstractNumId w:val="63"/>
  </w:num>
  <w:num w:numId="37" w16cid:durableId="428429516">
    <w:abstractNumId w:val="41"/>
  </w:num>
  <w:num w:numId="38" w16cid:durableId="24721848">
    <w:abstractNumId w:val="18"/>
  </w:num>
  <w:num w:numId="39" w16cid:durableId="1696417228">
    <w:abstractNumId w:val="38"/>
  </w:num>
  <w:num w:numId="40" w16cid:durableId="812285156">
    <w:abstractNumId w:val="62"/>
  </w:num>
  <w:num w:numId="41" w16cid:durableId="2090076231">
    <w:abstractNumId w:val="50"/>
  </w:num>
  <w:num w:numId="42" w16cid:durableId="140197722">
    <w:abstractNumId w:val="5"/>
  </w:num>
  <w:num w:numId="43" w16cid:durableId="1162235757">
    <w:abstractNumId w:val="19"/>
  </w:num>
  <w:num w:numId="44" w16cid:durableId="1816415876">
    <w:abstractNumId w:val="57"/>
  </w:num>
  <w:num w:numId="45" w16cid:durableId="1440948665">
    <w:abstractNumId w:val="2"/>
  </w:num>
  <w:num w:numId="46" w16cid:durableId="915281436">
    <w:abstractNumId w:val="53"/>
  </w:num>
  <w:num w:numId="47" w16cid:durableId="500319635">
    <w:abstractNumId w:val="55"/>
  </w:num>
  <w:num w:numId="48" w16cid:durableId="244194263">
    <w:abstractNumId w:val="17"/>
  </w:num>
  <w:num w:numId="49" w16cid:durableId="1043015760">
    <w:abstractNumId w:val="56"/>
  </w:num>
  <w:num w:numId="50" w16cid:durableId="1736196360">
    <w:abstractNumId w:val="3"/>
  </w:num>
  <w:num w:numId="51" w16cid:durableId="862010325">
    <w:abstractNumId w:val="59"/>
  </w:num>
  <w:num w:numId="52" w16cid:durableId="896860294">
    <w:abstractNumId w:val="48"/>
  </w:num>
  <w:num w:numId="53" w16cid:durableId="1188444448">
    <w:abstractNumId w:val="12"/>
  </w:num>
  <w:num w:numId="54" w16cid:durableId="1785613780">
    <w:abstractNumId w:val="34"/>
  </w:num>
  <w:num w:numId="55" w16cid:durableId="1314992924">
    <w:abstractNumId w:val="36"/>
  </w:num>
  <w:num w:numId="56" w16cid:durableId="1926835377">
    <w:abstractNumId w:val="35"/>
  </w:num>
  <w:num w:numId="57" w16cid:durableId="2055245">
    <w:abstractNumId w:val="32"/>
  </w:num>
  <w:num w:numId="58" w16cid:durableId="328143671">
    <w:abstractNumId w:val="14"/>
  </w:num>
  <w:num w:numId="59" w16cid:durableId="315962746">
    <w:abstractNumId w:val="15"/>
  </w:num>
  <w:num w:numId="60" w16cid:durableId="386074296">
    <w:abstractNumId w:val="44"/>
  </w:num>
  <w:num w:numId="61" w16cid:durableId="1405376791">
    <w:abstractNumId w:val="20"/>
  </w:num>
  <w:num w:numId="62" w16cid:durableId="1986886412">
    <w:abstractNumId w:val="29"/>
  </w:num>
  <w:num w:numId="63" w16cid:durableId="678897129">
    <w:abstractNumId w:val="67"/>
  </w:num>
  <w:num w:numId="64" w16cid:durableId="2092190694">
    <w:abstractNumId w:val="23"/>
  </w:num>
  <w:num w:numId="65" w16cid:durableId="1151293017">
    <w:abstractNumId w:val="26"/>
  </w:num>
  <w:num w:numId="66" w16cid:durableId="1027100454">
    <w:abstractNumId w:val="61"/>
  </w:num>
  <w:num w:numId="67" w16cid:durableId="1087461216">
    <w:abstractNumId w:val="40"/>
  </w:num>
  <w:num w:numId="68" w16cid:durableId="1734348677">
    <w:abstractNumId w:val="4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16"/>
    <w:rsid w:val="00003C31"/>
    <w:rsid w:val="00005154"/>
    <w:rsid w:val="00017A80"/>
    <w:rsid w:val="00020286"/>
    <w:rsid w:val="00020D73"/>
    <w:rsid w:val="00022703"/>
    <w:rsid w:val="00023D9D"/>
    <w:rsid w:val="000275F2"/>
    <w:rsid w:val="00027B26"/>
    <w:rsid w:val="000350CB"/>
    <w:rsid w:val="0003556A"/>
    <w:rsid w:val="000404D3"/>
    <w:rsid w:val="0004085E"/>
    <w:rsid w:val="00041A09"/>
    <w:rsid w:val="000436AB"/>
    <w:rsid w:val="000446F0"/>
    <w:rsid w:val="00050F06"/>
    <w:rsid w:val="00061B50"/>
    <w:rsid w:val="00062224"/>
    <w:rsid w:val="00063119"/>
    <w:rsid w:val="000633EC"/>
    <w:rsid w:val="00064F62"/>
    <w:rsid w:val="0006790E"/>
    <w:rsid w:val="00071DE2"/>
    <w:rsid w:val="000735DA"/>
    <w:rsid w:val="00087C7E"/>
    <w:rsid w:val="00095264"/>
    <w:rsid w:val="00096583"/>
    <w:rsid w:val="00096AE9"/>
    <w:rsid w:val="000A37A4"/>
    <w:rsid w:val="000B3269"/>
    <w:rsid w:val="000B649B"/>
    <w:rsid w:val="000C044D"/>
    <w:rsid w:val="000C700D"/>
    <w:rsid w:val="000C7CEF"/>
    <w:rsid w:val="000D39C3"/>
    <w:rsid w:val="000D4560"/>
    <w:rsid w:val="000D6A9B"/>
    <w:rsid w:val="000E0CCE"/>
    <w:rsid w:val="000E1C6B"/>
    <w:rsid w:val="000F0CE1"/>
    <w:rsid w:val="000F0EA3"/>
    <w:rsid w:val="000F4DE0"/>
    <w:rsid w:val="000F61E2"/>
    <w:rsid w:val="00100CBD"/>
    <w:rsid w:val="001015A5"/>
    <w:rsid w:val="00101C0E"/>
    <w:rsid w:val="0010563C"/>
    <w:rsid w:val="00110F16"/>
    <w:rsid w:val="001245CE"/>
    <w:rsid w:val="00130F0E"/>
    <w:rsid w:val="00131B87"/>
    <w:rsid w:val="0013215F"/>
    <w:rsid w:val="001327BB"/>
    <w:rsid w:val="00132AB9"/>
    <w:rsid w:val="00132EEC"/>
    <w:rsid w:val="0013369E"/>
    <w:rsid w:val="001433D4"/>
    <w:rsid w:val="00143704"/>
    <w:rsid w:val="001479A1"/>
    <w:rsid w:val="00153B3A"/>
    <w:rsid w:val="001553A8"/>
    <w:rsid w:val="00156A73"/>
    <w:rsid w:val="001663C5"/>
    <w:rsid w:val="0016788C"/>
    <w:rsid w:val="00171744"/>
    <w:rsid w:val="00172F5C"/>
    <w:rsid w:val="001732ED"/>
    <w:rsid w:val="001745F3"/>
    <w:rsid w:val="00175861"/>
    <w:rsid w:val="00177850"/>
    <w:rsid w:val="00182608"/>
    <w:rsid w:val="00182C75"/>
    <w:rsid w:val="0018385F"/>
    <w:rsid w:val="001857A5"/>
    <w:rsid w:val="00185FE1"/>
    <w:rsid w:val="00192412"/>
    <w:rsid w:val="0019397A"/>
    <w:rsid w:val="00196276"/>
    <w:rsid w:val="00197E64"/>
    <w:rsid w:val="001A47CE"/>
    <w:rsid w:val="001A58B2"/>
    <w:rsid w:val="001B3530"/>
    <w:rsid w:val="001B754D"/>
    <w:rsid w:val="001C07C2"/>
    <w:rsid w:val="001C361C"/>
    <w:rsid w:val="001C4AA6"/>
    <w:rsid w:val="001C59DD"/>
    <w:rsid w:val="001C5C7C"/>
    <w:rsid w:val="001C6004"/>
    <w:rsid w:val="001C7179"/>
    <w:rsid w:val="001D1D10"/>
    <w:rsid w:val="001D481E"/>
    <w:rsid w:val="001F3769"/>
    <w:rsid w:val="002065A0"/>
    <w:rsid w:val="00210146"/>
    <w:rsid w:val="002203DA"/>
    <w:rsid w:val="00220CA9"/>
    <w:rsid w:val="002242D0"/>
    <w:rsid w:val="00224F2E"/>
    <w:rsid w:val="00227263"/>
    <w:rsid w:val="002276C8"/>
    <w:rsid w:val="00232115"/>
    <w:rsid w:val="002338D6"/>
    <w:rsid w:val="00233C72"/>
    <w:rsid w:val="002344CC"/>
    <w:rsid w:val="0023536B"/>
    <w:rsid w:val="002353F9"/>
    <w:rsid w:val="00246EAC"/>
    <w:rsid w:val="00247B4A"/>
    <w:rsid w:val="00247E36"/>
    <w:rsid w:val="0025123C"/>
    <w:rsid w:val="0026483F"/>
    <w:rsid w:val="002649FE"/>
    <w:rsid w:val="002665E4"/>
    <w:rsid w:val="00270A79"/>
    <w:rsid w:val="002714E5"/>
    <w:rsid w:val="00272B94"/>
    <w:rsid w:val="00275C64"/>
    <w:rsid w:val="0027602D"/>
    <w:rsid w:val="0027709F"/>
    <w:rsid w:val="00280066"/>
    <w:rsid w:val="002809AE"/>
    <w:rsid w:val="002864EC"/>
    <w:rsid w:val="00287676"/>
    <w:rsid w:val="00292DCD"/>
    <w:rsid w:val="0029437F"/>
    <w:rsid w:val="00294A85"/>
    <w:rsid w:val="0029772C"/>
    <w:rsid w:val="00297C85"/>
    <w:rsid w:val="00297D83"/>
    <w:rsid w:val="002A181A"/>
    <w:rsid w:val="002A2BF9"/>
    <w:rsid w:val="002A40FD"/>
    <w:rsid w:val="002A7592"/>
    <w:rsid w:val="002B1A5D"/>
    <w:rsid w:val="002B351F"/>
    <w:rsid w:val="002C0B36"/>
    <w:rsid w:val="002D045F"/>
    <w:rsid w:val="002D3B23"/>
    <w:rsid w:val="002D7807"/>
    <w:rsid w:val="002E073E"/>
    <w:rsid w:val="002E0DFC"/>
    <w:rsid w:val="002E70DB"/>
    <w:rsid w:val="002F07D5"/>
    <w:rsid w:val="002F1C32"/>
    <w:rsid w:val="002F7C0E"/>
    <w:rsid w:val="00302065"/>
    <w:rsid w:val="00310041"/>
    <w:rsid w:val="00310318"/>
    <w:rsid w:val="003103C3"/>
    <w:rsid w:val="00312042"/>
    <w:rsid w:val="003203EB"/>
    <w:rsid w:val="00324F3C"/>
    <w:rsid w:val="00331BD0"/>
    <w:rsid w:val="0033383A"/>
    <w:rsid w:val="00334830"/>
    <w:rsid w:val="00335544"/>
    <w:rsid w:val="00341138"/>
    <w:rsid w:val="00343FA5"/>
    <w:rsid w:val="00345565"/>
    <w:rsid w:val="00345B1B"/>
    <w:rsid w:val="00347603"/>
    <w:rsid w:val="0035194B"/>
    <w:rsid w:val="00356CAE"/>
    <w:rsid w:val="003601CF"/>
    <w:rsid w:val="00363AF5"/>
    <w:rsid w:val="00363E33"/>
    <w:rsid w:val="00366FB0"/>
    <w:rsid w:val="00367B93"/>
    <w:rsid w:val="00372A72"/>
    <w:rsid w:val="00372ECB"/>
    <w:rsid w:val="0037435D"/>
    <w:rsid w:val="00377544"/>
    <w:rsid w:val="0037799E"/>
    <w:rsid w:val="003800B2"/>
    <w:rsid w:val="00390A2E"/>
    <w:rsid w:val="00390D23"/>
    <w:rsid w:val="003A12DA"/>
    <w:rsid w:val="003A630E"/>
    <w:rsid w:val="003B14C0"/>
    <w:rsid w:val="003B157E"/>
    <w:rsid w:val="003B2757"/>
    <w:rsid w:val="003B51FA"/>
    <w:rsid w:val="003B522C"/>
    <w:rsid w:val="003C77D5"/>
    <w:rsid w:val="003E09A0"/>
    <w:rsid w:val="003E7CC7"/>
    <w:rsid w:val="003F3B86"/>
    <w:rsid w:val="0040330E"/>
    <w:rsid w:val="00404118"/>
    <w:rsid w:val="004079B3"/>
    <w:rsid w:val="00411A3D"/>
    <w:rsid w:val="00414525"/>
    <w:rsid w:val="004175C1"/>
    <w:rsid w:val="00421FEE"/>
    <w:rsid w:val="00426B2B"/>
    <w:rsid w:val="00431F42"/>
    <w:rsid w:val="00436608"/>
    <w:rsid w:val="004378FE"/>
    <w:rsid w:val="00440141"/>
    <w:rsid w:val="004453F6"/>
    <w:rsid w:val="00445575"/>
    <w:rsid w:val="00445EBF"/>
    <w:rsid w:val="004504DD"/>
    <w:rsid w:val="004572EC"/>
    <w:rsid w:val="00457950"/>
    <w:rsid w:val="00460C7F"/>
    <w:rsid w:val="00460CE5"/>
    <w:rsid w:val="00465267"/>
    <w:rsid w:val="00471E66"/>
    <w:rsid w:val="00472303"/>
    <w:rsid w:val="00474306"/>
    <w:rsid w:val="0047434D"/>
    <w:rsid w:val="004772D2"/>
    <w:rsid w:val="00477480"/>
    <w:rsid w:val="00482D85"/>
    <w:rsid w:val="00491427"/>
    <w:rsid w:val="00492479"/>
    <w:rsid w:val="004930E5"/>
    <w:rsid w:val="0049534C"/>
    <w:rsid w:val="00496A87"/>
    <w:rsid w:val="004975E0"/>
    <w:rsid w:val="004A111C"/>
    <w:rsid w:val="004A4955"/>
    <w:rsid w:val="004A646F"/>
    <w:rsid w:val="004C0592"/>
    <w:rsid w:val="004C0DEB"/>
    <w:rsid w:val="004C202F"/>
    <w:rsid w:val="004C2299"/>
    <w:rsid w:val="004C319E"/>
    <w:rsid w:val="004C5AE3"/>
    <w:rsid w:val="004D1E5B"/>
    <w:rsid w:val="004D20B0"/>
    <w:rsid w:val="004D6612"/>
    <w:rsid w:val="004D6C71"/>
    <w:rsid w:val="004E7F37"/>
    <w:rsid w:val="004F511A"/>
    <w:rsid w:val="00500E88"/>
    <w:rsid w:val="0050234D"/>
    <w:rsid w:val="00511245"/>
    <w:rsid w:val="005215E2"/>
    <w:rsid w:val="005229EA"/>
    <w:rsid w:val="00524644"/>
    <w:rsid w:val="00530005"/>
    <w:rsid w:val="005307B1"/>
    <w:rsid w:val="00530F11"/>
    <w:rsid w:val="0053377C"/>
    <w:rsid w:val="0054421E"/>
    <w:rsid w:val="005445BD"/>
    <w:rsid w:val="0054508A"/>
    <w:rsid w:val="00546E31"/>
    <w:rsid w:val="00547973"/>
    <w:rsid w:val="00554D28"/>
    <w:rsid w:val="00554DD9"/>
    <w:rsid w:val="00555FF8"/>
    <w:rsid w:val="00570594"/>
    <w:rsid w:val="00571AA6"/>
    <w:rsid w:val="00572C0C"/>
    <w:rsid w:val="00574BEE"/>
    <w:rsid w:val="00577396"/>
    <w:rsid w:val="005812A3"/>
    <w:rsid w:val="005902BA"/>
    <w:rsid w:val="005913C9"/>
    <w:rsid w:val="00592EE1"/>
    <w:rsid w:val="0059326A"/>
    <w:rsid w:val="00594B25"/>
    <w:rsid w:val="00595D05"/>
    <w:rsid w:val="005A4BF7"/>
    <w:rsid w:val="005A55A9"/>
    <w:rsid w:val="005A56E4"/>
    <w:rsid w:val="005A5B61"/>
    <w:rsid w:val="005B02B8"/>
    <w:rsid w:val="005B4EB6"/>
    <w:rsid w:val="005B61A7"/>
    <w:rsid w:val="005B6EC6"/>
    <w:rsid w:val="005B77C3"/>
    <w:rsid w:val="005C0F36"/>
    <w:rsid w:val="005C1E8F"/>
    <w:rsid w:val="005D1337"/>
    <w:rsid w:val="005D7CEC"/>
    <w:rsid w:val="005E116E"/>
    <w:rsid w:val="005E2E8C"/>
    <w:rsid w:val="005E3384"/>
    <w:rsid w:val="005E4D1F"/>
    <w:rsid w:val="005F01A2"/>
    <w:rsid w:val="005F0932"/>
    <w:rsid w:val="006005AC"/>
    <w:rsid w:val="006025F7"/>
    <w:rsid w:val="0061357B"/>
    <w:rsid w:val="00613B93"/>
    <w:rsid w:val="006206F0"/>
    <w:rsid w:val="00621345"/>
    <w:rsid w:val="006272AF"/>
    <w:rsid w:val="00630714"/>
    <w:rsid w:val="006312F8"/>
    <w:rsid w:val="00634841"/>
    <w:rsid w:val="00634F36"/>
    <w:rsid w:val="00637304"/>
    <w:rsid w:val="006400D6"/>
    <w:rsid w:val="00644663"/>
    <w:rsid w:val="0064501A"/>
    <w:rsid w:val="00646273"/>
    <w:rsid w:val="0064645C"/>
    <w:rsid w:val="00646AFC"/>
    <w:rsid w:val="0065452B"/>
    <w:rsid w:val="006554D8"/>
    <w:rsid w:val="00662EF2"/>
    <w:rsid w:val="006630E6"/>
    <w:rsid w:val="00664083"/>
    <w:rsid w:val="0066462D"/>
    <w:rsid w:val="006663DD"/>
    <w:rsid w:val="006678B5"/>
    <w:rsid w:val="00675A06"/>
    <w:rsid w:val="00676CEE"/>
    <w:rsid w:val="0068085B"/>
    <w:rsid w:val="00680F5E"/>
    <w:rsid w:val="0068152F"/>
    <w:rsid w:val="006822F5"/>
    <w:rsid w:val="00683F1A"/>
    <w:rsid w:val="00683FCF"/>
    <w:rsid w:val="006850CE"/>
    <w:rsid w:val="00685211"/>
    <w:rsid w:val="00686CCA"/>
    <w:rsid w:val="00687E67"/>
    <w:rsid w:val="00690AB4"/>
    <w:rsid w:val="00691410"/>
    <w:rsid w:val="00694320"/>
    <w:rsid w:val="0069764C"/>
    <w:rsid w:val="006A1B6B"/>
    <w:rsid w:val="006A5D4A"/>
    <w:rsid w:val="006B28C9"/>
    <w:rsid w:val="006B3A29"/>
    <w:rsid w:val="006C06F3"/>
    <w:rsid w:val="006C0993"/>
    <w:rsid w:val="006C2C96"/>
    <w:rsid w:val="006C30EE"/>
    <w:rsid w:val="006C4965"/>
    <w:rsid w:val="006C58B0"/>
    <w:rsid w:val="006D0AC6"/>
    <w:rsid w:val="006D1DAE"/>
    <w:rsid w:val="006D3FAC"/>
    <w:rsid w:val="006F3671"/>
    <w:rsid w:val="006F4B5B"/>
    <w:rsid w:val="0070076F"/>
    <w:rsid w:val="00702767"/>
    <w:rsid w:val="007210EA"/>
    <w:rsid w:val="007259E5"/>
    <w:rsid w:val="0072662B"/>
    <w:rsid w:val="007266D8"/>
    <w:rsid w:val="00727419"/>
    <w:rsid w:val="00731404"/>
    <w:rsid w:val="00734F27"/>
    <w:rsid w:val="007362EC"/>
    <w:rsid w:val="00737A32"/>
    <w:rsid w:val="0074437A"/>
    <w:rsid w:val="0074482B"/>
    <w:rsid w:val="00745F1C"/>
    <w:rsid w:val="00746E2F"/>
    <w:rsid w:val="007502BF"/>
    <w:rsid w:val="00750572"/>
    <w:rsid w:val="00750829"/>
    <w:rsid w:val="007603CD"/>
    <w:rsid w:val="00760AD8"/>
    <w:rsid w:val="0076650E"/>
    <w:rsid w:val="00766B4C"/>
    <w:rsid w:val="00771236"/>
    <w:rsid w:val="007747F8"/>
    <w:rsid w:val="00782436"/>
    <w:rsid w:val="007848FF"/>
    <w:rsid w:val="00785DD3"/>
    <w:rsid w:val="00793880"/>
    <w:rsid w:val="00796610"/>
    <w:rsid w:val="007A0096"/>
    <w:rsid w:val="007A743A"/>
    <w:rsid w:val="007B3A50"/>
    <w:rsid w:val="007B5700"/>
    <w:rsid w:val="007B6055"/>
    <w:rsid w:val="007C331F"/>
    <w:rsid w:val="007C3AE2"/>
    <w:rsid w:val="007C3CCF"/>
    <w:rsid w:val="007C5C1B"/>
    <w:rsid w:val="007D0224"/>
    <w:rsid w:val="007D07E2"/>
    <w:rsid w:val="007D2AA8"/>
    <w:rsid w:val="007D2C36"/>
    <w:rsid w:val="007E067E"/>
    <w:rsid w:val="007E30F8"/>
    <w:rsid w:val="007F198D"/>
    <w:rsid w:val="007F1C4D"/>
    <w:rsid w:val="007F259B"/>
    <w:rsid w:val="007F2BF4"/>
    <w:rsid w:val="007F5200"/>
    <w:rsid w:val="007F7429"/>
    <w:rsid w:val="00805CEB"/>
    <w:rsid w:val="0080616F"/>
    <w:rsid w:val="00813E73"/>
    <w:rsid w:val="00814051"/>
    <w:rsid w:val="008163E6"/>
    <w:rsid w:val="00817ADA"/>
    <w:rsid w:val="00826F65"/>
    <w:rsid w:val="0083600E"/>
    <w:rsid w:val="00836A49"/>
    <w:rsid w:val="00843DDA"/>
    <w:rsid w:val="00845617"/>
    <w:rsid w:val="008506A5"/>
    <w:rsid w:val="0085193E"/>
    <w:rsid w:val="0085426C"/>
    <w:rsid w:val="00854513"/>
    <w:rsid w:val="00857421"/>
    <w:rsid w:val="0086319B"/>
    <w:rsid w:val="00865223"/>
    <w:rsid w:val="0087305E"/>
    <w:rsid w:val="0087610E"/>
    <w:rsid w:val="00880718"/>
    <w:rsid w:val="00886F19"/>
    <w:rsid w:val="00890621"/>
    <w:rsid w:val="00891BC1"/>
    <w:rsid w:val="0089318B"/>
    <w:rsid w:val="0089396A"/>
    <w:rsid w:val="00893A1C"/>
    <w:rsid w:val="00893CD0"/>
    <w:rsid w:val="008969D6"/>
    <w:rsid w:val="008A396A"/>
    <w:rsid w:val="008A5B03"/>
    <w:rsid w:val="008A7127"/>
    <w:rsid w:val="008B3FE4"/>
    <w:rsid w:val="008B40B9"/>
    <w:rsid w:val="008B54D5"/>
    <w:rsid w:val="008C1BB8"/>
    <w:rsid w:val="008C221C"/>
    <w:rsid w:val="008C355F"/>
    <w:rsid w:val="008D3847"/>
    <w:rsid w:val="008D4A2E"/>
    <w:rsid w:val="008E021F"/>
    <w:rsid w:val="008E2CFC"/>
    <w:rsid w:val="008F005B"/>
    <w:rsid w:val="008F1EE6"/>
    <w:rsid w:val="00902B3F"/>
    <w:rsid w:val="00903CC2"/>
    <w:rsid w:val="00913802"/>
    <w:rsid w:val="00913915"/>
    <w:rsid w:val="00916D32"/>
    <w:rsid w:val="00920414"/>
    <w:rsid w:val="009235A6"/>
    <w:rsid w:val="00930E7A"/>
    <w:rsid w:val="009317DD"/>
    <w:rsid w:val="00935ADB"/>
    <w:rsid w:val="00936579"/>
    <w:rsid w:val="00940008"/>
    <w:rsid w:val="00943A80"/>
    <w:rsid w:val="0094620A"/>
    <w:rsid w:val="009463C7"/>
    <w:rsid w:val="00946928"/>
    <w:rsid w:val="00946AE2"/>
    <w:rsid w:val="0095499F"/>
    <w:rsid w:val="009567EF"/>
    <w:rsid w:val="00963E31"/>
    <w:rsid w:val="00967F59"/>
    <w:rsid w:val="00971608"/>
    <w:rsid w:val="00971621"/>
    <w:rsid w:val="00973DB7"/>
    <w:rsid w:val="00974CE0"/>
    <w:rsid w:val="00985FED"/>
    <w:rsid w:val="00990086"/>
    <w:rsid w:val="009901FD"/>
    <w:rsid w:val="00990246"/>
    <w:rsid w:val="009969D6"/>
    <w:rsid w:val="009A0C16"/>
    <w:rsid w:val="009A2802"/>
    <w:rsid w:val="009A3580"/>
    <w:rsid w:val="009A3B18"/>
    <w:rsid w:val="009A63E9"/>
    <w:rsid w:val="009A7A6F"/>
    <w:rsid w:val="009B7208"/>
    <w:rsid w:val="009C3704"/>
    <w:rsid w:val="009C52E5"/>
    <w:rsid w:val="009C56E7"/>
    <w:rsid w:val="009D3453"/>
    <w:rsid w:val="009D5648"/>
    <w:rsid w:val="009E2004"/>
    <w:rsid w:val="009E20D9"/>
    <w:rsid w:val="009E2B70"/>
    <w:rsid w:val="009E2EF0"/>
    <w:rsid w:val="009E6C74"/>
    <w:rsid w:val="009F3B1B"/>
    <w:rsid w:val="009F5422"/>
    <w:rsid w:val="00A01157"/>
    <w:rsid w:val="00A125D8"/>
    <w:rsid w:val="00A12FEC"/>
    <w:rsid w:val="00A1464F"/>
    <w:rsid w:val="00A22E9D"/>
    <w:rsid w:val="00A231B0"/>
    <w:rsid w:val="00A258DB"/>
    <w:rsid w:val="00A3282B"/>
    <w:rsid w:val="00A3479A"/>
    <w:rsid w:val="00A44843"/>
    <w:rsid w:val="00A46A81"/>
    <w:rsid w:val="00A47744"/>
    <w:rsid w:val="00A51417"/>
    <w:rsid w:val="00A5374D"/>
    <w:rsid w:val="00A57D74"/>
    <w:rsid w:val="00A61D0A"/>
    <w:rsid w:val="00A665F3"/>
    <w:rsid w:val="00A733BD"/>
    <w:rsid w:val="00A77FE3"/>
    <w:rsid w:val="00A80525"/>
    <w:rsid w:val="00A8106C"/>
    <w:rsid w:val="00A82755"/>
    <w:rsid w:val="00A830BA"/>
    <w:rsid w:val="00A84680"/>
    <w:rsid w:val="00AA13A0"/>
    <w:rsid w:val="00AA5B53"/>
    <w:rsid w:val="00AA6112"/>
    <w:rsid w:val="00AA6BDD"/>
    <w:rsid w:val="00AA6F35"/>
    <w:rsid w:val="00AB31DF"/>
    <w:rsid w:val="00AB522C"/>
    <w:rsid w:val="00AB7265"/>
    <w:rsid w:val="00AD2827"/>
    <w:rsid w:val="00AD2975"/>
    <w:rsid w:val="00AE05E4"/>
    <w:rsid w:val="00AE1E16"/>
    <w:rsid w:val="00AE34F4"/>
    <w:rsid w:val="00AE6D37"/>
    <w:rsid w:val="00AF3349"/>
    <w:rsid w:val="00AF4B04"/>
    <w:rsid w:val="00AF7DD0"/>
    <w:rsid w:val="00AF7FFA"/>
    <w:rsid w:val="00B0491A"/>
    <w:rsid w:val="00B05E4C"/>
    <w:rsid w:val="00B06B22"/>
    <w:rsid w:val="00B06F4F"/>
    <w:rsid w:val="00B1133B"/>
    <w:rsid w:val="00B25401"/>
    <w:rsid w:val="00B34510"/>
    <w:rsid w:val="00B37764"/>
    <w:rsid w:val="00B411D5"/>
    <w:rsid w:val="00B424DF"/>
    <w:rsid w:val="00B43627"/>
    <w:rsid w:val="00B4363B"/>
    <w:rsid w:val="00B44B8D"/>
    <w:rsid w:val="00B47151"/>
    <w:rsid w:val="00B47620"/>
    <w:rsid w:val="00B4769F"/>
    <w:rsid w:val="00B47BCB"/>
    <w:rsid w:val="00B537DD"/>
    <w:rsid w:val="00B547E6"/>
    <w:rsid w:val="00B56FA8"/>
    <w:rsid w:val="00B62D22"/>
    <w:rsid w:val="00B63E1F"/>
    <w:rsid w:val="00B64534"/>
    <w:rsid w:val="00B64548"/>
    <w:rsid w:val="00B749EC"/>
    <w:rsid w:val="00B76785"/>
    <w:rsid w:val="00B7738D"/>
    <w:rsid w:val="00B77DDE"/>
    <w:rsid w:val="00B81AD8"/>
    <w:rsid w:val="00B8426C"/>
    <w:rsid w:val="00B86A83"/>
    <w:rsid w:val="00B87DEA"/>
    <w:rsid w:val="00B9116A"/>
    <w:rsid w:val="00B92DCD"/>
    <w:rsid w:val="00B94941"/>
    <w:rsid w:val="00B94962"/>
    <w:rsid w:val="00BA3FC1"/>
    <w:rsid w:val="00BB1852"/>
    <w:rsid w:val="00BB34DB"/>
    <w:rsid w:val="00BB3973"/>
    <w:rsid w:val="00BB554D"/>
    <w:rsid w:val="00BB5D02"/>
    <w:rsid w:val="00BC0292"/>
    <w:rsid w:val="00BC1B2B"/>
    <w:rsid w:val="00BC51E9"/>
    <w:rsid w:val="00BD19B9"/>
    <w:rsid w:val="00BD5466"/>
    <w:rsid w:val="00BD799B"/>
    <w:rsid w:val="00BE372A"/>
    <w:rsid w:val="00BE75C8"/>
    <w:rsid w:val="00BF16AC"/>
    <w:rsid w:val="00BF30ED"/>
    <w:rsid w:val="00BF395A"/>
    <w:rsid w:val="00BF7A53"/>
    <w:rsid w:val="00C00B3E"/>
    <w:rsid w:val="00C03082"/>
    <w:rsid w:val="00C0653F"/>
    <w:rsid w:val="00C06D06"/>
    <w:rsid w:val="00C0748E"/>
    <w:rsid w:val="00C10034"/>
    <w:rsid w:val="00C1043D"/>
    <w:rsid w:val="00C1145D"/>
    <w:rsid w:val="00C13AE0"/>
    <w:rsid w:val="00C155EE"/>
    <w:rsid w:val="00C172AF"/>
    <w:rsid w:val="00C176FC"/>
    <w:rsid w:val="00C21567"/>
    <w:rsid w:val="00C312F2"/>
    <w:rsid w:val="00C31564"/>
    <w:rsid w:val="00C34BDB"/>
    <w:rsid w:val="00C35170"/>
    <w:rsid w:val="00C3753A"/>
    <w:rsid w:val="00C433E4"/>
    <w:rsid w:val="00C443AD"/>
    <w:rsid w:val="00C465B3"/>
    <w:rsid w:val="00C465D7"/>
    <w:rsid w:val="00C53359"/>
    <w:rsid w:val="00C54C0A"/>
    <w:rsid w:val="00C57B60"/>
    <w:rsid w:val="00C65758"/>
    <w:rsid w:val="00C729B9"/>
    <w:rsid w:val="00C810CF"/>
    <w:rsid w:val="00C85EF8"/>
    <w:rsid w:val="00C96794"/>
    <w:rsid w:val="00C979C4"/>
    <w:rsid w:val="00CA4B8F"/>
    <w:rsid w:val="00CA7EA8"/>
    <w:rsid w:val="00CB1752"/>
    <w:rsid w:val="00CB203D"/>
    <w:rsid w:val="00CB65F3"/>
    <w:rsid w:val="00CB6F60"/>
    <w:rsid w:val="00CC7EFE"/>
    <w:rsid w:val="00CD2D29"/>
    <w:rsid w:val="00CD7B43"/>
    <w:rsid w:val="00CE4F04"/>
    <w:rsid w:val="00CE5BEC"/>
    <w:rsid w:val="00CF2504"/>
    <w:rsid w:val="00CF3FDB"/>
    <w:rsid w:val="00CF577C"/>
    <w:rsid w:val="00CF6BFC"/>
    <w:rsid w:val="00D00B40"/>
    <w:rsid w:val="00D03911"/>
    <w:rsid w:val="00D04663"/>
    <w:rsid w:val="00D1393F"/>
    <w:rsid w:val="00D20BA1"/>
    <w:rsid w:val="00D2173B"/>
    <w:rsid w:val="00D272C2"/>
    <w:rsid w:val="00D35EF3"/>
    <w:rsid w:val="00D37937"/>
    <w:rsid w:val="00D41109"/>
    <w:rsid w:val="00D476E6"/>
    <w:rsid w:val="00D50E04"/>
    <w:rsid w:val="00D51B9E"/>
    <w:rsid w:val="00D54420"/>
    <w:rsid w:val="00D54742"/>
    <w:rsid w:val="00D56C9A"/>
    <w:rsid w:val="00D57421"/>
    <w:rsid w:val="00D61CFF"/>
    <w:rsid w:val="00D64D51"/>
    <w:rsid w:val="00D701D9"/>
    <w:rsid w:val="00D7074B"/>
    <w:rsid w:val="00D7150B"/>
    <w:rsid w:val="00D7691E"/>
    <w:rsid w:val="00D77568"/>
    <w:rsid w:val="00D77A87"/>
    <w:rsid w:val="00D81E37"/>
    <w:rsid w:val="00D846E4"/>
    <w:rsid w:val="00D85B8F"/>
    <w:rsid w:val="00D914DB"/>
    <w:rsid w:val="00D91647"/>
    <w:rsid w:val="00D92269"/>
    <w:rsid w:val="00D942E9"/>
    <w:rsid w:val="00DA3CEF"/>
    <w:rsid w:val="00DA6110"/>
    <w:rsid w:val="00DB0EE1"/>
    <w:rsid w:val="00DB3C8E"/>
    <w:rsid w:val="00DB6722"/>
    <w:rsid w:val="00DC0896"/>
    <w:rsid w:val="00DC2964"/>
    <w:rsid w:val="00DC4949"/>
    <w:rsid w:val="00DC5C5D"/>
    <w:rsid w:val="00DD410D"/>
    <w:rsid w:val="00DD61AE"/>
    <w:rsid w:val="00DE00A6"/>
    <w:rsid w:val="00DE3C9D"/>
    <w:rsid w:val="00DF7EB7"/>
    <w:rsid w:val="00E05A01"/>
    <w:rsid w:val="00E12A91"/>
    <w:rsid w:val="00E22237"/>
    <w:rsid w:val="00E23B79"/>
    <w:rsid w:val="00E266DB"/>
    <w:rsid w:val="00E26830"/>
    <w:rsid w:val="00E31FCF"/>
    <w:rsid w:val="00E3352B"/>
    <w:rsid w:val="00E3353B"/>
    <w:rsid w:val="00E35B55"/>
    <w:rsid w:val="00E36C83"/>
    <w:rsid w:val="00E379F4"/>
    <w:rsid w:val="00E40622"/>
    <w:rsid w:val="00E417D5"/>
    <w:rsid w:val="00E41AB2"/>
    <w:rsid w:val="00E43608"/>
    <w:rsid w:val="00E47A10"/>
    <w:rsid w:val="00E531CC"/>
    <w:rsid w:val="00E54BE3"/>
    <w:rsid w:val="00E6030C"/>
    <w:rsid w:val="00E74A6C"/>
    <w:rsid w:val="00E77FE0"/>
    <w:rsid w:val="00E81967"/>
    <w:rsid w:val="00E8346F"/>
    <w:rsid w:val="00E85457"/>
    <w:rsid w:val="00E9422F"/>
    <w:rsid w:val="00E9461E"/>
    <w:rsid w:val="00EA353B"/>
    <w:rsid w:val="00EB0196"/>
    <w:rsid w:val="00EB609E"/>
    <w:rsid w:val="00EC39F0"/>
    <w:rsid w:val="00EC5DDC"/>
    <w:rsid w:val="00EC723A"/>
    <w:rsid w:val="00ED27B2"/>
    <w:rsid w:val="00ED40C7"/>
    <w:rsid w:val="00EE3935"/>
    <w:rsid w:val="00EE496A"/>
    <w:rsid w:val="00EE7185"/>
    <w:rsid w:val="00EF3663"/>
    <w:rsid w:val="00EF7682"/>
    <w:rsid w:val="00F01840"/>
    <w:rsid w:val="00F053C5"/>
    <w:rsid w:val="00F10FAB"/>
    <w:rsid w:val="00F134E3"/>
    <w:rsid w:val="00F27614"/>
    <w:rsid w:val="00F314B2"/>
    <w:rsid w:val="00F315B0"/>
    <w:rsid w:val="00F31801"/>
    <w:rsid w:val="00F35943"/>
    <w:rsid w:val="00F35FC5"/>
    <w:rsid w:val="00F36B50"/>
    <w:rsid w:val="00F40EE3"/>
    <w:rsid w:val="00F42751"/>
    <w:rsid w:val="00F44C9B"/>
    <w:rsid w:val="00F57D9D"/>
    <w:rsid w:val="00F65B06"/>
    <w:rsid w:val="00F676B8"/>
    <w:rsid w:val="00F7146D"/>
    <w:rsid w:val="00F73462"/>
    <w:rsid w:val="00F77D8F"/>
    <w:rsid w:val="00F8200B"/>
    <w:rsid w:val="00F84E54"/>
    <w:rsid w:val="00F85422"/>
    <w:rsid w:val="00F87BFD"/>
    <w:rsid w:val="00F941DB"/>
    <w:rsid w:val="00F96D21"/>
    <w:rsid w:val="00FA11F3"/>
    <w:rsid w:val="00FA158F"/>
    <w:rsid w:val="00FA29A2"/>
    <w:rsid w:val="00FA3379"/>
    <w:rsid w:val="00FB2E69"/>
    <w:rsid w:val="00FB3B7F"/>
    <w:rsid w:val="00FB40ED"/>
    <w:rsid w:val="00FC03B1"/>
    <w:rsid w:val="00FC618E"/>
    <w:rsid w:val="00FC6E08"/>
    <w:rsid w:val="00FC6E23"/>
    <w:rsid w:val="00FD0384"/>
    <w:rsid w:val="00FD67C8"/>
    <w:rsid w:val="00FD7243"/>
    <w:rsid w:val="00FD7CBE"/>
    <w:rsid w:val="00FE5E66"/>
    <w:rsid w:val="00FE6C29"/>
    <w:rsid w:val="00FF0645"/>
    <w:rsid w:val="00FF7A3A"/>
    <w:rsid w:val="00FF7AC3"/>
    <w:rsid w:val="00FF7E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B6B0"/>
  <w15:chartTrackingRefBased/>
  <w15:docId w15:val="{507D335B-1C15-4BD3-9B11-948A4F5B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F395A"/>
    <w:pPr>
      <w:keepNext/>
      <w:keepLines/>
      <w:tabs>
        <w:tab w:val="left" w:pos="720"/>
        <w:tab w:val="left" w:pos="6030"/>
      </w:tabs>
      <w:spacing w:before="120" w:after="120" w:line="360" w:lineRule="auto"/>
      <w:jc w:val="center"/>
      <w:outlineLvl w:val="0"/>
    </w:pPr>
    <w:rPr>
      <w:rFonts w:ascii="Times New Roman" w:eastAsiaTheme="majorEastAsia" w:hAnsi="Times New Roman" w:cstheme="majorBidi"/>
      <w:b/>
      <w:sz w:val="28"/>
      <w:szCs w:val="32"/>
      <w:lang w:val="en-US"/>
    </w:rPr>
  </w:style>
  <w:style w:type="paragraph" w:styleId="Heading2">
    <w:name w:val="heading 2"/>
    <w:basedOn w:val="Normal"/>
    <w:next w:val="Normal"/>
    <w:link w:val="Heading2Char"/>
    <w:autoRedefine/>
    <w:uiPriority w:val="9"/>
    <w:unhideWhenUsed/>
    <w:qFormat/>
    <w:rsid w:val="000350CB"/>
    <w:pPr>
      <w:keepNext/>
      <w:keepLines/>
      <w:spacing w:before="160" w:after="120"/>
      <w:jc w:val="center"/>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unhideWhenUsed/>
    <w:qFormat/>
    <w:rsid w:val="00D914DB"/>
    <w:pPr>
      <w:keepNext/>
      <w:keepLines/>
      <w:spacing w:before="160" w:after="120"/>
      <w:outlineLvl w:val="2"/>
    </w:pPr>
    <w:rPr>
      <w:rFonts w:ascii="Times New Roman" w:eastAsiaTheme="majorEastAsia" w:hAnsi="Times New Roman" w:cstheme="majorBidi"/>
      <w:b/>
      <w:bCs/>
      <w:sz w:val="24"/>
      <w:szCs w:val="24"/>
    </w:rPr>
  </w:style>
  <w:style w:type="paragraph" w:styleId="Heading4">
    <w:name w:val="heading 4"/>
    <w:basedOn w:val="Normal"/>
    <w:next w:val="Normal"/>
    <w:link w:val="Heading4Char"/>
    <w:autoRedefine/>
    <w:uiPriority w:val="9"/>
    <w:unhideWhenUsed/>
    <w:qFormat/>
    <w:rsid w:val="009463C7"/>
    <w:pPr>
      <w:keepNext/>
      <w:keepLines/>
      <w:spacing w:before="160" w:after="120"/>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E1E16"/>
    <w:pPr>
      <w:ind w:left="720"/>
      <w:contextualSpacing/>
    </w:pPr>
  </w:style>
  <w:style w:type="character" w:styleId="Hyperlink">
    <w:name w:val="Hyperlink"/>
    <w:basedOn w:val="DefaultParagraphFont"/>
    <w:uiPriority w:val="99"/>
    <w:unhideWhenUsed/>
    <w:rsid w:val="00AE1E16"/>
    <w:rPr>
      <w:color w:val="0563C1" w:themeColor="hyperlink"/>
      <w:u w:val="single"/>
    </w:rPr>
  </w:style>
  <w:style w:type="character" w:styleId="UnresolvedMention">
    <w:name w:val="Unresolved Mention"/>
    <w:basedOn w:val="DefaultParagraphFont"/>
    <w:uiPriority w:val="99"/>
    <w:semiHidden/>
    <w:unhideWhenUsed/>
    <w:rsid w:val="00F10FAB"/>
    <w:rPr>
      <w:color w:val="605E5C"/>
      <w:shd w:val="clear" w:color="auto" w:fill="E1DFDD"/>
    </w:rPr>
  </w:style>
  <w:style w:type="paragraph" w:styleId="Bibliography">
    <w:name w:val="Bibliography"/>
    <w:basedOn w:val="Normal"/>
    <w:next w:val="Normal"/>
    <w:uiPriority w:val="37"/>
    <w:unhideWhenUsed/>
    <w:rsid w:val="00702767"/>
    <w:pPr>
      <w:spacing w:after="0" w:line="480" w:lineRule="auto"/>
      <w:ind w:left="720" w:hanging="720"/>
    </w:pPr>
  </w:style>
  <w:style w:type="table" w:styleId="LightList-Accent3">
    <w:name w:val="Light List Accent 3"/>
    <w:basedOn w:val="TableNormal"/>
    <w:uiPriority w:val="61"/>
    <w:rsid w:val="007F259B"/>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Caption">
    <w:name w:val="caption"/>
    <w:basedOn w:val="Normal"/>
    <w:next w:val="Normal"/>
    <w:uiPriority w:val="35"/>
    <w:unhideWhenUsed/>
    <w:qFormat/>
    <w:rsid w:val="00621345"/>
    <w:pPr>
      <w:spacing w:after="200" w:line="240" w:lineRule="auto"/>
    </w:pPr>
    <w:rPr>
      <w:i/>
      <w:iCs/>
      <w:color w:val="44546A" w:themeColor="text2"/>
      <w:sz w:val="18"/>
      <w:szCs w:val="18"/>
    </w:rPr>
  </w:style>
  <w:style w:type="table" w:styleId="TableGrid">
    <w:name w:val="Table Grid"/>
    <w:basedOn w:val="TableNormal"/>
    <w:uiPriority w:val="39"/>
    <w:rsid w:val="00D03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65A0"/>
    <w:rPr>
      <w:color w:val="808080"/>
    </w:rPr>
  </w:style>
  <w:style w:type="paragraph" w:styleId="Header">
    <w:name w:val="header"/>
    <w:basedOn w:val="Normal"/>
    <w:link w:val="HeaderChar"/>
    <w:uiPriority w:val="99"/>
    <w:unhideWhenUsed/>
    <w:rsid w:val="00FC6E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6E23"/>
  </w:style>
  <w:style w:type="paragraph" w:styleId="Footer">
    <w:name w:val="footer"/>
    <w:basedOn w:val="Normal"/>
    <w:link w:val="FooterChar"/>
    <w:uiPriority w:val="99"/>
    <w:unhideWhenUsed/>
    <w:rsid w:val="00FC6E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E23"/>
  </w:style>
  <w:style w:type="character" w:customStyle="1" w:styleId="Heading1Char">
    <w:name w:val="Heading 1 Char"/>
    <w:basedOn w:val="DefaultParagraphFont"/>
    <w:link w:val="Heading1"/>
    <w:uiPriority w:val="9"/>
    <w:rsid w:val="00BF395A"/>
    <w:rPr>
      <w:rFonts w:ascii="Times New Roman" w:eastAsiaTheme="majorEastAsia" w:hAnsi="Times New Roman" w:cstheme="majorBidi"/>
      <w:b/>
      <w:sz w:val="28"/>
      <w:szCs w:val="32"/>
      <w:lang w:val="en-US"/>
    </w:rPr>
  </w:style>
  <w:style w:type="paragraph" w:styleId="NoSpacing">
    <w:name w:val="No Spacing"/>
    <w:uiPriority w:val="1"/>
    <w:qFormat/>
    <w:rsid w:val="006678B5"/>
    <w:pPr>
      <w:spacing w:after="0" w:line="240" w:lineRule="auto"/>
    </w:pPr>
    <w:rPr>
      <w:lang w:val="en-US"/>
    </w:rPr>
  </w:style>
  <w:style w:type="paragraph" w:styleId="ListBullet">
    <w:name w:val="List Bullet"/>
    <w:basedOn w:val="Normal"/>
    <w:uiPriority w:val="99"/>
    <w:unhideWhenUsed/>
    <w:rsid w:val="009901FD"/>
    <w:pPr>
      <w:numPr>
        <w:numId w:val="3"/>
      </w:numPr>
      <w:contextualSpacing/>
    </w:pPr>
  </w:style>
  <w:style w:type="character" w:customStyle="1" w:styleId="Heading2Char">
    <w:name w:val="Heading 2 Char"/>
    <w:basedOn w:val="DefaultParagraphFont"/>
    <w:link w:val="Heading2"/>
    <w:uiPriority w:val="9"/>
    <w:rsid w:val="000350CB"/>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D914DB"/>
    <w:rPr>
      <w:rFonts w:ascii="Times New Roman" w:eastAsiaTheme="majorEastAsia" w:hAnsi="Times New Roman" w:cstheme="majorBidi"/>
      <w:b/>
      <w:bCs/>
      <w:sz w:val="24"/>
      <w:szCs w:val="24"/>
    </w:rPr>
  </w:style>
  <w:style w:type="paragraph" w:styleId="TOCHeading">
    <w:name w:val="TOC Heading"/>
    <w:basedOn w:val="Heading1"/>
    <w:next w:val="Normal"/>
    <w:uiPriority w:val="39"/>
    <w:unhideWhenUsed/>
    <w:qFormat/>
    <w:rsid w:val="0023536B"/>
    <w:pPr>
      <w:tabs>
        <w:tab w:val="clear" w:pos="720"/>
        <w:tab w:val="clear" w:pos="6030"/>
      </w:tabs>
      <w:spacing w:before="240" w:after="0" w:line="259" w:lineRule="auto"/>
      <w:jc w:val="left"/>
      <w:outlineLvl w:val="9"/>
    </w:pPr>
    <w:rPr>
      <w:rFonts w:asciiTheme="majorHAnsi" w:hAnsiTheme="majorHAnsi"/>
      <w:b w:val="0"/>
      <w:color w:val="2F5496" w:themeColor="accent1" w:themeShade="BF"/>
      <w:sz w:val="32"/>
    </w:rPr>
  </w:style>
  <w:style w:type="paragraph" w:styleId="TOC2">
    <w:name w:val="toc 2"/>
    <w:basedOn w:val="Normal"/>
    <w:next w:val="Normal"/>
    <w:autoRedefine/>
    <w:uiPriority w:val="39"/>
    <w:unhideWhenUsed/>
    <w:rsid w:val="00ED27B2"/>
    <w:pPr>
      <w:spacing w:before="120" w:after="120"/>
      <w:ind w:left="220"/>
    </w:pPr>
    <w:rPr>
      <w:rFonts w:ascii="Times New Roman" w:hAnsi="Times New Roman" w:cstheme="minorHAnsi"/>
      <w:b/>
      <w:smallCaps/>
      <w:sz w:val="24"/>
      <w:szCs w:val="20"/>
    </w:rPr>
  </w:style>
  <w:style w:type="paragraph" w:styleId="TOC1">
    <w:name w:val="toc 1"/>
    <w:basedOn w:val="Normal"/>
    <w:next w:val="Normal"/>
    <w:autoRedefine/>
    <w:uiPriority w:val="39"/>
    <w:unhideWhenUsed/>
    <w:rsid w:val="00ED27B2"/>
    <w:pPr>
      <w:spacing w:before="240" w:after="240"/>
    </w:pPr>
    <w:rPr>
      <w:rFonts w:ascii="Times New Roman" w:hAnsi="Times New Roman" w:cstheme="minorHAnsi"/>
      <w:b/>
      <w:bCs/>
      <w:caps/>
      <w:sz w:val="24"/>
      <w:szCs w:val="20"/>
    </w:rPr>
  </w:style>
  <w:style w:type="paragraph" w:styleId="TOC3">
    <w:name w:val="toc 3"/>
    <w:basedOn w:val="Normal"/>
    <w:next w:val="Normal"/>
    <w:autoRedefine/>
    <w:uiPriority w:val="39"/>
    <w:unhideWhenUsed/>
    <w:rsid w:val="00ED27B2"/>
    <w:pPr>
      <w:spacing w:before="120" w:after="120"/>
      <w:ind w:left="440"/>
    </w:pPr>
    <w:rPr>
      <w:rFonts w:ascii="Times New Roman" w:hAnsi="Times New Roman" w:cstheme="minorHAnsi"/>
      <w:b/>
      <w:iCs/>
      <w:sz w:val="24"/>
      <w:szCs w:val="20"/>
    </w:rPr>
  </w:style>
  <w:style w:type="character" w:customStyle="1" w:styleId="Heading4Char">
    <w:name w:val="Heading 4 Char"/>
    <w:basedOn w:val="DefaultParagraphFont"/>
    <w:link w:val="Heading4"/>
    <w:uiPriority w:val="9"/>
    <w:rsid w:val="009463C7"/>
    <w:rPr>
      <w:rFonts w:ascii="Times New Roman" w:eastAsiaTheme="majorEastAsia" w:hAnsi="Times New Roman" w:cstheme="majorBidi"/>
      <w:b/>
      <w:iCs/>
      <w:sz w:val="24"/>
    </w:rPr>
  </w:style>
  <w:style w:type="paragraph" w:styleId="TableofFigures">
    <w:name w:val="table of figures"/>
    <w:basedOn w:val="Normal"/>
    <w:next w:val="Normal"/>
    <w:uiPriority w:val="99"/>
    <w:unhideWhenUsed/>
    <w:rsid w:val="003601CF"/>
    <w:pPr>
      <w:spacing w:after="0"/>
    </w:pPr>
    <w:rPr>
      <w:rFonts w:ascii="Times New Roman" w:hAnsi="Times New Roman"/>
      <w:sz w:val="24"/>
    </w:rPr>
  </w:style>
  <w:style w:type="paragraph" w:styleId="TOC4">
    <w:name w:val="toc 4"/>
    <w:basedOn w:val="Normal"/>
    <w:next w:val="Normal"/>
    <w:autoRedefine/>
    <w:uiPriority w:val="39"/>
    <w:unhideWhenUsed/>
    <w:rsid w:val="00ED27B2"/>
    <w:pPr>
      <w:spacing w:before="120" w:after="120"/>
      <w:ind w:left="660"/>
    </w:pPr>
    <w:rPr>
      <w:rFonts w:ascii="Times New Roman" w:hAnsi="Times New Roman" w:cstheme="minorHAnsi"/>
      <w:b/>
      <w:sz w:val="24"/>
      <w:szCs w:val="18"/>
    </w:rPr>
  </w:style>
  <w:style w:type="paragraph" w:styleId="TOC5">
    <w:name w:val="toc 5"/>
    <w:basedOn w:val="Normal"/>
    <w:next w:val="Normal"/>
    <w:autoRedefine/>
    <w:uiPriority w:val="39"/>
    <w:unhideWhenUsed/>
    <w:rsid w:val="00ED27B2"/>
    <w:pPr>
      <w:spacing w:after="0"/>
      <w:ind w:left="880"/>
    </w:pPr>
    <w:rPr>
      <w:rFonts w:cstheme="minorHAnsi"/>
      <w:sz w:val="18"/>
      <w:szCs w:val="18"/>
    </w:rPr>
  </w:style>
  <w:style w:type="paragraph" w:styleId="TOC6">
    <w:name w:val="toc 6"/>
    <w:basedOn w:val="Normal"/>
    <w:next w:val="Normal"/>
    <w:autoRedefine/>
    <w:uiPriority w:val="39"/>
    <w:unhideWhenUsed/>
    <w:rsid w:val="00ED27B2"/>
    <w:pPr>
      <w:spacing w:after="0"/>
      <w:ind w:left="1100"/>
    </w:pPr>
    <w:rPr>
      <w:rFonts w:cstheme="minorHAnsi"/>
      <w:sz w:val="18"/>
      <w:szCs w:val="18"/>
    </w:rPr>
  </w:style>
  <w:style w:type="paragraph" w:styleId="TOC7">
    <w:name w:val="toc 7"/>
    <w:basedOn w:val="Normal"/>
    <w:next w:val="Normal"/>
    <w:autoRedefine/>
    <w:uiPriority w:val="39"/>
    <w:unhideWhenUsed/>
    <w:rsid w:val="00ED27B2"/>
    <w:pPr>
      <w:spacing w:after="0"/>
      <w:ind w:left="1320"/>
    </w:pPr>
    <w:rPr>
      <w:rFonts w:cstheme="minorHAnsi"/>
      <w:sz w:val="18"/>
      <w:szCs w:val="18"/>
    </w:rPr>
  </w:style>
  <w:style w:type="paragraph" w:styleId="TOC8">
    <w:name w:val="toc 8"/>
    <w:basedOn w:val="Normal"/>
    <w:next w:val="Normal"/>
    <w:autoRedefine/>
    <w:uiPriority w:val="39"/>
    <w:unhideWhenUsed/>
    <w:rsid w:val="00ED27B2"/>
    <w:pPr>
      <w:spacing w:after="0"/>
      <w:ind w:left="1540"/>
    </w:pPr>
    <w:rPr>
      <w:rFonts w:cstheme="minorHAnsi"/>
      <w:sz w:val="18"/>
      <w:szCs w:val="18"/>
    </w:rPr>
  </w:style>
  <w:style w:type="paragraph" w:styleId="TOC9">
    <w:name w:val="toc 9"/>
    <w:basedOn w:val="Normal"/>
    <w:next w:val="Normal"/>
    <w:autoRedefine/>
    <w:uiPriority w:val="39"/>
    <w:unhideWhenUsed/>
    <w:rsid w:val="00ED27B2"/>
    <w:pPr>
      <w:spacing w:after="0"/>
      <w:ind w:left="1760"/>
    </w:pPr>
    <w:rPr>
      <w:rFonts w:cstheme="minorHAnsi"/>
      <w:sz w:val="18"/>
      <w:szCs w:val="18"/>
    </w:rPr>
  </w:style>
  <w:style w:type="character" w:styleId="CommentReference">
    <w:name w:val="annotation reference"/>
    <w:basedOn w:val="DefaultParagraphFont"/>
    <w:uiPriority w:val="99"/>
    <w:semiHidden/>
    <w:unhideWhenUsed/>
    <w:rsid w:val="008C355F"/>
    <w:rPr>
      <w:sz w:val="16"/>
      <w:szCs w:val="16"/>
    </w:rPr>
  </w:style>
  <w:style w:type="paragraph" w:styleId="CommentText">
    <w:name w:val="annotation text"/>
    <w:basedOn w:val="Normal"/>
    <w:link w:val="CommentTextChar"/>
    <w:uiPriority w:val="99"/>
    <w:semiHidden/>
    <w:unhideWhenUsed/>
    <w:rsid w:val="008C355F"/>
    <w:pPr>
      <w:spacing w:line="240" w:lineRule="auto"/>
    </w:pPr>
    <w:rPr>
      <w:sz w:val="20"/>
      <w:szCs w:val="20"/>
    </w:rPr>
  </w:style>
  <w:style w:type="character" w:customStyle="1" w:styleId="CommentTextChar">
    <w:name w:val="Comment Text Char"/>
    <w:basedOn w:val="DefaultParagraphFont"/>
    <w:link w:val="CommentText"/>
    <w:uiPriority w:val="99"/>
    <w:semiHidden/>
    <w:rsid w:val="008C355F"/>
    <w:rPr>
      <w:sz w:val="20"/>
      <w:szCs w:val="20"/>
    </w:rPr>
  </w:style>
  <w:style w:type="paragraph" w:styleId="CommentSubject">
    <w:name w:val="annotation subject"/>
    <w:basedOn w:val="CommentText"/>
    <w:next w:val="CommentText"/>
    <w:link w:val="CommentSubjectChar"/>
    <w:uiPriority w:val="99"/>
    <w:semiHidden/>
    <w:unhideWhenUsed/>
    <w:rsid w:val="008C355F"/>
    <w:rPr>
      <w:b/>
      <w:bCs/>
    </w:rPr>
  </w:style>
  <w:style w:type="character" w:customStyle="1" w:styleId="CommentSubjectChar">
    <w:name w:val="Comment Subject Char"/>
    <w:basedOn w:val="CommentTextChar"/>
    <w:link w:val="CommentSubject"/>
    <w:uiPriority w:val="99"/>
    <w:semiHidden/>
    <w:rsid w:val="008C355F"/>
    <w:rPr>
      <w:b/>
      <w:bCs/>
      <w:sz w:val="20"/>
      <w:szCs w:val="20"/>
    </w:rPr>
  </w:style>
  <w:style w:type="paragraph" w:customStyle="1" w:styleId="msonormal0">
    <w:name w:val="msonormal"/>
    <w:basedOn w:val="Normal"/>
    <w:rsid w:val="002F7C0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odyText">
    <w:name w:val="Body Text"/>
    <w:basedOn w:val="Normal"/>
    <w:link w:val="BodyTextChar"/>
    <w:uiPriority w:val="1"/>
    <w:semiHidden/>
    <w:unhideWhenUsed/>
    <w:qFormat/>
    <w:rsid w:val="002F7C0E"/>
    <w:pPr>
      <w:widowControl w:val="0"/>
      <w:autoSpaceDE w:val="0"/>
      <w:autoSpaceDN w:val="0"/>
      <w:spacing w:after="0" w:line="240" w:lineRule="auto"/>
    </w:pPr>
    <w:rPr>
      <w:rFonts w:ascii="Arial" w:eastAsia="Arial" w:hAnsi="Arial" w:cs="Arial"/>
      <w:b/>
      <w:bCs/>
      <w:sz w:val="28"/>
      <w:szCs w:val="28"/>
      <w:lang w:val="en-US"/>
    </w:rPr>
  </w:style>
  <w:style w:type="character" w:customStyle="1" w:styleId="BodyTextChar">
    <w:name w:val="Body Text Char"/>
    <w:basedOn w:val="DefaultParagraphFont"/>
    <w:link w:val="BodyText"/>
    <w:uiPriority w:val="1"/>
    <w:semiHidden/>
    <w:rsid w:val="002F7C0E"/>
    <w:rPr>
      <w:rFonts w:ascii="Arial" w:eastAsia="Arial" w:hAnsi="Arial" w:cs="Arial"/>
      <w:b/>
      <w:bCs/>
      <w:sz w:val="28"/>
      <w:szCs w:val="28"/>
      <w:lang w:val="en-US"/>
    </w:rPr>
  </w:style>
  <w:style w:type="paragraph" w:customStyle="1" w:styleId="TableParagraph">
    <w:name w:val="Table Paragraph"/>
    <w:basedOn w:val="Normal"/>
    <w:uiPriority w:val="1"/>
    <w:qFormat/>
    <w:rsid w:val="002F7C0E"/>
    <w:pPr>
      <w:widowControl w:val="0"/>
      <w:autoSpaceDE w:val="0"/>
      <w:autoSpaceDN w:val="0"/>
      <w:spacing w:after="0" w:line="240" w:lineRule="auto"/>
    </w:pPr>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411480">
      <w:bodyDiv w:val="1"/>
      <w:marLeft w:val="0"/>
      <w:marRight w:val="0"/>
      <w:marTop w:val="0"/>
      <w:marBottom w:val="0"/>
      <w:divBdr>
        <w:top w:val="none" w:sz="0" w:space="0" w:color="auto"/>
        <w:left w:val="none" w:sz="0" w:space="0" w:color="auto"/>
        <w:bottom w:val="none" w:sz="0" w:space="0" w:color="auto"/>
        <w:right w:val="none" w:sz="0" w:space="0" w:color="auto"/>
      </w:divBdr>
    </w:div>
    <w:div w:id="834763772">
      <w:bodyDiv w:val="1"/>
      <w:marLeft w:val="0"/>
      <w:marRight w:val="0"/>
      <w:marTop w:val="0"/>
      <w:marBottom w:val="0"/>
      <w:divBdr>
        <w:top w:val="none" w:sz="0" w:space="0" w:color="auto"/>
        <w:left w:val="none" w:sz="0" w:space="0" w:color="auto"/>
        <w:bottom w:val="none" w:sz="0" w:space="0" w:color="auto"/>
        <w:right w:val="none" w:sz="0" w:space="0" w:color="auto"/>
      </w:divBdr>
    </w:div>
    <w:div w:id="941687439">
      <w:bodyDiv w:val="1"/>
      <w:marLeft w:val="0"/>
      <w:marRight w:val="0"/>
      <w:marTop w:val="0"/>
      <w:marBottom w:val="0"/>
      <w:divBdr>
        <w:top w:val="none" w:sz="0" w:space="0" w:color="auto"/>
        <w:left w:val="none" w:sz="0" w:space="0" w:color="auto"/>
        <w:bottom w:val="none" w:sz="0" w:space="0" w:color="auto"/>
        <w:right w:val="none" w:sz="0" w:space="0" w:color="auto"/>
      </w:divBdr>
    </w:div>
    <w:div w:id="1180464076">
      <w:bodyDiv w:val="1"/>
      <w:marLeft w:val="0"/>
      <w:marRight w:val="0"/>
      <w:marTop w:val="0"/>
      <w:marBottom w:val="0"/>
      <w:divBdr>
        <w:top w:val="none" w:sz="0" w:space="0" w:color="auto"/>
        <w:left w:val="none" w:sz="0" w:space="0" w:color="auto"/>
        <w:bottom w:val="none" w:sz="0" w:space="0" w:color="auto"/>
        <w:right w:val="none" w:sz="0" w:space="0" w:color="auto"/>
      </w:divBdr>
    </w:div>
    <w:div w:id="1383016898">
      <w:bodyDiv w:val="1"/>
      <w:marLeft w:val="0"/>
      <w:marRight w:val="0"/>
      <w:marTop w:val="0"/>
      <w:marBottom w:val="0"/>
      <w:divBdr>
        <w:top w:val="none" w:sz="0" w:space="0" w:color="auto"/>
        <w:left w:val="none" w:sz="0" w:space="0" w:color="auto"/>
        <w:bottom w:val="none" w:sz="0" w:space="0" w:color="auto"/>
        <w:right w:val="none" w:sz="0" w:space="0" w:color="auto"/>
      </w:divBdr>
    </w:div>
    <w:div w:id="1543131704">
      <w:bodyDiv w:val="1"/>
      <w:marLeft w:val="0"/>
      <w:marRight w:val="0"/>
      <w:marTop w:val="0"/>
      <w:marBottom w:val="0"/>
      <w:divBdr>
        <w:top w:val="none" w:sz="0" w:space="0" w:color="auto"/>
        <w:left w:val="none" w:sz="0" w:space="0" w:color="auto"/>
        <w:bottom w:val="none" w:sz="0" w:space="0" w:color="auto"/>
        <w:right w:val="none" w:sz="0" w:space="0" w:color="auto"/>
      </w:divBdr>
    </w:div>
    <w:div w:id="1692681290">
      <w:bodyDiv w:val="1"/>
      <w:marLeft w:val="0"/>
      <w:marRight w:val="0"/>
      <w:marTop w:val="0"/>
      <w:marBottom w:val="0"/>
      <w:divBdr>
        <w:top w:val="none" w:sz="0" w:space="0" w:color="auto"/>
        <w:left w:val="none" w:sz="0" w:space="0" w:color="auto"/>
        <w:bottom w:val="none" w:sz="0" w:space="0" w:color="auto"/>
        <w:right w:val="none" w:sz="0" w:space="0" w:color="auto"/>
      </w:divBdr>
    </w:div>
    <w:div w:id="2130320189">
      <w:bodyDiv w:val="1"/>
      <w:marLeft w:val="0"/>
      <w:marRight w:val="0"/>
      <w:marTop w:val="0"/>
      <w:marBottom w:val="0"/>
      <w:divBdr>
        <w:top w:val="none" w:sz="0" w:space="0" w:color="auto"/>
        <w:left w:val="none" w:sz="0" w:space="0" w:color="auto"/>
        <w:bottom w:val="none" w:sz="0" w:space="0" w:color="auto"/>
        <w:right w:val="none" w:sz="0" w:space="0" w:color="auto"/>
      </w:divBdr>
    </w:div>
    <w:div w:id="2143958030">
      <w:bodyDiv w:val="1"/>
      <w:marLeft w:val="0"/>
      <w:marRight w:val="0"/>
      <w:marTop w:val="0"/>
      <w:marBottom w:val="0"/>
      <w:divBdr>
        <w:top w:val="none" w:sz="0" w:space="0" w:color="auto"/>
        <w:left w:val="none" w:sz="0" w:space="0" w:color="auto"/>
        <w:bottom w:val="none" w:sz="0" w:space="0" w:color="auto"/>
        <w:right w:val="none" w:sz="0" w:space="0" w:color="auto"/>
      </w:divBdr>
      <w:divsChild>
        <w:div w:id="496270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2.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chart" Target="charts/chart3.xml"/><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British%20Trans%20Atlant\Desktop\grap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ritish%20Trans%20Atlant\Desktop\grap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British%20Trans%20Atlant\Desktop\graph.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Sheet1!$E$5:$E$27</c:f>
              <c:strCache>
                <c:ptCount val="23"/>
                <c:pt idx="22">
                  <c:v>% Parasitaemia</c:v>
                </c:pt>
              </c:strCache>
            </c:strRef>
          </c:tx>
          <c:spPr>
            <a:solidFill>
              <a:schemeClr val="accent1"/>
            </a:solidFill>
            <a:ln>
              <a:noFill/>
            </a:ln>
            <a:effectLst/>
            <a:sp3d/>
          </c:spPr>
          <c:invertIfNegative val="0"/>
          <c:cat>
            <c:strRef>
              <c:f>Sheet1!$D$28:$D$32</c:f>
              <c:strCache>
                <c:ptCount val="5"/>
                <c:pt idx="0">
                  <c:v>NC</c:v>
                </c:pt>
                <c:pt idx="1">
                  <c:v>QC</c:v>
                </c:pt>
                <c:pt idx="2">
                  <c:v>5 mg/kg</c:v>
                </c:pt>
                <c:pt idx="3">
                  <c:v>10 mg/kg</c:v>
                </c:pt>
                <c:pt idx="4">
                  <c:v>25 mg/kg</c:v>
                </c:pt>
              </c:strCache>
            </c:strRef>
          </c:cat>
          <c:val>
            <c:numRef>
              <c:f>Sheet1!$E$28:$E$32</c:f>
              <c:numCache>
                <c:formatCode>General</c:formatCode>
                <c:ptCount val="5"/>
                <c:pt idx="0">
                  <c:v>1.7</c:v>
                </c:pt>
                <c:pt idx="1">
                  <c:v>1.4</c:v>
                </c:pt>
                <c:pt idx="2">
                  <c:v>0.7</c:v>
                </c:pt>
                <c:pt idx="3">
                  <c:v>0.74</c:v>
                </c:pt>
                <c:pt idx="4">
                  <c:v>0.28999999999999998</c:v>
                </c:pt>
              </c:numCache>
            </c:numRef>
          </c:val>
          <c:extLst>
            <c:ext xmlns:c16="http://schemas.microsoft.com/office/drawing/2014/chart" uri="{C3380CC4-5D6E-409C-BE32-E72D297353CC}">
              <c16:uniqueId val="{00000000-1B41-458E-A910-8F587BFD7BE5}"/>
            </c:ext>
          </c:extLst>
        </c:ser>
        <c:dLbls>
          <c:showLegendKey val="0"/>
          <c:showVal val="0"/>
          <c:showCatName val="0"/>
          <c:showSerName val="0"/>
          <c:showPercent val="0"/>
          <c:showBubbleSize val="0"/>
        </c:dLbls>
        <c:gapWidth val="150"/>
        <c:shape val="box"/>
        <c:axId val="98871704"/>
        <c:axId val="98869544"/>
        <c:axId val="0"/>
      </c:bar3DChart>
      <c:catAx>
        <c:axId val="988717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869544"/>
        <c:crosses val="autoZero"/>
        <c:auto val="1"/>
        <c:lblAlgn val="ctr"/>
        <c:lblOffset val="100"/>
        <c:noMultiLvlLbl val="0"/>
      </c:catAx>
      <c:valAx>
        <c:axId val="98869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87170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Sheet1!$F$5:$F$27</c:f>
              <c:strCache>
                <c:ptCount val="23"/>
                <c:pt idx="22">
                  <c:v>Chemo-suppression (%) </c:v>
                </c:pt>
              </c:strCache>
            </c:strRef>
          </c:tx>
          <c:spPr>
            <a:solidFill>
              <a:schemeClr val="accent2"/>
            </a:solidFill>
            <a:ln>
              <a:noFill/>
            </a:ln>
            <a:effectLst/>
            <a:sp3d/>
          </c:spPr>
          <c:invertIfNegative val="0"/>
          <c:cat>
            <c:strRef>
              <c:f>Sheet1!$D$28:$D$32</c:f>
              <c:strCache>
                <c:ptCount val="5"/>
                <c:pt idx="0">
                  <c:v>NC</c:v>
                </c:pt>
                <c:pt idx="1">
                  <c:v>QC</c:v>
                </c:pt>
                <c:pt idx="2">
                  <c:v>5 mg/kg</c:v>
                </c:pt>
                <c:pt idx="3">
                  <c:v>10 mg/kg</c:v>
                </c:pt>
                <c:pt idx="4">
                  <c:v>25 mg/kg</c:v>
                </c:pt>
              </c:strCache>
            </c:strRef>
          </c:cat>
          <c:val>
            <c:numRef>
              <c:f>Sheet1!$F$28:$F$32</c:f>
              <c:numCache>
                <c:formatCode>General</c:formatCode>
                <c:ptCount val="5"/>
                <c:pt idx="0">
                  <c:v>0</c:v>
                </c:pt>
                <c:pt idx="1">
                  <c:v>19.3</c:v>
                </c:pt>
                <c:pt idx="2">
                  <c:v>59.02</c:v>
                </c:pt>
                <c:pt idx="3">
                  <c:v>56.27</c:v>
                </c:pt>
                <c:pt idx="4">
                  <c:v>82.35</c:v>
                </c:pt>
              </c:numCache>
            </c:numRef>
          </c:val>
          <c:extLst>
            <c:ext xmlns:c16="http://schemas.microsoft.com/office/drawing/2014/chart" uri="{C3380CC4-5D6E-409C-BE32-E72D297353CC}">
              <c16:uniqueId val="{00000000-791E-413A-83BF-73B30871E64C}"/>
            </c:ext>
          </c:extLst>
        </c:ser>
        <c:dLbls>
          <c:showLegendKey val="0"/>
          <c:showVal val="0"/>
          <c:showCatName val="0"/>
          <c:showSerName val="0"/>
          <c:showPercent val="0"/>
          <c:showBubbleSize val="0"/>
        </c:dLbls>
        <c:gapWidth val="150"/>
        <c:shape val="box"/>
        <c:axId val="483774328"/>
        <c:axId val="483773968"/>
        <c:axId val="0"/>
      </c:bar3DChart>
      <c:catAx>
        <c:axId val="4837743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3773968"/>
        <c:crosses val="autoZero"/>
        <c:auto val="1"/>
        <c:lblAlgn val="ctr"/>
        <c:lblOffset val="100"/>
        <c:noMultiLvlLbl val="0"/>
      </c:catAx>
      <c:valAx>
        <c:axId val="4837739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377432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Sheet1!$E$5:$E$27</c:f>
              <c:strCache>
                <c:ptCount val="23"/>
                <c:pt idx="22">
                  <c:v>% Parasitaemia</c:v>
                </c:pt>
              </c:strCache>
            </c:strRef>
          </c:tx>
          <c:spPr>
            <a:solidFill>
              <a:schemeClr val="accent1"/>
            </a:solidFill>
            <a:ln>
              <a:noFill/>
            </a:ln>
            <a:effectLst/>
            <a:sp3d/>
          </c:spPr>
          <c:invertIfNegative val="0"/>
          <c:cat>
            <c:strRef>
              <c:f>Sheet1!$D$28:$D$32</c:f>
              <c:strCache>
                <c:ptCount val="5"/>
                <c:pt idx="0">
                  <c:v>NC</c:v>
                </c:pt>
                <c:pt idx="1">
                  <c:v>QC</c:v>
                </c:pt>
                <c:pt idx="2">
                  <c:v>5 mg/kg</c:v>
                </c:pt>
                <c:pt idx="3">
                  <c:v>10 mg/kg</c:v>
                </c:pt>
                <c:pt idx="4">
                  <c:v>25 mg/kg</c:v>
                </c:pt>
              </c:strCache>
            </c:strRef>
          </c:cat>
          <c:val>
            <c:numRef>
              <c:f>Sheet1!$E$28:$E$32</c:f>
              <c:numCache>
                <c:formatCode>General</c:formatCode>
                <c:ptCount val="5"/>
                <c:pt idx="0">
                  <c:v>17</c:v>
                </c:pt>
                <c:pt idx="1">
                  <c:v>14</c:v>
                </c:pt>
                <c:pt idx="2">
                  <c:v>7</c:v>
                </c:pt>
                <c:pt idx="3">
                  <c:v>7.4</c:v>
                </c:pt>
                <c:pt idx="4">
                  <c:v>2.9</c:v>
                </c:pt>
              </c:numCache>
            </c:numRef>
          </c:val>
          <c:extLst>
            <c:ext xmlns:c16="http://schemas.microsoft.com/office/drawing/2014/chart" uri="{C3380CC4-5D6E-409C-BE32-E72D297353CC}">
              <c16:uniqueId val="{00000000-9FF9-4191-810F-EC5F0BAB6302}"/>
            </c:ext>
          </c:extLst>
        </c:ser>
        <c:ser>
          <c:idx val="1"/>
          <c:order val="1"/>
          <c:tx>
            <c:strRef>
              <c:f>Sheet1!$F$5:$F$27</c:f>
              <c:strCache>
                <c:ptCount val="23"/>
                <c:pt idx="22">
                  <c:v>Chemo-suppression (%) </c:v>
                </c:pt>
              </c:strCache>
            </c:strRef>
          </c:tx>
          <c:spPr>
            <a:solidFill>
              <a:schemeClr val="accent2"/>
            </a:solidFill>
            <a:ln>
              <a:noFill/>
            </a:ln>
            <a:effectLst/>
            <a:sp3d/>
          </c:spPr>
          <c:invertIfNegative val="0"/>
          <c:cat>
            <c:strRef>
              <c:f>Sheet1!$D$28:$D$32</c:f>
              <c:strCache>
                <c:ptCount val="5"/>
                <c:pt idx="0">
                  <c:v>NC</c:v>
                </c:pt>
                <c:pt idx="1">
                  <c:v>QC</c:v>
                </c:pt>
                <c:pt idx="2">
                  <c:v>5 mg/kg</c:v>
                </c:pt>
                <c:pt idx="3">
                  <c:v>10 mg/kg</c:v>
                </c:pt>
                <c:pt idx="4">
                  <c:v>25 mg/kg</c:v>
                </c:pt>
              </c:strCache>
            </c:strRef>
          </c:cat>
          <c:val>
            <c:numRef>
              <c:f>Sheet1!$F$28:$F$32</c:f>
              <c:numCache>
                <c:formatCode>General</c:formatCode>
                <c:ptCount val="5"/>
                <c:pt idx="0">
                  <c:v>0</c:v>
                </c:pt>
                <c:pt idx="1">
                  <c:v>19.3</c:v>
                </c:pt>
                <c:pt idx="2">
                  <c:v>59.02</c:v>
                </c:pt>
                <c:pt idx="3">
                  <c:v>56.27</c:v>
                </c:pt>
                <c:pt idx="4">
                  <c:v>82.35</c:v>
                </c:pt>
              </c:numCache>
            </c:numRef>
          </c:val>
          <c:extLst>
            <c:ext xmlns:c16="http://schemas.microsoft.com/office/drawing/2014/chart" uri="{C3380CC4-5D6E-409C-BE32-E72D297353CC}">
              <c16:uniqueId val="{00000001-9FF9-4191-810F-EC5F0BAB6302}"/>
            </c:ext>
          </c:extLst>
        </c:ser>
        <c:dLbls>
          <c:showLegendKey val="0"/>
          <c:showVal val="0"/>
          <c:showCatName val="0"/>
          <c:showSerName val="0"/>
          <c:showPercent val="0"/>
          <c:showBubbleSize val="0"/>
        </c:dLbls>
        <c:gapWidth val="150"/>
        <c:shape val="box"/>
        <c:axId val="447902912"/>
        <c:axId val="476766424"/>
        <c:axId val="0"/>
      </c:bar3DChart>
      <c:catAx>
        <c:axId val="4479029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6766424"/>
        <c:crosses val="autoZero"/>
        <c:auto val="1"/>
        <c:lblAlgn val="ctr"/>
        <c:lblOffset val="100"/>
        <c:noMultiLvlLbl val="0"/>
      </c:catAx>
      <c:valAx>
        <c:axId val="476766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79029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292F2-38BB-416E-A7ED-0F74F51CB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2926</TotalTime>
  <Pages>1</Pages>
  <Words>40606</Words>
  <Characters>231457</Characters>
  <Application>Microsoft Office Word</Application>
  <DocSecurity>0</DocSecurity>
  <Lines>1928</Lines>
  <Paragraphs>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Bukolami</dc:creator>
  <cp:keywords/>
  <dc:description/>
  <cp:lastModifiedBy>Bukolami</cp:lastModifiedBy>
  <cp:revision>485</cp:revision>
  <cp:lastPrinted>2023-09-24T20:51:00Z</cp:lastPrinted>
  <dcterms:created xsi:type="dcterms:W3CDTF">2023-02-02T00:59:00Z</dcterms:created>
  <dcterms:modified xsi:type="dcterms:W3CDTF">2023-09-24T21:04:00Z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id="jJfNf60z"/&gt;&lt;style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