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0"/>
        </w:rPr>
      </w:pPr>
      <w:r>
        <w:rPr/>
        <w:pict>
          <v:shape style="position:absolute;margin-left:45.528111pt;margin-top:467.114807pt;width:502.15pt;height:80pt;mso-position-horizontal-relative:page;mso-position-vertical-relative:page;z-index:-16491520;rotation:315" type="#_x0000_t136" fillcolor="#000000" stroked="f">
            <o:extrusion v:ext="view" autorotationcenter="t"/>
            <v:textpath style="font-family:&quot;Times New Roman&quot;;font-size:80pt;v-text-kern:t;mso-text-shadow:auto" string="ADMETlab 2.0"/>
            <v:fill opacity="32639f"/>
            <w10:wrap type="none"/>
          </v:shape>
        </w:pict>
      </w:r>
    </w:p>
    <w:p>
      <w:pPr>
        <w:pStyle w:val="BodyText"/>
        <w:spacing w:before="4"/>
        <w:rPr>
          <w:rFonts w:ascii="Times New Roman"/>
          <w:b w:val="0"/>
          <w:sz w:val="29"/>
        </w:rPr>
      </w:pPr>
    </w:p>
    <w:p>
      <w:pPr>
        <w:spacing w:before="90"/>
        <w:ind w:left="2779" w:right="0" w:firstLine="0"/>
        <w:jc w:val="left"/>
        <w:rPr>
          <w:rFonts w:ascii="Times New Roman"/>
          <w:sz w:val="24"/>
        </w:rPr>
      </w:pPr>
      <w:r>
        <w:rPr/>
        <w:pict>
          <v:shape style="position:absolute;margin-left:72pt;margin-top:25.70314pt;width:451.3pt;height:.1pt;mso-position-horizontal-relative:page;mso-position-vertical-relative:paragraph;z-index:-15728640;mso-wrap-distance-left:0;mso-wrap-distance-right:0" coordorigin="1440,514" coordsize="9026,0" path="m1440,514l10466,514e" filled="false" stroked="true" strokeweight="1pt" strokecolor="#000000">
            <v:path arrowok="t"/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1" simplePos="0" relativeHeight="486824448">
            <wp:simplePos x="0" y="0"/>
            <wp:positionH relativeFrom="page">
              <wp:posOffset>914400</wp:posOffset>
            </wp:positionH>
            <wp:positionV relativeFrom="paragraph">
              <wp:posOffset>-359370</wp:posOffset>
            </wp:positionV>
            <wp:extent cx="2032000" cy="53340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4"/>
        </w:rPr>
        <w:t>O=C1c2ccccc2[C@]2(O)N(N=Cc3ccc(O)cc3O)C(=S)N[C@]12O</w:t>
      </w:r>
    </w:p>
    <w:p>
      <w:pPr>
        <w:pStyle w:val="BodyText"/>
        <w:spacing w:before="7"/>
        <w:rPr>
          <w:rFonts w:ascii="Times New Roman"/>
          <w:b w:val="0"/>
          <w:sz w:val="7"/>
        </w:rPr>
      </w:pP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91" w:after="0"/>
        <w:ind w:left="551" w:right="0" w:hanging="312"/>
        <w:jc w:val="left"/>
        <w:rPr>
          <w:b/>
          <w:sz w:val="28"/>
        </w:rPr>
      </w:pPr>
      <w:r>
        <w:rPr>
          <w:b/>
          <w:sz w:val="28"/>
        </w:rPr>
        <w:t>Physicochemical Property</w:t>
      </w: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5"/>
        <w:gridCol w:w="1805"/>
        <w:gridCol w:w="5415"/>
      </w:tblGrid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Property</w:t>
            </w:r>
          </w:p>
        </w:tc>
        <w:tc>
          <w:tcPr>
            <w:tcW w:w="1805" w:type="dxa"/>
          </w:tcPr>
          <w:p>
            <w:pPr>
              <w:pStyle w:val="TableParagraph"/>
              <w:spacing w:before="71"/>
              <w:ind w:right="601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Value</w:t>
            </w:r>
          </w:p>
        </w:tc>
        <w:tc>
          <w:tcPr>
            <w:tcW w:w="5415" w:type="dxa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Molecular Weight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right="589"/>
              <w:jc w:val="right"/>
              <w:rPr>
                <w:sz w:val="20"/>
              </w:rPr>
            </w:pPr>
            <w:r>
              <w:rPr>
                <w:sz w:val="20"/>
              </w:rPr>
              <w:t>371.06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Contain hydrogen atoms. Optimal:100~600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Volume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right="533"/>
              <w:jc w:val="right"/>
              <w:rPr>
                <w:sz w:val="20"/>
              </w:rPr>
            </w:pPr>
            <w:r>
              <w:rPr>
                <w:sz w:val="20"/>
              </w:rPr>
              <w:t>340.085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Van der Waals volume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Density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1.091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Density = MW / Volume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nHA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Number of hydrogen bond acceptors. Optimal:0~12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nHD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Number of hydrogen bond donors. Optimal:0~7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nRot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Number of rotatable bonds. Optimal:0~11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nRing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Number of rings. Optimal:0~6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MaxRing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Number of atoms in the biggest ring. Optimal:0~18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nHet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Number of heteroatoms. Optimal:1~15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fChar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Formal charge. Optimal:-4 ~4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nRig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Number of rigid bonds. Optimal:0~30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Flexibility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0.087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Flexibility = nRot /nRig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Stereo Centers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415" w:type="dxa"/>
          </w:tcPr>
          <w:p>
            <w:pPr>
              <w:pStyle w:val="TableParagraph"/>
              <w:spacing w:before="56"/>
              <w:ind w:left="120"/>
              <w:rPr>
                <w:sz w:val="20"/>
              </w:rPr>
            </w:pPr>
            <w:r>
              <w:rPr>
                <w:sz w:val="20"/>
              </w:rPr>
              <w:t>Optimal: </w:t>
            </w:r>
            <w:r>
              <w:rPr>
                <w:rFonts w:ascii="Symbol" w:hAnsi="Symbol"/>
                <w:sz w:val="20"/>
              </w:rPr>
              <w:t>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2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TPSA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right="589"/>
              <w:jc w:val="right"/>
              <w:rPr>
                <w:sz w:val="20"/>
              </w:rPr>
            </w:pPr>
            <w:r>
              <w:rPr>
                <w:sz w:val="20"/>
              </w:rPr>
              <w:t>125.62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Topological Polar Surface Area. Optimal:0~140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logS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-2.921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Log of the aqueous solubility. Optimal: -4~0.5 log mol/L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logP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1.658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Log of the octanol/water partition coefficient. Optimal: 0~3</w:t>
            </w:r>
          </w:p>
        </w:tc>
      </w:tr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logD</w:t>
            </w:r>
          </w:p>
        </w:tc>
        <w:tc>
          <w:tcPr>
            <w:tcW w:w="1805" w:type="dxa"/>
          </w:tcPr>
          <w:p>
            <w:pPr>
              <w:pStyle w:val="TableParagraph"/>
              <w:spacing w:before="7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1.298</w:t>
            </w:r>
          </w:p>
        </w:tc>
        <w:tc>
          <w:tcPr>
            <w:tcW w:w="541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logP at physiological pH 7.4. Optimal: 1~3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255" w:after="0"/>
        <w:ind w:left="551" w:right="0" w:hanging="312"/>
        <w:jc w:val="left"/>
        <w:rPr>
          <w:b/>
          <w:sz w:val="28"/>
        </w:rPr>
      </w:pPr>
      <w:r>
        <w:rPr>
          <w:b/>
          <w:sz w:val="28"/>
        </w:rPr>
        <w:t>Medicinal Chemistry</w:t>
      </w: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1354"/>
        <w:gridCol w:w="1354"/>
        <w:gridCol w:w="4964"/>
      </w:tblGrid>
      <w:tr>
        <w:trPr>
          <w:trHeight w:val="355" w:hRule="atLeast"/>
        </w:trPr>
        <w:tc>
          <w:tcPr>
            <w:tcW w:w="1354" w:type="dxa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Property</w:t>
            </w:r>
          </w:p>
        </w:tc>
        <w:tc>
          <w:tcPr>
            <w:tcW w:w="1354" w:type="dxa"/>
          </w:tcPr>
          <w:p>
            <w:pPr>
              <w:pStyle w:val="TableParagraph"/>
              <w:spacing w:before="71"/>
              <w:ind w:left="198" w:right="19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Value</w:t>
            </w:r>
          </w:p>
        </w:tc>
        <w:tc>
          <w:tcPr>
            <w:tcW w:w="1354" w:type="dxa"/>
          </w:tcPr>
          <w:p>
            <w:pPr>
              <w:pStyle w:val="TableParagraph"/>
              <w:spacing w:before="71"/>
              <w:ind w:left="198" w:right="19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Decision</w:t>
            </w:r>
          </w:p>
        </w:tc>
        <w:tc>
          <w:tcPr>
            <w:tcW w:w="4964" w:type="dxa"/>
          </w:tcPr>
          <w:p>
            <w:pPr>
              <w:pStyle w:val="TableParagraph"/>
              <w:spacing w:before="71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</w:t>
            </w:r>
          </w:p>
        </w:tc>
      </w:tr>
      <w:tr>
        <w:trPr>
          <w:trHeight w:val="1075" w:hRule="atLeast"/>
        </w:trPr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120"/>
              <w:rPr>
                <w:sz w:val="20"/>
              </w:rPr>
            </w:pPr>
            <w:r>
              <w:rPr>
                <w:sz w:val="20"/>
              </w:rPr>
              <w:t>QED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0.378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0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76" w:val="left" w:leader="none"/>
              </w:tabs>
              <w:spacing w:line="235" w:lineRule="auto" w:before="61" w:after="0"/>
              <w:ind w:left="119" w:right="179" w:firstLine="0"/>
              <w:jc w:val="left"/>
              <w:rPr>
                <w:sz w:val="20"/>
              </w:rPr>
            </w:pPr>
            <w:r>
              <w:rPr>
                <w:sz w:val="20"/>
              </w:rPr>
              <w:t>A measure of drug-likeness based on the concept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of desirability;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6" w:val="left" w:leader="none"/>
              </w:tabs>
              <w:spacing w:line="235" w:lineRule="auto" w:before="4" w:after="0"/>
              <w:ind w:left="119" w:right="534" w:firstLine="0"/>
              <w:jc w:val="left"/>
              <w:rPr>
                <w:sz w:val="20"/>
              </w:rPr>
            </w:pPr>
            <w:r>
              <w:rPr>
                <w:sz w:val="20"/>
              </w:rPr>
              <w:t>Attractive: &gt; 0.67; unattractive: 0.49~0.67; too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complex: &lt; 0.34</w:t>
            </w:r>
          </w:p>
        </w:tc>
      </w:tr>
      <w:tr>
        <w:trPr>
          <w:trHeight w:val="1075" w:hRule="atLeast"/>
        </w:trPr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120"/>
              <w:rPr>
                <w:sz w:val="20"/>
              </w:rPr>
            </w:pPr>
            <w:r>
              <w:rPr>
                <w:sz w:val="20"/>
              </w:rPr>
              <w:t>SAscore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4.045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76" w:val="left" w:leader="none"/>
              </w:tabs>
              <w:spacing w:line="235" w:lineRule="auto" w:before="61" w:after="0"/>
              <w:ind w:left="119" w:right="424" w:firstLine="0"/>
              <w:jc w:val="left"/>
              <w:rPr>
                <w:sz w:val="20"/>
              </w:rPr>
            </w:pPr>
            <w:r>
              <w:rPr>
                <w:sz w:val="20"/>
              </w:rPr>
              <w:t>Synthetic accessibility score is designed 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estimate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synthesis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drug-like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molecules.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6" w:val="left" w:leader="none"/>
              </w:tabs>
              <w:spacing w:line="235" w:lineRule="auto" w:before="3" w:after="0"/>
              <w:ind w:left="119" w:right="331" w:firstLine="0"/>
              <w:jc w:val="left"/>
              <w:rPr>
                <w:sz w:val="20"/>
              </w:rPr>
            </w:pPr>
            <w:r>
              <w:rPr>
                <w:sz w:val="20"/>
              </w:rPr>
              <w:t>SAscore </w:t>
            </w:r>
            <w:r>
              <w:rPr>
                <w:rFonts w:ascii="Symbol" w:hAnsi="Symbol"/>
                <w:sz w:val="20"/>
              </w:rPr>
              <w:t>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6, difficult to synthesize; SAscore &lt;6,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easy to synthesize</w:t>
            </w:r>
          </w:p>
        </w:tc>
      </w:tr>
      <w:tr>
        <w:trPr>
          <w:trHeight w:val="1075" w:hRule="atLeast"/>
        </w:trPr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120"/>
              <w:rPr>
                <w:sz w:val="20"/>
              </w:rPr>
            </w:pPr>
            <w:r>
              <w:rPr>
                <w:sz w:val="20"/>
              </w:rPr>
              <w:t>Fsp3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0.118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0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42" w:lineRule="auto" w:before="57" w:after="0"/>
              <w:ind w:left="119" w:right="624" w:firstLine="0"/>
              <w:jc w:val="both"/>
              <w:rPr>
                <w:sz w:val="20"/>
              </w:rPr>
            </w:pPr>
            <w:r>
              <w:rPr>
                <w:sz w:val="20"/>
              </w:rPr>
              <w:t>The number of sp3 hybridized carbons / total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carbon count, correlating with melting point and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solubility.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6" w:val="left" w:leader="none"/>
              </w:tabs>
              <w:spacing w:line="253" w:lineRule="exact" w:before="0" w:after="0"/>
              <w:ind w:left="375" w:right="0" w:hanging="257"/>
              <w:jc w:val="both"/>
              <w:rPr>
                <w:sz w:val="20"/>
              </w:rPr>
            </w:pPr>
            <w:r>
              <w:rPr>
                <w:sz w:val="20"/>
              </w:rPr>
              <w:t>Fsp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pacing w:val="2"/>
                <w:sz w:val="20"/>
                <w:vertAlign w:val="baseline"/>
              </w:rPr>
              <w:t> </w:t>
            </w:r>
            <w:r>
              <w:rPr>
                <w:rFonts w:ascii="Symbol" w:hAnsi="Symbol"/>
                <w:sz w:val="20"/>
                <w:vertAlign w:val="baseline"/>
              </w:rPr>
              <w:t></w:t>
            </w:r>
            <w:r>
              <w:rPr>
                <w:sz w:val="20"/>
                <w:vertAlign w:val="baseline"/>
              </w:rPr>
              <w:t>0.42</w:t>
            </w:r>
            <w:r>
              <w:rPr>
                <w:spacing w:val="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is</w:t>
            </w:r>
            <w:r>
              <w:rPr>
                <w:spacing w:val="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considered</w:t>
            </w:r>
            <w:r>
              <w:rPr>
                <w:spacing w:val="3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a</w:t>
            </w:r>
            <w:r>
              <w:rPr>
                <w:spacing w:val="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suitable</w:t>
            </w:r>
            <w:r>
              <w:rPr>
                <w:spacing w:val="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value.</w:t>
            </w:r>
          </w:p>
        </w:tc>
      </w:tr>
      <w:tr>
        <w:trPr>
          <w:trHeight w:val="595" w:hRule="atLeast"/>
        </w:trPr>
        <w:tc>
          <w:tcPr>
            <w:tcW w:w="1354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MCE-18</w:t>
            </w:r>
          </w:p>
        </w:tc>
        <w:tc>
          <w:tcPr>
            <w:tcW w:w="1354" w:type="dxa"/>
          </w:tcPr>
          <w:p>
            <w:pPr>
              <w:pStyle w:val="TableParagraph"/>
              <w:spacing w:before="190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83.474</w:t>
            </w:r>
          </w:p>
        </w:tc>
        <w:tc>
          <w:tcPr>
            <w:tcW w:w="1354" w:type="dxa"/>
          </w:tcPr>
          <w:p>
            <w:pPr>
              <w:pStyle w:val="TableParagraph"/>
              <w:spacing w:before="177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MCE-18 stands for medicinal chemistry evolution.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6" w:val="left" w:leader="none"/>
              </w:tabs>
              <w:spacing w:line="249" w:lineRule="exact" w:before="0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MCE-18</w:t>
            </w:r>
            <w:r>
              <w:rPr>
                <w:rFonts w:ascii="Symbol" w:hAnsi="Symbol"/>
                <w:sz w:val="20"/>
              </w:rPr>
              <w:t></w:t>
            </w:r>
            <w:r>
              <w:rPr>
                <w:sz w:val="20"/>
              </w:rPr>
              <w:t>45 is considered a suitable value.</w:t>
            </w:r>
          </w:p>
        </w:tc>
      </w:tr>
    </w:tbl>
    <w:p>
      <w:pPr>
        <w:spacing w:after="0" w:line="249" w:lineRule="exact"/>
        <w:jc w:val="left"/>
        <w:rPr>
          <w:sz w:val="20"/>
        </w:rPr>
        <w:sectPr>
          <w:footerReference w:type="default" r:id="rId5"/>
          <w:type w:val="continuous"/>
          <w:pgSz w:w="11910" w:h="16840"/>
          <w:pgMar w:footer="1040" w:top="1100" w:bottom="1240" w:left="1320" w:right="1320"/>
          <w:pgNumType w:start="1"/>
        </w:sect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1354"/>
        <w:gridCol w:w="1354"/>
        <w:gridCol w:w="4964"/>
      </w:tblGrid>
      <w:tr>
        <w:trPr>
          <w:trHeight w:val="1075" w:hRule="atLeast"/>
        </w:trPr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120"/>
              <w:rPr>
                <w:sz w:val="20"/>
              </w:rPr>
            </w:pPr>
            <w:r>
              <w:rPr>
                <w:sz w:val="20"/>
              </w:rPr>
              <w:t>NPscore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0.192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Natural product-likeness score.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76" w:val="left" w:leader="none"/>
              </w:tabs>
              <w:spacing w:line="242" w:lineRule="auto" w:before="0" w:after="0"/>
              <w:ind w:left="119" w:right="301" w:firstLine="0"/>
              <w:jc w:val="left"/>
              <w:rPr>
                <w:sz w:val="20"/>
              </w:rPr>
            </w:pPr>
            <w:r>
              <w:rPr>
                <w:sz w:val="20"/>
              </w:rPr>
              <w:t>This score is typically in the range from </w:t>
            </w:r>
            <w:r>
              <w:rPr>
                <w:rFonts w:ascii="Symbol" w:hAnsi="Symbol"/>
                <w:sz w:val="20"/>
              </w:rPr>
              <w:t></w:t>
            </w:r>
            <w:r>
              <w:rPr>
                <w:sz w:val="20"/>
              </w:rPr>
              <w:t>5 to 5.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 higher the score is, the higher the probability is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that the molecule is a NP.</w:t>
            </w:r>
          </w:p>
        </w:tc>
      </w:tr>
      <w:tr>
        <w:trPr>
          <w:trHeight w:val="1075" w:hRule="atLeast"/>
        </w:trPr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line="249" w:lineRule="auto" w:before="1"/>
              <w:ind w:left="120" w:right="542"/>
              <w:rPr>
                <w:sz w:val="20"/>
              </w:rPr>
            </w:pPr>
            <w:r>
              <w:rPr>
                <w:sz w:val="20"/>
              </w:rPr>
              <w:t>Lipinski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Rule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Accepted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76" w:val="left" w:leader="none"/>
              </w:tabs>
              <w:spacing w:line="249" w:lineRule="exact" w:before="56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MW </w:t>
            </w:r>
            <w:r>
              <w:rPr>
                <w:rFonts w:ascii="Symbol" w:hAnsi="Symbol"/>
                <w:sz w:val="20"/>
              </w:rPr>
              <w:t>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500; logP </w:t>
            </w:r>
            <w:r>
              <w:rPr>
                <w:rFonts w:ascii="Symbol" w:hAnsi="Symbol"/>
                <w:sz w:val="20"/>
              </w:rPr>
              <w:t>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5; Hacc </w:t>
            </w:r>
            <w:r>
              <w:rPr>
                <w:rFonts w:ascii="Symbol" w:hAnsi="Symbol"/>
                <w:sz w:val="20"/>
              </w:rPr>
              <w:t>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10; Hdon </w:t>
            </w:r>
            <w:r>
              <w:rPr>
                <w:rFonts w:ascii="Symbol" w:hAnsi="Symbol"/>
                <w:sz w:val="20"/>
              </w:rPr>
              <w:t>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5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76" w:val="left" w:leader="none"/>
              </w:tabs>
              <w:spacing w:line="242" w:lineRule="auto" w:before="0" w:after="0"/>
              <w:ind w:left="119" w:right="902" w:firstLine="0"/>
              <w:jc w:val="left"/>
              <w:rPr>
                <w:sz w:val="20"/>
              </w:rPr>
            </w:pPr>
            <w:r>
              <w:rPr>
                <w:sz w:val="20"/>
              </w:rPr>
              <w:t>If two properties are out of range, a poor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absorption or permeability is possible, one is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acceptable.</w:t>
            </w:r>
          </w:p>
        </w:tc>
      </w:tr>
      <w:tr>
        <w:trPr>
          <w:trHeight w:val="835" w:hRule="atLeast"/>
        </w:trPr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Pfizer Rule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Accepted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spacing w:before="70"/>
              <w:ind w:left="119"/>
              <w:rPr>
                <w:sz w:val="20"/>
              </w:rPr>
            </w:pPr>
            <w:r>
              <w:rPr>
                <w:sz w:val="20"/>
              </w:rPr>
              <w:t>logP &gt; 3; TPSA &lt; 75</w:t>
            </w:r>
          </w:p>
          <w:p>
            <w:pPr>
              <w:pStyle w:val="TableParagraph"/>
              <w:spacing w:line="249" w:lineRule="auto" w:before="10"/>
              <w:ind w:left="119" w:right="478"/>
              <w:rPr>
                <w:sz w:val="20"/>
              </w:rPr>
            </w:pPr>
            <w:r>
              <w:rPr>
                <w:sz w:val="20"/>
              </w:rPr>
              <w:t>Compounds with a high log P (&gt;3) and low TPSA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(&lt;75) are likely to be toxic.</w:t>
            </w:r>
          </w:p>
        </w:tc>
      </w:tr>
      <w:tr>
        <w:trPr>
          <w:trHeight w:val="835" w:hRule="atLeast"/>
        </w:trPr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GSK Rule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Accepted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76" w:val="left" w:leader="none"/>
              </w:tabs>
              <w:spacing w:line="249" w:lineRule="exact" w:before="56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MW </w:t>
            </w:r>
            <w:r>
              <w:rPr>
                <w:rFonts w:ascii="Symbol" w:hAnsi="Symbol"/>
                <w:sz w:val="20"/>
              </w:rPr>
              <w:t>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400; logP </w:t>
            </w:r>
            <w:r>
              <w:rPr>
                <w:rFonts w:ascii="Symbol" w:hAnsi="Symbol"/>
                <w:sz w:val="20"/>
              </w:rPr>
              <w:t>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4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6" w:val="left" w:leader="none"/>
              </w:tabs>
              <w:spacing w:line="235" w:lineRule="auto" w:before="0" w:after="0"/>
              <w:ind w:left="119" w:right="324" w:firstLine="0"/>
              <w:jc w:val="left"/>
              <w:rPr>
                <w:sz w:val="20"/>
              </w:rPr>
            </w:pPr>
            <w:r>
              <w:rPr>
                <w:sz w:val="20"/>
              </w:rPr>
              <w:t>Compounds satisfying the GSK rule may have a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more favorable ADMET profile</w:t>
            </w:r>
          </w:p>
        </w:tc>
      </w:tr>
      <w:tr>
        <w:trPr>
          <w:trHeight w:val="835" w:hRule="atLeast"/>
        </w:trPr>
        <w:tc>
          <w:tcPr>
            <w:tcW w:w="1354" w:type="dxa"/>
          </w:tcPr>
          <w:p>
            <w:pPr>
              <w:pStyle w:val="TableParagraph"/>
              <w:spacing w:line="249" w:lineRule="auto" w:before="190"/>
              <w:ind w:left="120" w:right="486"/>
              <w:rPr>
                <w:sz w:val="20"/>
              </w:rPr>
            </w:pPr>
            <w:r>
              <w:rPr>
                <w:sz w:val="20"/>
              </w:rPr>
              <w:t>Golden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Triangle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Accepted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76" w:val="left" w:leader="none"/>
              </w:tabs>
              <w:spacing w:line="249" w:lineRule="exact" w:before="56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200 </w:t>
            </w:r>
            <w:r>
              <w:rPr>
                <w:rFonts w:ascii="Symbol" w:hAnsi="Symbol"/>
                <w:sz w:val="20"/>
              </w:rPr>
              <w:t>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MW </w:t>
            </w:r>
            <w:r>
              <w:rPr>
                <w:rFonts w:ascii="Symbol" w:hAnsi="Symbol"/>
                <w:sz w:val="20"/>
              </w:rPr>
              <w:t>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50; -2 </w:t>
            </w:r>
            <w:r>
              <w:rPr>
                <w:rFonts w:ascii="Symbol" w:hAnsi="Symbol"/>
                <w:sz w:val="20"/>
              </w:rPr>
              <w:t>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logD </w:t>
            </w:r>
            <w:r>
              <w:rPr>
                <w:rFonts w:ascii="Symbol" w:hAnsi="Symbol"/>
                <w:sz w:val="20"/>
              </w:rPr>
              <w:t>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5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76" w:val="left" w:leader="none"/>
              </w:tabs>
              <w:spacing w:line="235" w:lineRule="auto" w:before="0" w:after="0"/>
              <w:ind w:left="119" w:right="413" w:firstLine="0"/>
              <w:jc w:val="left"/>
              <w:rPr>
                <w:sz w:val="20"/>
              </w:rPr>
            </w:pPr>
            <w:r>
              <w:rPr>
                <w:sz w:val="20"/>
              </w:rPr>
              <w:t>Compounds satisfying the Golden Triangle rule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may have a more favorable ADMET profile.</w:t>
            </w:r>
          </w:p>
        </w:tc>
      </w:tr>
      <w:tr>
        <w:trPr>
          <w:trHeight w:val="595" w:hRule="atLeast"/>
        </w:trPr>
        <w:tc>
          <w:tcPr>
            <w:tcW w:w="1354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PAINS</w:t>
            </w:r>
          </w:p>
        </w:tc>
        <w:tc>
          <w:tcPr>
            <w:tcW w:w="1354" w:type="dxa"/>
          </w:tcPr>
          <w:p>
            <w:pPr>
              <w:pStyle w:val="TableParagraph"/>
              <w:spacing w:before="190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2 alerts</w:t>
            </w:r>
          </w:p>
        </w:tc>
        <w:tc>
          <w:tcPr>
            <w:tcW w:w="1354" w:type="dxa"/>
          </w:tcPr>
          <w:p>
            <w:pPr>
              <w:pStyle w:val="TableParagraph"/>
              <w:spacing w:before="190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4964" w:type="dxa"/>
          </w:tcPr>
          <w:p>
            <w:pPr>
              <w:pStyle w:val="TableParagraph"/>
              <w:spacing w:line="249" w:lineRule="auto" w:before="70"/>
              <w:ind w:left="119" w:right="123"/>
              <w:rPr>
                <w:sz w:val="20"/>
              </w:rPr>
            </w:pPr>
            <w:r>
              <w:rPr>
                <w:sz w:val="20"/>
              </w:rPr>
              <w:t>Pan Assay Interference Compounds, frequent hitters,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Alpha-screen artifacts and reactive compound.</w:t>
            </w:r>
          </w:p>
        </w:tc>
      </w:tr>
      <w:tr>
        <w:trPr>
          <w:trHeight w:val="595" w:hRule="atLeast"/>
        </w:trPr>
        <w:tc>
          <w:tcPr>
            <w:tcW w:w="1354" w:type="dxa"/>
          </w:tcPr>
          <w:p>
            <w:pPr>
              <w:pStyle w:val="TableParagraph"/>
              <w:spacing w:line="249" w:lineRule="auto" w:before="70"/>
              <w:ind w:left="120" w:right="519"/>
              <w:rPr>
                <w:sz w:val="20"/>
              </w:rPr>
            </w:pPr>
            <w:r>
              <w:rPr>
                <w:sz w:val="20"/>
              </w:rPr>
              <w:t>ALARM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NMR</w:t>
            </w:r>
          </w:p>
        </w:tc>
        <w:tc>
          <w:tcPr>
            <w:tcW w:w="1354" w:type="dxa"/>
          </w:tcPr>
          <w:p>
            <w:pPr>
              <w:pStyle w:val="TableParagraph"/>
              <w:spacing w:before="190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3 alerts</w:t>
            </w:r>
          </w:p>
        </w:tc>
        <w:tc>
          <w:tcPr>
            <w:tcW w:w="1354" w:type="dxa"/>
          </w:tcPr>
          <w:p>
            <w:pPr>
              <w:pStyle w:val="TableParagraph"/>
              <w:spacing w:before="190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4964" w:type="dxa"/>
          </w:tcPr>
          <w:p>
            <w:pPr>
              <w:pStyle w:val="TableParagraph"/>
              <w:spacing w:before="190"/>
              <w:ind w:left="119"/>
              <w:rPr>
                <w:sz w:val="20"/>
              </w:rPr>
            </w:pPr>
            <w:r>
              <w:rPr>
                <w:sz w:val="20"/>
              </w:rPr>
              <w:t>Thiol reactive compounds.</w:t>
            </w:r>
          </w:p>
        </w:tc>
      </w:tr>
      <w:tr>
        <w:trPr>
          <w:trHeight w:val="355" w:hRule="atLeast"/>
        </w:trPr>
        <w:tc>
          <w:tcPr>
            <w:tcW w:w="1354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BMS</w:t>
            </w:r>
          </w:p>
        </w:tc>
        <w:tc>
          <w:tcPr>
            <w:tcW w:w="1354" w:type="dxa"/>
          </w:tcPr>
          <w:p>
            <w:pPr>
              <w:pStyle w:val="TableParagraph"/>
              <w:spacing w:before="70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 alerts</w:t>
            </w:r>
          </w:p>
        </w:tc>
        <w:tc>
          <w:tcPr>
            <w:tcW w:w="1354" w:type="dxa"/>
          </w:tcPr>
          <w:p>
            <w:pPr>
              <w:pStyle w:val="TableParagraph"/>
              <w:spacing w:before="70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4964" w:type="dxa"/>
          </w:tcPr>
          <w:p>
            <w:pPr>
              <w:pStyle w:val="TableParagraph"/>
              <w:spacing w:before="70"/>
              <w:ind w:left="119"/>
              <w:rPr>
                <w:sz w:val="20"/>
              </w:rPr>
            </w:pPr>
            <w:r>
              <w:rPr>
                <w:sz w:val="20"/>
              </w:rPr>
              <w:t>Undesirable, reactive compounds.</w:t>
            </w:r>
          </w:p>
        </w:tc>
      </w:tr>
      <w:tr>
        <w:trPr>
          <w:trHeight w:val="595" w:hRule="atLeast"/>
        </w:trPr>
        <w:tc>
          <w:tcPr>
            <w:tcW w:w="1354" w:type="dxa"/>
          </w:tcPr>
          <w:p>
            <w:pPr>
              <w:pStyle w:val="TableParagraph"/>
              <w:spacing w:line="249" w:lineRule="auto" w:before="70"/>
              <w:ind w:left="120" w:right="453"/>
              <w:rPr>
                <w:sz w:val="20"/>
              </w:rPr>
            </w:pPr>
            <w:r>
              <w:rPr>
                <w:sz w:val="20"/>
              </w:rPr>
              <w:t>Chelator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Rule</w:t>
            </w:r>
          </w:p>
        </w:tc>
        <w:tc>
          <w:tcPr>
            <w:tcW w:w="1354" w:type="dxa"/>
          </w:tcPr>
          <w:p>
            <w:pPr>
              <w:pStyle w:val="TableParagraph"/>
              <w:spacing w:before="190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 alerts</w:t>
            </w:r>
          </w:p>
        </w:tc>
        <w:tc>
          <w:tcPr>
            <w:tcW w:w="1354" w:type="dxa"/>
          </w:tcPr>
          <w:p>
            <w:pPr>
              <w:pStyle w:val="TableParagraph"/>
              <w:spacing w:before="190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4964" w:type="dxa"/>
          </w:tcPr>
          <w:p>
            <w:pPr>
              <w:pStyle w:val="TableParagraph"/>
              <w:spacing w:before="190"/>
              <w:ind w:left="119"/>
              <w:rPr>
                <w:sz w:val="20"/>
              </w:rPr>
            </w:pPr>
            <w:r>
              <w:rPr>
                <w:sz w:val="20"/>
              </w:rPr>
              <w:t>Chelating compounds.</w:t>
            </w:r>
          </w:p>
        </w:tc>
      </w:tr>
    </w:tbl>
    <w:p>
      <w:pPr>
        <w:pStyle w:val="BodyText"/>
        <w:spacing w:before="2"/>
        <w:rPr>
          <w:sz w:val="14"/>
        </w:rPr>
      </w:pPr>
      <w:r>
        <w:rPr/>
        <w:pict>
          <v:shape style="position:absolute;margin-left:45.528111pt;margin-top:467.114807pt;width:502.15pt;height:80pt;mso-position-horizontal-relative:page;mso-position-vertical-relative:page;z-index:-16491008;rotation:315" type="#_x0000_t136" fillcolor="#000000" stroked="f">
            <o:extrusion v:ext="view" autorotationcenter="t"/>
            <v:textpath style="font-family:&quot;Times New Roman&quot;;font-size:80pt;v-text-kern:t;mso-text-shadow:auto" string="ADMETlab 2.0"/>
            <w10:wrap type="none"/>
          </v:shape>
        </w:pic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91" w:after="0"/>
        <w:ind w:left="551" w:right="0" w:hanging="312"/>
        <w:jc w:val="left"/>
        <w:rPr>
          <w:b/>
          <w:sz w:val="28"/>
        </w:rPr>
      </w:pPr>
      <w:r>
        <w:rPr>
          <w:b/>
          <w:sz w:val="28"/>
        </w:rPr>
        <w:t>Absorption</w:t>
      </w: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5"/>
        <w:gridCol w:w="1174"/>
        <w:gridCol w:w="1264"/>
        <w:gridCol w:w="4964"/>
      </w:tblGrid>
      <w:tr>
        <w:trPr>
          <w:trHeight w:val="355" w:hRule="atLeast"/>
        </w:trPr>
        <w:tc>
          <w:tcPr>
            <w:tcW w:w="1625" w:type="dxa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Property</w:t>
            </w:r>
          </w:p>
        </w:tc>
        <w:tc>
          <w:tcPr>
            <w:tcW w:w="1174" w:type="dxa"/>
          </w:tcPr>
          <w:p>
            <w:pPr>
              <w:pStyle w:val="TableParagraph"/>
              <w:spacing w:before="71"/>
              <w:ind w:left="272" w:right="26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Value</w:t>
            </w:r>
          </w:p>
        </w:tc>
        <w:tc>
          <w:tcPr>
            <w:tcW w:w="1264" w:type="dxa"/>
          </w:tcPr>
          <w:p>
            <w:pPr>
              <w:pStyle w:val="TableParagraph"/>
              <w:spacing w:before="71"/>
              <w:ind w:left="152" w:right="15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Decision</w:t>
            </w:r>
          </w:p>
        </w:tc>
        <w:tc>
          <w:tcPr>
            <w:tcW w:w="4964" w:type="dxa"/>
          </w:tcPr>
          <w:p>
            <w:pPr>
              <w:pStyle w:val="TableParagraph"/>
              <w:spacing w:before="71"/>
              <w:ind w:left="11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</w:t>
            </w:r>
          </w:p>
        </w:tc>
      </w:tr>
      <w:tr>
        <w:trPr>
          <w:trHeight w:val="595" w:hRule="atLeast"/>
        </w:trPr>
        <w:tc>
          <w:tcPr>
            <w:tcW w:w="1625" w:type="dxa"/>
          </w:tcPr>
          <w:p>
            <w:pPr>
              <w:pStyle w:val="TableParagraph"/>
              <w:spacing w:line="249" w:lineRule="auto" w:before="70"/>
              <w:ind w:left="120" w:right="379"/>
              <w:rPr>
                <w:sz w:val="20"/>
              </w:rPr>
            </w:pPr>
            <w:r>
              <w:rPr>
                <w:sz w:val="20"/>
              </w:rPr>
              <w:t>Caco-2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Permeability</w:t>
            </w:r>
          </w:p>
        </w:tc>
        <w:tc>
          <w:tcPr>
            <w:tcW w:w="1174" w:type="dxa"/>
          </w:tcPr>
          <w:p>
            <w:pPr>
              <w:pStyle w:val="TableParagraph"/>
              <w:spacing w:before="190"/>
              <w:ind w:left="272" w:right="269"/>
              <w:jc w:val="center"/>
              <w:rPr>
                <w:sz w:val="20"/>
              </w:rPr>
            </w:pPr>
            <w:r>
              <w:rPr>
                <w:sz w:val="20"/>
              </w:rPr>
              <w:t>-6.038</w:t>
            </w:r>
          </w:p>
        </w:tc>
        <w:tc>
          <w:tcPr>
            <w:tcW w:w="1264" w:type="dxa"/>
          </w:tcPr>
          <w:p>
            <w:pPr>
              <w:pStyle w:val="TableParagraph"/>
              <w:spacing w:before="177"/>
              <w:ind w:left="44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0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spacing w:before="190"/>
              <w:ind w:left="118"/>
              <w:rPr>
                <w:sz w:val="20"/>
              </w:rPr>
            </w:pPr>
            <w:r>
              <w:rPr>
                <w:sz w:val="20"/>
              </w:rPr>
              <w:t>Optimal: higher than -5.15 Log unit</w:t>
            </w:r>
          </w:p>
        </w:tc>
      </w:tr>
      <w:tr>
        <w:trPr>
          <w:trHeight w:val="835" w:hRule="atLeast"/>
        </w:trPr>
        <w:tc>
          <w:tcPr>
            <w:tcW w:w="1625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MDCK</w:t>
            </w:r>
          </w:p>
          <w:p>
            <w:pPr>
              <w:pStyle w:val="TableParagraph"/>
              <w:spacing w:before="10"/>
              <w:ind w:left="120"/>
              <w:rPr>
                <w:sz w:val="20"/>
              </w:rPr>
            </w:pPr>
            <w:r>
              <w:rPr>
                <w:sz w:val="20"/>
              </w:rPr>
              <w:t>Permeability</w:t>
            </w:r>
          </w:p>
        </w:tc>
        <w:tc>
          <w:tcPr>
            <w:tcW w:w="117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272" w:right="269"/>
              <w:jc w:val="center"/>
              <w:rPr>
                <w:sz w:val="20"/>
              </w:rPr>
            </w:pPr>
            <w:r>
              <w:rPr>
                <w:sz w:val="20"/>
              </w:rPr>
              <w:t>1e-05</w:t>
            </w:r>
          </w:p>
        </w:tc>
        <w:tc>
          <w:tcPr>
            <w:tcW w:w="126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4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75" w:val="left" w:leader="none"/>
              </w:tabs>
              <w:spacing w:line="275" w:lineRule="exact" w:before="0" w:after="0"/>
              <w:ind w:left="374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low permeability: &lt; 2 × 10</w:t>
            </w:r>
            <w:r>
              <w:rPr>
                <w:rFonts w:ascii="Symbol" w:hAnsi="Symbol"/>
                <w:position w:val="10"/>
                <w:sz w:val="16"/>
              </w:rPr>
              <w:t></w:t>
            </w:r>
            <w:r>
              <w:rPr>
                <w:position w:val="10"/>
                <w:sz w:val="16"/>
              </w:rPr>
              <w:t>6</w:t>
            </w:r>
            <w:r>
              <w:rPr>
                <w:spacing w:val="11"/>
                <w:position w:val="10"/>
                <w:sz w:val="16"/>
              </w:rPr>
              <w:t> </w:t>
            </w:r>
            <w:r>
              <w:rPr>
                <w:sz w:val="20"/>
              </w:rPr>
              <w:t>cm/s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75" w:val="left" w:leader="none"/>
              </w:tabs>
              <w:spacing w:line="240" w:lineRule="exact" w:before="0" w:after="0"/>
              <w:ind w:left="374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medium permeability: 2–20 × 10</w:t>
            </w:r>
            <w:r>
              <w:rPr>
                <w:rFonts w:ascii="Symbol" w:hAnsi="Symbol"/>
                <w:position w:val="10"/>
                <w:sz w:val="16"/>
              </w:rPr>
              <w:t></w:t>
            </w:r>
            <w:r>
              <w:rPr>
                <w:position w:val="10"/>
                <w:sz w:val="16"/>
              </w:rPr>
              <w:t>6</w:t>
            </w:r>
            <w:r>
              <w:rPr>
                <w:spacing w:val="11"/>
                <w:position w:val="10"/>
                <w:sz w:val="16"/>
              </w:rPr>
              <w:t> </w:t>
            </w:r>
            <w:r>
              <w:rPr>
                <w:sz w:val="20"/>
              </w:rPr>
              <w:t>cm/s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75" w:val="left" w:leader="none"/>
              </w:tabs>
              <w:spacing w:line="279" w:lineRule="exact" w:before="0" w:after="0"/>
              <w:ind w:left="374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high passive permeability: &gt; 20 × 10</w:t>
            </w:r>
            <w:r>
              <w:rPr>
                <w:rFonts w:ascii="Symbol" w:hAnsi="Symbol"/>
                <w:position w:val="10"/>
                <w:sz w:val="16"/>
              </w:rPr>
              <w:t></w:t>
            </w:r>
            <w:r>
              <w:rPr>
                <w:position w:val="10"/>
                <w:sz w:val="16"/>
              </w:rPr>
              <w:t>6</w:t>
            </w:r>
            <w:r>
              <w:rPr>
                <w:spacing w:val="11"/>
                <w:position w:val="10"/>
                <w:sz w:val="16"/>
              </w:rPr>
              <w:t> </w:t>
            </w:r>
            <w:r>
              <w:rPr>
                <w:sz w:val="20"/>
              </w:rPr>
              <w:t>cm/s</w:t>
            </w:r>
          </w:p>
        </w:tc>
      </w:tr>
      <w:tr>
        <w:trPr>
          <w:trHeight w:val="835" w:hRule="atLeast"/>
        </w:trPr>
        <w:tc>
          <w:tcPr>
            <w:tcW w:w="162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Pgp-inhibitor</w:t>
            </w:r>
          </w:p>
        </w:tc>
        <w:tc>
          <w:tcPr>
            <w:tcW w:w="117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272" w:right="269"/>
              <w:jc w:val="center"/>
              <w:rPr>
                <w:sz w:val="20"/>
              </w:rPr>
            </w:pPr>
            <w:r>
              <w:rPr>
                <w:sz w:val="20"/>
              </w:rPr>
              <w:t>0.03</w:t>
            </w:r>
          </w:p>
        </w:tc>
        <w:tc>
          <w:tcPr>
            <w:tcW w:w="126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4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75" w:val="left" w:leader="none"/>
              </w:tabs>
              <w:spacing w:line="248" w:lineRule="exact" w:before="57" w:after="0"/>
              <w:ind w:left="374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Category 1: Inhibitor; Category 0: Non-inhibitor;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75" w:val="left" w:leader="none"/>
              </w:tabs>
              <w:spacing w:line="235" w:lineRule="auto" w:before="0" w:after="0"/>
              <w:ind w:left="118" w:right="824" w:firstLine="0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Pgp-inhibitor</w:t>
            </w:r>
          </w:p>
        </w:tc>
      </w:tr>
      <w:tr>
        <w:trPr>
          <w:trHeight w:val="835" w:hRule="atLeast"/>
        </w:trPr>
        <w:tc>
          <w:tcPr>
            <w:tcW w:w="162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Pgp-substrate</w:t>
            </w:r>
          </w:p>
        </w:tc>
        <w:tc>
          <w:tcPr>
            <w:tcW w:w="117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272" w:right="269"/>
              <w:jc w:val="center"/>
              <w:rPr>
                <w:sz w:val="20"/>
              </w:rPr>
            </w:pPr>
            <w:r>
              <w:rPr>
                <w:sz w:val="20"/>
              </w:rPr>
              <w:t>0.008</w:t>
            </w:r>
          </w:p>
        </w:tc>
        <w:tc>
          <w:tcPr>
            <w:tcW w:w="126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4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75" w:val="left" w:leader="none"/>
              </w:tabs>
              <w:spacing w:line="248" w:lineRule="exact" w:before="57" w:after="0"/>
              <w:ind w:left="374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Category 1: substrate; Category 0: Non-substrate;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75" w:val="left" w:leader="none"/>
              </w:tabs>
              <w:spacing w:line="235" w:lineRule="auto" w:before="0" w:after="0"/>
              <w:ind w:left="118" w:right="824" w:firstLine="0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Pgp-substrate</w:t>
            </w:r>
          </w:p>
        </w:tc>
      </w:tr>
      <w:tr>
        <w:trPr>
          <w:trHeight w:val="1075" w:hRule="atLeast"/>
        </w:trPr>
        <w:tc>
          <w:tcPr>
            <w:tcW w:w="162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120"/>
              <w:rPr>
                <w:sz w:val="20"/>
              </w:rPr>
            </w:pPr>
            <w:r>
              <w:rPr>
                <w:sz w:val="20"/>
              </w:rPr>
              <w:t>HIA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272" w:right="269"/>
              <w:jc w:val="center"/>
              <w:rPr>
                <w:sz w:val="20"/>
              </w:rPr>
            </w:pPr>
            <w:r>
              <w:rPr>
                <w:sz w:val="20"/>
              </w:rPr>
              <w:t>0.114</w:t>
            </w:r>
          </w:p>
        </w:tc>
        <w:tc>
          <w:tcPr>
            <w:tcW w:w="1264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75" w:val="left" w:leader="none"/>
              </w:tabs>
              <w:spacing w:line="248" w:lineRule="exact" w:before="57" w:after="0"/>
              <w:ind w:left="374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Human Intestinal Absorption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75" w:val="left" w:leader="none"/>
              </w:tabs>
              <w:spacing w:line="242" w:lineRule="auto" w:before="0" w:after="0"/>
              <w:ind w:left="118" w:right="225" w:firstLine="0"/>
              <w:jc w:val="left"/>
              <w:rPr>
                <w:sz w:val="20"/>
              </w:rPr>
            </w:pPr>
            <w:r>
              <w:rPr>
                <w:sz w:val="20"/>
              </w:rPr>
              <w:t>Category 1: HIA+( HIA &lt; 30%); Category 0: HIA-(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HIA &lt; 30%); The output value is the probability 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being HIA+</w:t>
            </w:r>
          </w:p>
        </w:tc>
      </w:tr>
      <w:tr>
        <w:trPr>
          <w:trHeight w:val="1074" w:hRule="atLeast"/>
        </w:trPr>
        <w:tc>
          <w:tcPr>
            <w:tcW w:w="1625" w:type="dxa"/>
          </w:tcPr>
          <w:p>
            <w:pPr>
              <w:pStyle w:val="TableParagraph"/>
              <w:spacing w:before="4"/>
              <w:rPr>
                <w:rFonts w:ascii="Arial"/>
                <w:b/>
                <w:sz w:val="37"/>
              </w:rPr>
            </w:pPr>
          </w:p>
          <w:p>
            <w:pPr>
              <w:pStyle w:val="TableParagraph"/>
              <w:ind w:left="120"/>
              <w:rPr>
                <w:sz w:val="16"/>
              </w:rPr>
            </w:pPr>
            <w:r>
              <w:rPr>
                <w:position w:val="10"/>
                <w:sz w:val="20"/>
              </w:rPr>
              <w:t>F</w:t>
            </w:r>
            <w:r>
              <w:rPr>
                <w:sz w:val="16"/>
              </w:rPr>
              <w:t>20%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272" w:right="269"/>
              <w:jc w:val="center"/>
              <w:rPr>
                <w:sz w:val="20"/>
              </w:rPr>
            </w:pPr>
            <w:r>
              <w:rPr>
                <w:sz w:val="20"/>
              </w:rPr>
              <w:t>0.983</w:t>
            </w:r>
          </w:p>
        </w:tc>
        <w:tc>
          <w:tcPr>
            <w:tcW w:w="1264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0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75" w:val="left" w:leader="none"/>
              </w:tabs>
              <w:spacing w:line="248" w:lineRule="exact" w:before="57" w:after="0"/>
              <w:ind w:left="374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20% Bioavailability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75" w:val="left" w:leader="none"/>
              </w:tabs>
              <w:spacing w:line="172" w:lineRule="auto" w:before="26" w:after="0"/>
              <w:ind w:left="118" w:right="173" w:firstLine="0"/>
              <w:jc w:val="left"/>
              <w:rPr>
                <w:sz w:val="20"/>
              </w:rPr>
            </w:pPr>
            <w:r>
              <w:rPr>
                <w:sz w:val="20"/>
              </w:rPr>
              <w:t>Category 1: F</w:t>
            </w:r>
            <w:r>
              <w:rPr>
                <w:position w:val="-9"/>
                <w:sz w:val="16"/>
              </w:rPr>
              <w:t>20%</w:t>
            </w:r>
            <w:r>
              <w:rPr>
                <w:sz w:val="20"/>
              </w:rPr>
              <w:t>+ (bioavailability &lt; 20%);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Category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</w:t>
            </w:r>
            <w:r>
              <w:rPr>
                <w:position w:val="-9"/>
                <w:sz w:val="16"/>
              </w:rPr>
              <w:t>20%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(bioavailability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ymbol" w:hAnsi="Symbol"/>
                <w:sz w:val="20"/>
              </w:rPr>
              <w:t>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20%);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output</w:t>
            </w:r>
          </w:p>
          <w:p>
            <w:pPr>
              <w:pStyle w:val="TableParagraph"/>
              <w:spacing w:line="136" w:lineRule="auto"/>
              <w:ind w:left="118"/>
              <w:rPr>
                <w:sz w:val="20"/>
              </w:rPr>
            </w:pPr>
            <w:r>
              <w:rPr>
                <w:sz w:val="20"/>
              </w:rPr>
              <w:t>value is the probability of being F</w:t>
            </w:r>
            <w:r>
              <w:rPr>
                <w:position w:val="-9"/>
                <w:sz w:val="16"/>
              </w:rPr>
              <w:t>20%</w:t>
            </w:r>
            <w:r>
              <w:rPr>
                <w:sz w:val="20"/>
              </w:rPr>
              <w:t>+</w:t>
            </w:r>
          </w:p>
        </w:tc>
      </w:tr>
    </w:tbl>
    <w:p>
      <w:pPr>
        <w:spacing w:after="0" w:line="136" w:lineRule="auto"/>
        <w:rPr>
          <w:sz w:val="20"/>
        </w:rPr>
        <w:sectPr>
          <w:pgSz w:w="11910" w:h="16840"/>
          <w:pgMar w:header="0" w:footer="1040" w:top="1540" w:bottom="1240" w:left="1320" w:right="1320"/>
        </w:sect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5"/>
        <w:gridCol w:w="1174"/>
        <w:gridCol w:w="1264"/>
        <w:gridCol w:w="4964"/>
      </w:tblGrid>
      <w:tr>
        <w:trPr>
          <w:trHeight w:val="1075" w:hRule="atLeast"/>
        </w:trPr>
        <w:tc>
          <w:tcPr>
            <w:tcW w:w="1625" w:type="dxa"/>
          </w:tcPr>
          <w:p>
            <w:pPr>
              <w:pStyle w:val="TableParagraph"/>
              <w:spacing w:before="4"/>
              <w:rPr>
                <w:rFonts w:ascii="Arial"/>
                <w:b/>
                <w:sz w:val="37"/>
              </w:rPr>
            </w:pPr>
          </w:p>
          <w:p>
            <w:pPr>
              <w:pStyle w:val="TableParagraph"/>
              <w:ind w:left="120"/>
              <w:rPr>
                <w:sz w:val="16"/>
              </w:rPr>
            </w:pPr>
            <w:r>
              <w:rPr>
                <w:position w:val="10"/>
                <w:sz w:val="20"/>
              </w:rPr>
              <w:t>F</w:t>
            </w:r>
            <w:r>
              <w:rPr>
                <w:sz w:val="16"/>
              </w:rPr>
              <w:t>30%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336"/>
              <w:rPr>
                <w:sz w:val="20"/>
              </w:rPr>
            </w:pPr>
            <w:r>
              <w:rPr>
                <w:sz w:val="20"/>
              </w:rPr>
              <w:t>0.769</w:t>
            </w:r>
          </w:p>
        </w:tc>
        <w:tc>
          <w:tcPr>
            <w:tcW w:w="1264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0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75" w:val="left" w:leader="none"/>
              </w:tabs>
              <w:spacing w:line="248" w:lineRule="exact" w:before="57" w:after="0"/>
              <w:ind w:left="374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30% Bioavailability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75" w:val="left" w:leader="none"/>
              </w:tabs>
              <w:spacing w:line="172" w:lineRule="auto" w:before="26" w:after="0"/>
              <w:ind w:left="118" w:right="173" w:firstLine="0"/>
              <w:jc w:val="left"/>
              <w:rPr>
                <w:sz w:val="20"/>
              </w:rPr>
            </w:pPr>
            <w:r>
              <w:rPr>
                <w:sz w:val="20"/>
              </w:rPr>
              <w:t>Category 1: F</w:t>
            </w:r>
            <w:r>
              <w:rPr>
                <w:position w:val="-9"/>
                <w:sz w:val="16"/>
              </w:rPr>
              <w:t>30%</w:t>
            </w:r>
            <w:r>
              <w:rPr>
                <w:sz w:val="20"/>
              </w:rPr>
              <w:t>+ (bioavailability &lt; 30%);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Category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</w:t>
            </w:r>
            <w:r>
              <w:rPr>
                <w:position w:val="-9"/>
                <w:sz w:val="16"/>
              </w:rPr>
              <w:t>30%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(bioavailability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ymbol" w:hAnsi="Symbol"/>
                <w:sz w:val="20"/>
              </w:rPr>
              <w:t>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z w:val="20"/>
              </w:rPr>
              <w:t>30%);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output</w:t>
            </w:r>
          </w:p>
          <w:p>
            <w:pPr>
              <w:pStyle w:val="TableParagraph"/>
              <w:spacing w:line="136" w:lineRule="auto"/>
              <w:ind w:left="118"/>
              <w:rPr>
                <w:sz w:val="20"/>
              </w:rPr>
            </w:pPr>
            <w:r>
              <w:rPr>
                <w:sz w:val="20"/>
              </w:rPr>
              <w:t>value is the probability of being F</w:t>
            </w:r>
            <w:r>
              <w:rPr>
                <w:position w:val="-9"/>
                <w:sz w:val="16"/>
              </w:rPr>
              <w:t>30%</w:t>
            </w:r>
            <w:r>
              <w:rPr>
                <w:sz w:val="20"/>
              </w:rPr>
              <w:t>+</w:t>
            </w:r>
          </w:p>
        </w:tc>
      </w:tr>
    </w:tbl>
    <w:p>
      <w:pPr>
        <w:pStyle w:val="BodyText"/>
        <w:spacing w:before="2"/>
        <w:rPr>
          <w:sz w:val="14"/>
        </w:rPr>
      </w:pPr>
      <w:r>
        <w:rPr/>
        <w:pict>
          <v:shape style="position:absolute;margin-left:45.528111pt;margin-top:467.114807pt;width:502.15pt;height:80pt;mso-position-horizontal-relative:page;mso-position-vertical-relative:page;z-index:-16490496;rotation:315" type="#_x0000_t136" fillcolor="#000000" stroked="f">
            <o:extrusion v:ext="view" autorotationcenter="t"/>
            <v:textpath style="font-family:&quot;Times New Roman&quot;;font-size:80pt;v-text-kern:t;mso-text-shadow:auto" string="ADMETlab 2.0"/>
            <w10:wrap type="none"/>
          </v:shape>
        </w:pic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91" w:after="0"/>
        <w:ind w:left="551" w:right="0" w:hanging="312"/>
        <w:jc w:val="left"/>
        <w:rPr>
          <w:b/>
          <w:sz w:val="28"/>
        </w:rPr>
      </w:pPr>
      <w:r>
        <w:rPr>
          <w:b/>
          <w:sz w:val="28"/>
        </w:rPr>
        <w:t>Distribution</w:t>
      </w: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1354"/>
        <w:gridCol w:w="1354"/>
        <w:gridCol w:w="4964"/>
      </w:tblGrid>
      <w:tr>
        <w:trPr>
          <w:trHeight w:val="355" w:hRule="atLeast"/>
        </w:trPr>
        <w:tc>
          <w:tcPr>
            <w:tcW w:w="1354" w:type="dxa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Property</w:t>
            </w:r>
          </w:p>
        </w:tc>
        <w:tc>
          <w:tcPr>
            <w:tcW w:w="1354" w:type="dxa"/>
          </w:tcPr>
          <w:p>
            <w:pPr>
              <w:pStyle w:val="TableParagraph"/>
              <w:spacing w:before="71"/>
              <w:ind w:right="376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Value</w:t>
            </w:r>
          </w:p>
        </w:tc>
        <w:tc>
          <w:tcPr>
            <w:tcW w:w="1354" w:type="dxa"/>
          </w:tcPr>
          <w:p>
            <w:pPr>
              <w:pStyle w:val="TableParagraph"/>
              <w:spacing w:before="71"/>
              <w:ind w:left="198" w:right="19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Decision</w:t>
            </w:r>
          </w:p>
        </w:tc>
        <w:tc>
          <w:tcPr>
            <w:tcW w:w="4964" w:type="dxa"/>
          </w:tcPr>
          <w:p>
            <w:pPr>
              <w:pStyle w:val="TableParagraph"/>
              <w:spacing w:before="71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</w:t>
            </w:r>
          </w:p>
        </w:tc>
      </w:tr>
      <w:tr>
        <w:trPr>
          <w:trHeight w:val="835" w:hRule="atLeast"/>
        </w:trPr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right="331"/>
              <w:jc w:val="right"/>
              <w:rPr>
                <w:sz w:val="20"/>
              </w:rPr>
            </w:pPr>
            <w:r>
              <w:rPr>
                <w:sz w:val="20"/>
              </w:rPr>
              <w:t>78.13%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Plasma Protein Binding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76" w:val="left" w:leader="none"/>
              </w:tabs>
              <w:spacing w:line="235" w:lineRule="auto" w:before="0" w:after="0"/>
              <w:ind w:left="119" w:right="429" w:firstLine="0"/>
              <w:jc w:val="left"/>
              <w:rPr>
                <w:sz w:val="20"/>
              </w:rPr>
            </w:pPr>
            <w:r>
              <w:rPr>
                <w:sz w:val="20"/>
              </w:rPr>
              <w:t>Optimal: &lt; 90%. Drugs with high protein-bound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may have a low therapeutic index.</w:t>
            </w:r>
          </w:p>
        </w:tc>
      </w:tr>
      <w:tr>
        <w:trPr>
          <w:trHeight w:val="595" w:hRule="atLeast"/>
        </w:trPr>
        <w:tc>
          <w:tcPr>
            <w:tcW w:w="1354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VD</w:t>
            </w:r>
          </w:p>
        </w:tc>
        <w:tc>
          <w:tcPr>
            <w:tcW w:w="1354" w:type="dxa"/>
          </w:tcPr>
          <w:p>
            <w:pPr>
              <w:pStyle w:val="TableParagraph"/>
              <w:spacing w:before="190"/>
              <w:ind w:right="419"/>
              <w:jc w:val="right"/>
              <w:rPr>
                <w:sz w:val="20"/>
              </w:rPr>
            </w:pPr>
            <w:r>
              <w:rPr>
                <w:sz w:val="20"/>
              </w:rPr>
              <w:t>0.837</w:t>
            </w:r>
          </w:p>
        </w:tc>
        <w:tc>
          <w:tcPr>
            <w:tcW w:w="1354" w:type="dxa"/>
          </w:tcPr>
          <w:p>
            <w:pPr>
              <w:pStyle w:val="TableParagraph"/>
              <w:spacing w:before="177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Volume Distribution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Optimal: 0.04-20L/kg</w:t>
            </w:r>
          </w:p>
        </w:tc>
      </w:tr>
      <w:tr>
        <w:trPr>
          <w:trHeight w:val="835" w:hRule="atLeast"/>
        </w:trPr>
        <w:tc>
          <w:tcPr>
            <w:tcW w:w="1354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BBB</w:t>
            </w:r>
          </w:p>
          <w:p>
            <w:pPr>
              <w:pStyle w:val="TableParagraph"/>
              <w:spacing w:before="10"/>
              <w:ind w:left="120"/>
              <w:rPr>
                <w:sz w:val="20"/>
              </w:rPr>
            </w:pPr>
            <w:r>
              <w:rPr>
                <w:sz w:val="20"/>
              </w:rPr>
              <w:t>Penetration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right="419"/>
              <w:jc w:val="right"/>
              <w:rPr>
                <w:sz w:val="20"/>
              </w:rPr>
            </w:pPr>
            <w:r>
              <w:rPr>
                <w:sz w:val="20"/>
              </w:rPr>
              <w:t>0.093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Blood-Brain Barrier Penetration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76" w:val="left" w:leader="none"/>
              </w:tabs>
              <w:spacing w:line="235" w:lineRule="auto" w:before="0" w:after="0"/>
              <w:ind w:left="119" w:right="240" w:firstLine="0"/>
              <w:jc w:val="left"/>
              <w:rPr>
                <w:sz w:val="20"/>
              </w:rPr>
            </w:pPr>
            <w:r>
              <w:rPr>
                <w:sz w:val="20"/>
              </w:rPr>
              <w:t>Category 1: BBB+; Category 0: BBB-; The output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value is the probability of being BBB+</w:t>
            </w:r>
          </w:p>
        </w:tc>
      </w:tr>
      <w:tr>
        <w:trPr>
          <w:trHeight w:val="595" w:hRule="atLeast"/>
        </w:trPr>
        <w:tc>
          <w:tcPr>
            <w:tcW w:w="1354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Fu</w:t>
            </w:r>
          </w:p>
        </w:tc>
        <w:tc>
          <w:tcPr>
            <w:tcW w:w="1354" w:type="dxa"/>
          </w:tcPr>
          <w:p>
            <w:pPr>
              <w:pStyle w:val="TableParagraph"/>
              <w:spacing w:before="190"/>
              <w:ind w:right="331"/>
              <w:jc w:val="right"/>
              <w:rPr>
                <w:sz w:val="20"/>
              </w:rPr>
            </w:pPr>
            <w:r>
              <w:rPr>
                <w:sz w:val="20"/>
              </w:rPr>
              <w:t>5.734%</w:t>
            </w:r>
          </w:p>
        </w:tc>
        <w:tc>
          <w:tcPr>
            <w:tcW w:w="1354" w:type="dxa"/>
          </w:tcPr>
          <w:p>
            <w:pPr>
              <w:pStyle w:val="TableParagraph"/>
              <w:spacing w:before="177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The fraction unbound in plasms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Low: &lt;5%; Middle: 5~20%; High: &gt; 20%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255" w:after="0"/>
        <w:ind w:left="551" w:right="0" w:hanging="312"/>
        <w:jc w:val="left"/>
        <w:rPr>
          <w:b/>
          <w:sz w:val="28"/>
        </w:rPr>
      </w:pPr>
      <w:r>
        <w:rPr>
          <w:b/>
          <w:sz w:val="28"/>
        </w:rPr>
        <w:t>Metabolism</w:t>
      </w: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5"/>
        <w:gridCol w:w="1805"/>
        <w:gridCol w:w="5415"/>
      </w:tblGrid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Property</w:t>
            </w:r>
          </w:p>
        </w:tc>
        <w:tc>
          <w:tcPr>
            <w:tcW w:w="1805" w:type="dxa"/>
          </w:tcPr>
          <w:p>
            <w:pPr>
              <w:pStyle w:val="TableParagraph"/>
              <w:spacing w:before="71"/>
              <w:ind w:left="589" w:right="58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Value</w:t>
            </w:r>
          </w:p>
        </w:tc>
        <w:tc>
          <w:tcPr>
            <w:tcW w:w="5415" w:type="dxa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</w:t>
            </w:r>
          </w:p>
        </w:tc>
      </w:tr>
      <w:tr>
        <w:trPr>
          <w:trHeight w:val="595" w:hRule="atLeast"/>
        </w:trPr>
        <w:tc>
          <w:tcPr>
            <w:tcW w:w="1805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CYP1A2 inhibitor</w:t>
            </w:r>
          </w:p>
        </w:tc>
        <w:tc>
          <w:tcPr>
            <w:tcW w:w="1805" w:type="dxa"/>
          </w:tcPr>
          <w:p>
            <w:pPr>
              <w:pStyle w:val="TableParagraph"/>
              <w:spacing w:before="19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0.832</w:t>
            </w:r>
          </w:p>
        </w:tc>
        <w:tc>
          <w:tcPr>
            <w:tcW w:w="5415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Inhibitor; Category 0: Non-inhibitor;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inhibitor.</w:t>
            </w:r>
          </w:p>
        </w:tc>
      </w:tr>
      <w:tr>
        <w:trPr>
          <w:trHeight w:val="59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CYP1A2</w:t>
            </w:r>
          </w:p>
          <w:p>
            <w:pPr>
              <w:pStyle w:val="TableParagraph"/>
              <w:spacing w:before="10"/>
              <w:ind w:left="120"/>
              <w:rPr>
                <w:sz w:val="20"/>
              </w:rPr>
            </w:pPr>
            <w:r>
              <w:rPr>
                <w:sz w:val="20"/>
              </w:rPr>
              <w:t>substrate</w:t>
            </w:r>
          </w:p>
        </w:tc>
        <w:tc>
          <w:tcPr>
            <w:tcW w:w="1805" w:type="dxa"/>
          </w:tcPr>
          <w:p>
            <w:pPr>
              <w:pStyle w:val="TableParagraph"/>
              <w:spacing w:before="19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0.094</w:t>
            </w:r>
          </w:p>
        </w:tc>
        <w:tc>
          <w:tcPr>
            <w:tcW w:w="5415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Substrate; Category 0: Non-substrate;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substrate.</w:t>
            </w:r>
          </w:p>
        </w:tc>
      </w:tr>
      <w:tr>
        <w:trPr>
          <w:trHeight w:val="59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CYP2C19</w:t>
            </w:r>
          </w:p>
          <w:p>
            <w:pPr>
              <w:pStyle w:val="TableParagraph"/>
              <w:spacing w:before="10"/>
              <w:ind w:left="120"/>
              <w:rPr>
                <w:sz w:val="20"/>
              </w:rPr>
            </w:pPr>
            <w:r>
              <w:rPr>
                <w:sz w:val="20"/>
              </w:rPr>
              <w:t>inhibitor</w:t>
            </w:r>
          </w:p>
        </w:tc>
        <w:tc>
          <w:tcPr>
            <w:tcW w:w="1805" w:type="dxa"/>
          </w:tcPr>
          <w:p>
            <w:pPr>
              <w:pStyle w:val="TableParagraph"/>
              <w:spacing w:before="19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0.271</w:t>
            </w:r>
          </w:p>
        </w:tc>
        <w:tc>
          <w:tcPr>
            <w:tcW w:w="5415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Inhibitor; Category 0: Non-inhibitor;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inhibitor.</w:t>
            </w:r>
          </w:p>
        </w:tc>
      </w:tr>
      <w:tr>
        <w:trPr>
          <w:trHeight w:val="59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CYP2C19</w:t>
            </w:r>
          </w:p>
          <w:p>
            <w:pPr>
              <w:pStyle w:val="TableParagraph"/>
              <w:spacing w:before="10"/>
              <w:ind w:left="120"/>
              <w:rPr>
                <w:sz w:val="20"/>
              </w:rPr>
            </w:pPr>
            <w:r>
              <w:rPr>
                <w:sz w:val="20"/>
              </w:rPr>
              <w:t>substrate</w:t>
            </w:r>
          </w:p>
        </w:tc>
        <w:tc>
          <w:tcPr>
            <w:tcW w:w="1805" w:type="dxa"/>
          </w:tcPr>
          <w:p>
            <w:pPr>
              <w:pStyle w:val="TableParagraph"/>
              <w:spacing w:before="19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0.122</w:t>
            </w:r>
          </w:p>
        </w:tc>
        <w:tc>
          <w:tcPr>
            <w:tcW w:w="5415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Substrate; Category 0: Non-substrate;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substrate.</w:t>
            </w:r>
          </w:p>
        </w:tc>
      </w:tr>
      <w:tr>
        <w:trPr>
          <w:trHeight w:val="595" w:hRule="atLeast"/>
        </w:trPr>
        <w:tc>
          <w:tcPr>
            <w:tcW w:w="1805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CYP2C9 inhibitor</w:t>
            </w:r>
          </w:p>
        </w:tc>
        <w:tc>
          <w:tcPr>
            <w:tcW w:w="1805" w:type="dxa"/>
          </w:tcPr>
          <w:p>
            <w:pPr>
              <w:pStyle w:val="TableParagraph"/>
              <w:spacing w:before="19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0.773</w:t>
            </w:r>
          </w:p>
        </w:tc>
        <w:tc>
          <w:tcPr>
            <w:tcW w:w="5415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Inhibitor; Category 0: Non-inhibitor;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inhibitor.</w:t>
            </w:r>
          </w:p>
        </w:tc>
      </w:tr>
      <w:tr>
        <w:trPr>
          <w:trHeight w:val="59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CYP2C9</w:t>
            </w:r>
          </w:p>
          <w:p>
            <w:pPr>
              <w:pStyle w:val="TableParagraph"/>
              <w:spacing w:before="10"/>
              <w:ind w:left="120"/>
              <w:rPr>
                <w:sz w:val="20"/>
              </w:rPr>
            </w:pPr>
            <w:r>
              <w:rPr>
                <w:sz w:val="20"/>
              </w:rPr>
              <w:t>substrate</w:t>
            </w:r>
          </w:p>
        </w:tc>
        <w:tc>
          <w:tcPr>
            <w:tcW w:w="1805" w:type="dxa"/>
          </w:tcPr>
          <w:p>
            <w:pPr>
              <w:pStyle w:val="TableParagraph"/>
              <w:spacing w:before="19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0.29</w:t>
            </w:r>
          </w:p>
        </w:tc>
        <w:tc>
          <w:tcPr>
            <w:tcW w:w="5415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Substrate; Category 0: Non-substrate;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substrate.</w:t>
            </w:r>
          </w:p>
        </w:tc>
      </w:tr>
      <w:tr>
        <w:trPr>
          <w:trHeight w:val="595" w:hRule="atLeast"/>
        </w:trPr>
        <w:tc>
          <w:tcPr>
            <w:tcW w:w="1805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CYP2D6 inhibitor</w:t>
            </w:r>
          </w:p>
        </w:tc>
        <w:tc>
          <w:tcPr>
            <w:tcW w:w="1805" w:type="dxa"/>
          </w:tcPr>
          <w:p>
            <w:pPr>
              <w:pStyle w:val="TableParagraph"/>
              <w:spacing w:before="19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0.02</w:t>
            </w:r>
          </w:p>
        </w:tc>
        <w:tc>
          <w:tcPr>
            <w:tcW w:w="5415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Inhibitor; Category 0: Non-inhibitor;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inhibitor.</w:t>
            </w:r>
          </w:p>
        </w:tc>
      </w:tr>
      <w:tr>
        <w:trPr>
          <w:trHeight w:val="59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CYP2D6</w:t>
            </w:r>
          </w:p>
          <w:p>
            <w:pPr>
              <w:pStyle w:val="TableParagraph"/>
              <w:spacing w:before="10"/>
              <w:ind w:left="120"/>
              <w:rPr>
                <w:sz w:val="20"/>
              </w:rPr>
            </w:pPr>
            <w:r>
              <w:rPr>
                <w:sz w:val="20"/>
              </w:rPr>
              <w:t>substrate</w:t>
            </w:r>
          </w:p>
        </w:tc>
        <w:tc>
          <w:tcPr>
            <w:tcW w:w="1805" w:type="dxa"/>
          </w:tcPr>
          <w:p>
            <w:pPr>
              <w:pStyle w:val="TableParagraph"/>
              <w:spacing w:before="19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0.201</w:t>
            </w:r>
          </w:p>
        </w:tc>
        <w:tc>
          <w:tcPr>
            <w:tcW w:w="5415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Substrate; Category 0: Non-substrate;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substrate.</w:t>
            </w:r>
          </w:p>
        </w:tc>
      </w:tr>
      <w:tr>
        <w:trPr>
          <w:trHeight w:val="595" w:hRule="atLeast"/>
        </w:trPr>
        <w:tc>
          <w:tcPr>
            <w:tcW w:w="1805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CYP3A4 inhibitor</w:t>
            </w:r>
          </w:p>
        </w:tc>
        <w:tc>
          <w:tcPr>
            <w:tcW w:w="1805" w:type="dxa"/>
          </w:tcPr>
          <w:p>
            <w:pPr>
              <w:pStyle w:val="TableParagraph"/>
              <w:spacing w:before="19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0.709</w:t>
            </w:r>
          </w:p>
        </w:tc>
        <w:tc>
          <w:tcPr>
            <w:tcW w:w="5415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Inhibitor; Category 0: Non-inhibitor;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inhibitor.</w:t>
            </w:r>
          </w:p>
        </w:tc>
      </w:tr>
      <w:tr>
        <w:trPr>
          <w:trHeight w:val="595" w:hRule="atLeast"/>
        </w:trPr>
        <w:tc>
          <w:tcPr>
            <w:tcW w:w="1805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CYP3A4</w:t>
            </w:r>
          </w:p>
          <w:p>
            <w:pPr>
              <w:pStyle w:val="TableParagraph"/>
              <w:spacing w:before="10"/>
              <w:ind w:left="120"/>
              <w:rPr>
                <w:sz w:val="20"/>
              </w:rPr>
            </w:pPr>
            <w:r>
              <w:rPr>
                <w:sz w:val="20"/>
              </w:rPr>
              <w:t>substrate</w:t>
            </w:r>
          </w:p>
        </w:tc>
        <w:tc>
          <w:tcPr>
            <w:tcW w:w="1805" w:type="dxa"/>
          </w:tcPr>
          <w:p>
            <w:pPr>
              <w:pStyle w:val="TableParagraph"/>
              <w:spacing w:before="190"/>
              <w:ind w:left="589" w:right="584"/>
              <w:jc w:val="center"/>
              <w:rPr>
                <w:sz w:val="20"/>
              </w:rPr>
            </w:pPr>
            <w:r>
              <w:rPr>
                <w:sz w:val="20"/>
              </w:rPr>
              <w:t>0.922</w:t>
            </w:r>
          </w:p>
        </w:tc>
        <w:tc>
          <w:tcPr>
            <w:tcW w:w="5415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Substrate; Category 0: Non-substrate;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substrate.</w:t>
            </w:r>
          </w:p>
        </w:tc>
      </w:tr>
    </w:tbl>
    <w:p>
      <w:pPr>
        <w:spacing w:after="0" w:line="248" w:lineRule="exact"/>
        <w:jc w:val="left"/>
        <w:rPr>
          <w:sz w:val="20"/>
        </w:rPr>
        <w:sectPr>
          <w:pgSz w:w="11910" w:h="16840"/>
          <w:pgMar w:header="0" w:footer="1040" w:top="1540" w:bottom="1240" w:left="1320" w:right="1320"/>
        </w:sectPr>
      </w:pP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79" w:after="0"/>
        <w:ind w:left="551" w:right="0" w:hanging="312"/>
        <w:jc w:val="left"/>
        <w:rPr>
          <w:b/>
          <w:sz w:val="28"/>
        </w:rPr>
      </w:pPr>
      <w:r>
        <w:rPr/>
        <w:pict>
          <v:shape style="position:absolute;margin-left:45.528111pt;margin-top:467.114807pt;width:502.15pt;height:80pt;mso-position-horizontal-relative:page;mso-position-vertical-relative:page;z-index:-16489984;rotation:315" type="#_x0000_t136" fillcolor="#000000" stroked="f">
            <o:extrusion v:ext="view" autorotationcenter="t"/>
            <v:textpath style="font-family:&quot;Times New Roman&quot;;font-size:80pt;v-text-kern:t;mso-text-shadow:auto" string="ADMETlab 2.0"/>
            <w10:wrap type="none"/>
          </v:shape>
        </w:pict>
      </w:r>
      <w:r>
        <w:rPr>
          <w:b/>
          <w:sz w:val="28"/>
        </w:rPr>
        <w:t>Excretion</w:t>
      </w: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1354"/>
        <w:gridCol w:w="1354"/>
        <w:gridCol w:w="4964"/>
      </w:tblGrid>
      <w:tr>
        <w:trPr>
          <w:trHeight w:val="355" w:hRule="atLeast"/>
        </w:trPr>
        <w:tc>
          <w:tcPr>
            <w:tcW w:w="1354" w:type="dxa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Property</w:t>
            </w:r>
          </w:p>
        </w:tc>
        <w:tc>
          <w:tcPr>
            <w:tcW w:w="1354" w:type="dxa"/>
          </w:tcPr>
          <w:p>
            <w:pPr>
              <w:pStyle w:val="TableParagraph"/>
              <w:spacing w:before="71"/>
              <w:ind w:left="198" w:right="19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Value</w:t>
            </w:r>
          </w:p>
        </w:tc>
        <w:tc>
          <w:tcPr>
            <w:tcW w:w="1354" w:type="dxa"/>
          </w:tcPr>
          <w:p>
            <w:pPr>
              <w:pStyle w:val="TableParagraph"/>
              <w:spacing w:before="71"/>
              <w:ind w:left="198" w:right="19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Decision</w:t>
            </w:r>
          </w:p>
        </w:tc>
        <w:tc>
          <w:tcPr>
            <w:tcW w:w="4964" w:type="dxa"/>
          </w:tcPr>
          <w:p>
            <w:pPr>
              <w:pStyle w:val="TableParagraph"/>
              <w:spacing w:before="71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</w:t>
            </w:r>
          </w:p>
        </w:tc>
      </w:tr>
      <w:tr>
        <w:trPr>
          <w:trHeight w:val="835" w:hRule="atLeast"/>
        </w:trPr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CL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4.493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0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Clearance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76" w:val="left" w:leader="none"/>
              </w:tabs>
              <w:spacing w:line="235" w:lineRule="auto" w:before="0" w:after="0"/>
              <w:ind w:left="119" w:right="241" w:firstLine="0"/>
              <w:jc w:val="left"/>
              <w:rPr>
                <w:sz w:val="20"/>
              </w:rPr>
            </w:pPr>
            <w:r>
              <w:rPr>
                <w:sz w:val="20"/>
              </w:rPr>
              <w:t>High: &gt;15 mL/min/kg; moderate: 5-15 mL/min/kg;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low: &lt;5 mL/min/kg</w:t>
            </w:r>
          </w:p>
        </w:tc>
      </w:tr>
      <w:tr>
        <w:trPr>
          <w:trHeight w:val="1315" w:hRule="atLeast"/>
        </w:trPr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30"/>
              </w:rPr>
            </w:pPr>
          </w:p>
          <w:p>
            <w:pPr>
              <w:pStyle w:val="TableParagraph"/>
              <w:spacing w:before="205"/>
              <w:ind w:left="120"/>
              <w:rPr>
                <w:sz w:val="16"/>
              </w:rPr>
            </w:pPr>
            <w:r>
              <w:rPr>
                <w:position w:val="10"/>
                <w:sz w:val="20"/>
              </w:rPr>
              <w:t>T</w:t>
            </w:r>
            <w:r>
              <w:rPr>
                <w:sz w:val="16"/>
              </w:rPr>
              <w:t>1/2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0.804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376" w:val="left" w:leader="none"/>
              </w:tabs>
              <w:spacing w:line="235" w:lineRule="auto" w:before="61" w:after="0"/>
              <w:ind w:left="119" w:right="713" w:firstLine="0"/>
              <w:jc w:val="left"/>
              <w:rPr>
                <w:sz w:val="20"/>
              </w:rPr>
            </w:pPr>
            <w:r>
              <w:rPr>
                <w:sz w:val="20"/>
              </w:rPr>
              <w:t>Category 1: long half-life ; Category 0: short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half-life;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long half-life: &gt;3h; short half-life: &lt;3h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76" w:val="left" w:leader="none"/>
              </w:tabs>
              <w:spacing w:line="235" w:lineRule="auto" w:before="0" w:after="0"/>
              <w:ind w:left="119" w:right="290" w:firstLine="0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having long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half-life.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255" w:after="0"/>
        <w:ind w:left="551" w:right="0" w:hanging="312"/>
        <w:jc w:val="left"/>
        <w:rPr>
          <w:b/>
          <w:sz w:val="28"/>
        </w:rPr>
      </w:pPr>
      <w:r>
        <w:rPr>
          <w:b/>
          <w:sz w:val="28"/>
        </w:rPr>
        <w:t>Toxicity</w:t>
      </w: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1354"/>
        <w:gridCol w:w="1354"/>
        <w:gridCol w:w="4964"/>
      </w:tblGrid>
      <w:tr>
        <w:trPr>
          <w:trHeight w:val="355" w:hRule="atLeast"/>
        </w:trPr>
        <w:tc>
          <w:tcPr>
            <w:tcW w:w="1354" w:type="dxa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Property</w:t>
            </w:r>
          </w:p>
        </w:tc>
        <w:tc>
          <w:tcPr>
            <w:tcW w:w="1354" w:type="dxa"/>
          </w:tcPr>
          <w:p>
            <w:pPr>
              <w:pStyle w:val="TableParagraph"/>
              <w:spacing w:before="71"/>
              <w:ind w:left="198" w:right="19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Value</w:t>
            </w:r>
          </w:p>
        </w:tc>
        <w:tc>
          <w:tcPr>
            <w:tcW w:w="1354" w:type="dxa"/>
          </w:tcPr>
          <w:p>
            <w:pPr>
              <w:pStyle w:val="TableParagraph"/>
              <w:spacing w:before="71"/>
              <w:ind w:left="198" w:right="19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Decision</w:t>
            </w:r>
          </w:p>
        </w:tc>
        <w:tc>
          <w:tcPr>
            <w:tcW w:w="4964" w:type="dxa"/>
          </w:tcPr>
          <w:p>
            <w:pPr>
              <w:pStyle w:val="TableParagraph"/>
              <w:spacing w:before="71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</w:t>
            </w:r>
          </w:p>
        </w:tc>
      </w:tr>
      <w:tr>
        <w:trPr>
          <w:trHeight w:val="595" w:hRule="atLeast"/>
        </w:trPr>
        <w:tc>
          <w:tcPr>
            <w:tcW w:w="1354" w:type="dxa"/>
          </w:tcPr>
          <w:p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hERG</w:t>
            </w:r>
          </w:p>
          <w:p>
            <w:pPr>
              <w:pStyle w:val="TableParagraph"/>
              <w:spacing w:before="10"/>
              <w:ind w:left="120"/>
              <w:rPr>
                <w:sz w:val="20"/>
              </w:rPr>
            </w:pPr>
            <w:r>
              <w:rPr>
                <w:sz w:val="20"/>
              </w:rPr>
              <w:t>Blockers</w:t>
            </w:r>
          </w:p>
        </w:tc>
        <w:tc>
          <w:tcPr>
            <w:tcW w:w="1354" w:type="dxa"/>
          </w:tcPr>
          <w:p>
            <w:pPr>
              <w:pStyle w:val="TableParagraph"/>
              <w:spacing w:before="190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0.001</w:t>
            </w:r>
          </w:p>
        </w:tc>
        <w:tc>
          <w:tcPr>
            <w:tcW w:w="1354" w:type="dxa"/>
          </w:tcPr>
          <w:p>
            <w:pPr>
              <w:pStyle w:val="TableParagraph"/>
              <w:spacing w:before="177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Category 1: active; Category 0: inactive;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active.</w:t>
            </w:r>
          </w:p>
        </w:tc>
      </w:tr>
      <w:tr>
        <w:trPr>
          <w:trHeight w:val="1075" w:hRule="atLeast"/>
        </w:trPr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120"/>
              <w:rPr>
                <w:sz w:val="20"/>
              </w:rPr>
            </w:pPr>
            <w:r>
              <w:rPr>
                <w:sz w:val="20"/>
              </w:rPr>
              <w:t>H-HT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0.558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A5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Human Hepatotoxicity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76" w:val="left" w:leader="none"/>
              </w:tabs>
              <w:spacing w:line="235" w:lineRule="auto" w:before="0" w:after="0"/>
              <w:ind w:left="119" w:right="352" w:firstLine="0"/>
              <w:jc w:val="left"/>
              <w:rPr>
                <w:sz w:val="20"/>
              </w:rPr>
            </w:pPr>
            <w:r>
              <w:rPr>
                <w:sz w:val="20"/>
              </w:rPr>
              <w:t>Category 1: H-HT positive(+); Category 0: H-HT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negative(-);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76" w:val="left" w:leader="none"/>
              </w:tabs>
              <w:spacing w:line="256" w:lineRule="exact" w:before="0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toxic.</w:t>
            </w:r>
          </w:p>
        </w:tc>
      </w:tr>
      <w:tr>
        <w:trPr>
          <w:trHeight w:val="1075" w:hRule="atLeast"/>
        </w:trPr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120"/>
              <w:rPr>
                <w:sz w:val="20"/>
              </w:rPr>
            </w:pPr>
            <w:r>
              <w:rPr>
                <w:sz w:val="20"/>
              </w:rPr>
              <w:t>DILI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0.99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0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Drug Induced Liver Injury.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74" w:val="left" w:leader="none"/>
              </w:tabs>
              <w:spacing w:line="242" w:lineRule="auto" w:before="0" w:after="0"/>
              <w:ind w:left="119" w:right="65" w:firstLine="0"/>
              <w:jc w:val="left"/>
              <w:rPr>
                <w:sz w:val="20"/>
              </w:rPr>
            </w:pPr>
            <w:r>
              <w:rPr>
                <w:sz w:val="20"/>
              </w:rPr>
              <w:t>Category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drugs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DILI;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Category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0: drugs with no risk of DILI. The output value is 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probability of being toxic.</w:t>
            </w:r>
          </w:p>
        </w:tc>
      </w:tr>
      <w:tr>
        <w:trPr>
          <w:trHeight w:val="835" w:hRule="atLeast"/>
        </w:trPr>
        <w:tc>
          <w:tcPr>
            <w:tcW w:w="1354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AMES</w:t>
            </w:r>
          </w:p>
          <w:p>
            <w:pPr>
              <w:pStyle w:val="TableParagraph"/>
              <w:spacing w:before="10"/>
              <w:ind w:left="120"/>
              <w:rPr>
                <w:sz w:val="20"/>
              </w:rPr>
            </w:pPr>
            <w:r>
              <w:rPr>
                <w:sz w:val="20"/>
              </w:rPr>
              <w:t>Toxicity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0.842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0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376" w:val="left" w:leader="none"/>
              </w:tabs>
              <w:spacing w:line="235" w:lineRule="auto" w:before="61" w:after="0"/>
              <w:ind w:left="119" w:right="285" w:firstLine="0"/>
              <w:jc w:val="left"/>
              <w:rPr>
                <w:sz w:val="20"/>
              </w:rPr>
            </w:pPr>
            <w:r>
              <w:rPr>
                <w:sz w:val="20"/>
              </w:rPr>
              <w:t>Category 1: Ames positive(+); Category 0: Ames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negative(-);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76" w:val="left" w:leader="none"/>
              </w:tabs>
              <w:spacing w:line="256" w:lineRule="exact" w:before="0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toxic.</w:t>
            </w:r>
          </w:p>
        </w:tc>
      </w:tr>
      <w:tr>
        <w:trPr>
          <w:trHeight w:val="835" w:hRule="atLeast"/>
        </w:trPr>
        <w:tc>
          <w:tcPr>
            <w:tcW w:w="1354" w:type="dxa"/>
          </w:tcPr>
          <w:p>
            <w:pPr>
              <w:pStyle w:val="TableParagraph"/>
              <w:spacing w:line="249" w:lineRule="auto" w:before="70"/>
              <w:ind w:left="120" w:right="464"/>
              <w:rPr>
                <w:sz w:val="20"/>
              </w:rPr>
            </w:pPr>
            <w:r>
              <w:rPr>
                <w:sz w:val="20"/>
              </w:rPr>
              <w:t>Rat Oral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Acute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Toxicity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0.024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Category 0: low-toxicity; Category 1: high-toxicity;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76" w:val="left" w:leader="none"/>
              </w:tabs>
              <w:spacing w:line="235" w:lineRule="auto" w:before="0" w:after="0"/>
              <w:ind w:left="119" w:right="245" w:firstLine="0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highly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toxic.</w:t>
            </w:r>
          </w:p>
        </w:tc>
      </w:tr>
      <w:tr>
        <w:trPr>
          <w:trHeight w:val="1315" w:hRule="atLeast"/>
        </w:trPr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FDAMDD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0.031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8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Maximum Recommended Daily Dose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76" w:val="left" w:leader="none"/>
              </w:tabs>
              <w:spacing w:line="235" w:lineRule="auto" w:before="0" w:after="0"/>
              <w:ind w:left="119" w:right="275" w:firstLine="0"/>
              <w:jc w:val="left"/>
              <w:rPr>
                <w:sz w:val="20"/>
              </w:rPr>
            </w:pPr>
            <w:r>
              <w:rPr>
                <w:sz w:val="20"/>
              </w:rPr>
              <w:t>Category 1: FDAMDD (+); Category 0: FDAMDD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(-)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76" w:val="left" w:leader="none"/>
              </w:tabs>
              <w:spacing w:line="235" w:lineRule="auto" w:before="0" w:after="0"/>
              <w:ind w:left="119" w:right="823" w:firstLine="0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positive.</w:t>
            </w:r>
          </w:p>
        </w:tc>
      </w:tr>
      <w:tr>
        <w:trPr>
          <w:trHeight w:val="835" w:hRule="atLeast"/>
        </w:trPr>
        <w:tc>
          <w:tcPr>
            <w:tcW w:w="1354" w:type="dxa"/>
          </w:tcPr>
          <w:p>
            <w:pPr>
              <w:pStyle w:val="TableParagraph"/>
              <w:spacing w:line="249" w:lineRule="auto" w:before="190"/>
              <w:ind w:left="120" w:right="164"/>
              <w:rPr>
                <w:sz w:val="20"/>
              </w:rPr>
            </w:pPr>
            <w:r>
              <w:rPr>
                <w:sz w:val="20"/>
              </w:rPr>
              <w:t>Skin Sensiti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zation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0.48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A5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Category 1: Sensitizer; Category 0: Non-sensitizer;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76" w:val="left" w:leader="none"/>
              </w:tabs>
              <w:spacing w:line="235" w:lineRule="auto" w:before="0" w:after="0"/>
              <w:ind w:left="119" w:right="823" w:firstLine="0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sensitizer.</w:t>
            </w:r>
          </w:p>
        </w:tc>
      </w:tr>
      <w:tr>
        <w:trPr>
          <w:trHeight w:val="835" w:hRule="atLeast"/>
        </w:trPr>
        <w:tc>
          <w:tcPr>
            <w:tcW w:w="1354" w:type="dxa"/>
          </w:tcPr>
          <w:p>
            <w:pPr>
              <w:pStyle w:val="TableParagraph"/>
              <w:spacing w:line="249" w:lineRule="auto" w:before="190"/>
              <w:ind w:left="120" w:right="186"/>
              <w:rPr>
                <w:sz w:val="20"/>
              </w:rPr>
            </w:pPr>
            <w:r>
              <w:rPr>
                <w:sz w:val="20"/>
              </w:rPr>
              <w:t>Carcinogen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city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0.988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0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376" w:val="left" w:leader="none"/>
              </w:tabs>
              <w:spacing w:line="235" w:lineRule="auto" w:before="61" w:after="0"/>
              <w:ind w:left="119" w:right="1269" w:firstLine="0"/>
              <w:jc w:val="left"/>
              <w:rPr>
                <w:sz w:val="20"/>
              </w:rPr>
            </w:pPr>
            <w:r>
              <w:rPr>
                <w:sz w:val="20"/>
              </w:rPr>
              <w:t>Category 1: carcinogens; Category 0: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non-carcinogens;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76" w:val="left" w:leader="none"/>
              </w:tabs>
              <w:spacing w:line="256" w:lineRule="exact" w:before="0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toxic.</w:t>
            </w:r>
          </w:p>
        </w:tc>
      </w:tr>
      <w:tr>
        <w:trPr>
          <w:trHeight w:val="835" w:hRule="atLeast"/>
        </w:trPr>
        <w:tc>
          <w:tcPr>
            <w:tcW w:w="1354" w:type="dxa"/>
          </w:tcPr>
          <w:p>
            <w:pPr>
              <w:pStyle w:val="TableParagraph"/>
              <w:spacing w:line="249" w:lineRule="auto" w:before="190"/>
              <w:ind w:left="120" w:right="342"/>
              <w:rPr>
                <w:sz w:val="20"/>
              </w:rPr>
            </w:pPr>
            <w:r>
              <w:rPr>
                <w:sz w:val="20"/>
              </w:rPr>
              <w:t>Eye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Corrosion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0.003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Category 1: corrosives ; Category 0: noncorrosives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76" w:val="left" w:leader="none"/>
              </w:tabs>
              <w:spacing w:line="235" w:lineRule="auto" w:before="0" w:after="0"/>
              <w:ind w:left="119" w:right="823" w:firstLine="0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corrosives.</w:t>
            </w:r>
          </w:p>
        </w:tc>
      </w:tr>
      <w:tr>
        <w:trPr>
          <w:trHeight w:val="594" w:hRule="atLeast"/>
        </w:trPr>
        <w:tc>
          <w:tcPr>
            <w:tcW w:w="1354" w:type="dxa"/>
          </w:tcPr>
          <w:p>
            <w:pPr>
              <w:pStyle w:val="TableParagraph"/>
              <w:spacing w:line="249" w:lineRule="auto" w:before="70"/>
              <w:ind w:left="120" w:right="486"/>
              <w:rPr>
                <w:sz w:val="20"/>
              </w:rPr>
            </w:pPr>
            <w:r>
              <w:rPr>
                <w:sz w:val="20"/>
              </w:rPr>
              <w:t>Eye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Irritation</w:t>
            </w:r>
          </w:p>
        </w:tc>
        <w:tc>
          <w:tcPr>
            <w:tcW w:w="1354" w:type="dxa"/>
          </w:tcPr>
          <w:p>
            <w:pPr>
              <w:pStyle w:val="TableParagraph"/>
              <w:spacing w:before="190"/>
              <w:ind w:left="198" w:right="194"/>
              <w:jc w:val="center"/>
              <w:rPr>
                <w:sz w:val="20"/>
              </w:rPr>
            </w:pPr>
            <w:r>
              <w:rPr>
                <w:sz w:val="20"/>
              </w:rPr>
              <w:t>0.024</w:t>
            </w:r>
          </w:p>
        </w:tc>
        <w:tc>
          <w:tcPr>
            <w:tcW w:w="1354" w:type="dxa"/>
          </w:tcPr>
          <w:p>
            <w:pPr>
              <w:pStyle w:val="TableParagraph"/>
              <w:spacing w:before="177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Category 1: irritants ; Category 0: nonirritants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75" w:val="left" w:leader="none"/>
              </w:tabs>
              <w:spacing w:line="248" w:lineRule="exact" w:before="0" w:after="0"/>
              <w:ind w:left="374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probability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irritants.</w:t>
            </w:r>
          </w:p>
        </w:tc>
      </w:tr>
    </w:tbl>
    <w:p>
      <w:pPr>
        <w:spacing w:after="0" w:line="248" w:lineRule="exact"/>
        <w:jc w:val="left"/>
        <w:rPr>
          <w:sz w:val="20"/>
        </w:rPr>
        <w:sectPr>
          <w:pgSz w:w="11910" w:h="16840"/>
          <w:pgMar w:header="0" w:footer="1040" w:top="1480" w:bottom="1240" w:left="1320" w:right="1320"/>
        </w:sect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1354"/>
        <w:gridCol w:w="1354"/>
        <w:gridCol w:w="4964"/>
      </w:tblGrid>
      <w:tr>
        <w:trPr>
          <w:trHeight w:val="835" w:hRule="atLeast"/>
        </w:trPr>
        <w:tc>
          <w:tcPr>
            <w:tcW w:w="1354" w:type="dxa"/>
          </w:tcPr>
          <w:p>
            <w:pPr>
              <w:pStyle w:val="TableParagraph"/>
              <w:spacing w:line="249" w:lineRule="auto" w:before="190"/>
              <w:ind w:left="120" w:right="186"/>
              <w:rPr>
                <w:sz w:val="20"/>
              </w:rPr>
            </w:pPr>
            <w:r>
              <w:rPr>
                <w:sz w:val="20"/>
              </w:rPr>
              <w:t>Respiratory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Toxicity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426"/>
              <w:rPr>
                <w:sz w:val="20"/>
              </w:rPr>
            </w:pPr>
            <w:r>
              <w:rPr>
                <w:sz w:val="20"/>
              </w:rPr>
              <w:t>0.629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5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A500"/>
                <w:sz w:val="20"/>
              </w:rPr>
              <w:t>●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376" w:val="left" w:leader="none"/>
              </w:tabs>
              <w:spacing w:line="235" w:lineRule="auto" w:before="61" w:after="0"/>
              <w:ind w:left="119" w:right="557" w:firstLine="0"/>
              <w:jc w:val="left"/>
              <w:rPr>
                <w:sz w:val="20"/>
              </w:rPr>
            </w:pPr>
            <w:r>
              <w:rPr>
                <w:sz w:val="20"/>
              </w:rPr>
              <w:t>Category 1: respiratory toxicants; Category 0: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respiratory nontoxicants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76" w:val="left" w:leader="none"/>
              </w:tabs>
              <w:spacing w:line="256" w:lineRule="exact" w:before="0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toxic.</w:t>
            </w:r>
          </w:p>
        </w:tc>
      </w:tr>
    </w:tbl>
    <w:p>
      <w:pPr>
        <w:pStyle w:val="BodyText"/>
        <w:spacing w:before="2"/>
        <w:rPr>
          <w:sz w:val="14"/>
        </w:rPr>
      </w:pPr>
      <w:r>
        <w:rPr/>
        <w:pict>
          <v:shape style="position:absolute;margin-left:45.528111pt;margin-top:467.114807pt;width:502.15pt;height:80pt;mso-position-horizontal-relative:page;mso-position-vertical-relative:page;z-index:-16489472;rotation:315" type="#_x0000_t136" fillcolor="#000000" stroked="f">
            <o:extrusion v:ext="view" autorotationcenter="t"/>
            <v:textpath style="font-family:&quot;Times New Roman&quot;;font-size:80pt;v-text-kern:t;mso-text-shadow:auto" string="ADMETlab 2.0"/>
            <w10:wrap type="none"/>
          </v:shape>
        </w:pic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91" w:after="0"/>
        <w:ind w:left="551" w:right="0" w:hanging="312"/>
        <w:jc w:val="left"/>
        <w:rPr>
          <w:b/>
          <w:sz w:val="28"/>
        </w:rPr>
      </w:pPr>
      <w:r>
        <w:rPr>
          <w:b/>
          <w:sz w:val="28"/>
        </w:rPr>
        <w:t>Environmental toxicity</w:t>
      </w: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5"/>
        <w:gridCol w:w="1354"/>
        <w:gridCol w:w="5867"/>
      </w:tblGrid>
      <w:tr>
        <w:trPr>
          <w:trHeight w:val="355" w:hRule="atLeast"/>
        </w:trPr>
        <w:tc>
          <w:tcPr>
            <w:tcW w:w="1805" w:type="dxa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Property</w:t>
            </w:r>
          </w:p>
        </w:tc>
        <w:tc>
          <w:tcPr>
            <w:tcW w:w="1354" w:type="dxa"/>
          </w:tcPr>
          <w:p>
            <w:pPr>
              <w:pStyle w:val="TableParagraph"/>
              <w:spacing w:before="71"/>
              <w:ind w:left="38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Value</w:t>
            </w:r>
          </w:p>
        </w:tc>
        <w:tc>
          <w:tcPr>
            <w:tcW w:w="5867" w:type="dxa"/>
          </w:tcPr>
          <w:p>
            <w:pPr>
              <w:pStyle w:val="TableParagraph"/>
              <w:spacing w:before="71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</w:t>
            </w:r>
          </w:p>
        </w:tc>
      </w:tr>
      <w:tr>
        <w:trPr>
          <w:trHeight w:val="1075" w:hRule="atLeast"/>
        </w:trPr>
        <w:tc>
          <w:tcPr>
            <w:tcW w:w="180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line="249" w:lineRule="auto" w:before="1"/>
              <w:ind w:left="120" w:right="170"/>
              <w:rPr>
                <w:sz w:val="20"/>
              </w:rPr>
            </w:pPr>
            <w:r>
              <w:rPr>
                <w:sz w:val="20"/>
              </w:rPr>
              <w:t>Bioconcentration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Factors</w:t>
            </w:r>
          </w:p>
        </w:tc>
        <w:tc>
          <w:tcPr>
            <w:tcW w:w="1354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7"/>
              <w:ind w:left="426"/>
              <w:rPr>
                <w:sz w:val="20"/>
              </w:rPr>
            </w:pPr>
            <w:r>
              <w:rPr>
                <w:sz w:val="20"/>
              </w:rPr>
              <w:t>0.412</w:t>
            </w:r>
          </w:p>
        </w:tc>
        <w:tc>
          <w:tcPr>
            <w:tcW w:w="5867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376" w:val="left" w:leader="none"/>
              </w:tabs>
              <w:spacing w:line="242" w:lineRule="auto" w:before="57" w:after="0"/>
              <w:ind w:left="119" w:right="136" w:firstLine="0"/>
              <w:jc w:val="both"/>
              <w:rPr>
                <w:sz w:val="20"/>
              </w:rPr>
            </w:pPr>
            <w:r>
              <w:rPr>
                <w:sz w:val="20"/>
              </w:rPr>
              <w:t>Bioconcentration factors are used for considering secondary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poisoning potential and assessing risks to human health via the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food chain.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76" w:val="left" w:leader="none"/>
              </w:tabs>
              <w:spacing w:line="253" w:lineRule="exact" w:before="0" w:after="0"/>
              <w:ind w:left="375" w:right="0" w:hanging="257"/>
              <w:jc w:val="both"/>
              <w:rPr>
                <w:sz w:val="20"/>
              </w:rPr>
            </w:pPr>
            <w:r>
              <w:rPr>
                <w:sz w:val="20"/>
              </w:rPr>
              <w:t>The unit is </w:t>
            </w:r>
            <w:r>
              <w:rPr>
                <w:rFonts w:ascii="Symbol" w:hAnsi="Symbol"/>
                <w:sz w:val="20"/>
              </w:rPr>
              <w:t></w:t>
            </w:r>
            <w:r>
              <w:rPr>
                <w:sz w:val="20"/>
              </w:rPr>
              <w:t>log10[(mg/L)/(1000*MW)]</w:t>
            </w:r>
          </w:p>
        </w:tc>
      </w:tr>
      <w:tr>
        <w:trPr>
          <w:trHeight w:val="835" w:hRule="atLeast"/>
        </w:trPr>
        <w:tc>
          <w:tcPr>
            <w:tcW w:w="180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sz w:val="20"/>
              </w:rPr>
              <w:t>IGC</w:t>
            </w:r>
            <w:r>
              <w:rPr>
                <w:position w:val="-9"/>
                <w:sz w:val="16"/>
              </w:rPr>
              <w:t>50</w:t>
            </w:r>
          </w:p>
        </w:tc>
        <w:tc>
          <w:tcPr>
            <w:tcW w:w="1354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426"/>
              <w:rPr>
                <w:sz w:val="20"/>
              </w:rPr>
            </w:pPr>
            <w:r>
              <w:rPr>
                <w:sz w:val="20"/>
              </w:rPr>
              <w:t>2.885</w:t>
            </w:r>
          </w:p>
        </w:tc>
        <w:tc>
          <w:tcPr>
            <w:tcW w:w="5867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376" w:val="left" w:leader="none"/>
              </w:tabs>
              <w:spacing w:line="235" w:lineRule="auto" w:before="61" w:after="0"/>
              <w:ind w:left="119" w:right="882" w:firstLine="0"/>
              <w:jc w:val="left"/>
              <w:rPr>
                <w:sz w:val="20"/>
              </w:rPr>
            </w:pPr>
            <w:r>
              <w:rPr>
                <w:sz w:val="20"/>
              </w:rPr>
              <w:t>Tetrahymena pyriformis 50 percent growth inhibition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concentration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76" w:val="left" w:leader="none"/>
              </w:tabs>
              <w:spacing w:line="256" w:lineRule="exact" w:before="0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The unit is </w:t>
            </w:r>
            <w:r>
              <w:rPr>
                <w:rFonts w:ascii="Symbol" w:hAnsi="Symbol"/>
                <w:sz w:val="20"/>
              </w:rPr>
              <w:t></w:t>
            </w:r>
            <w:r>
              <w:rPr>
                <w:sz w:val="20"/>
              </w:rPr>
              <w:t>log10[(mg/L)/(1000*MW)]</w:t>
            </w:r>
          </w:p>
        </w:tc>
      </w:tr>
      <w:tr>
        <w:trPr>
          <w:trHeight w:val="595" w:hRule="atLeast"/>
        </w:trPr>
        <w:tc>
          <w:tcPr>
            <w:tcW w:w="1805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LC</w:t>
            </w:r>
            <w:r>
              <w:rPr>
                <w:position w:val="-9"/>
                <w:sz w:val="16"/>
              </w:rPr>
              <w:t>50</w:t>
            </w:r>
            <w:r>
              <w:rPr>
                <w:sz w:val="20"/>
              </w:rPr>
              <w:t>FM</w:t>
            </w:r>
          </w:p>
        </w:tc>
        <w:tc>
          <w:tcPr>
            <w:tcW w:w="1354" w:type="dxa"/>
          </w:tcPr>
          <w:p>
            <w:pPr>
              <w:pStyle w:val="TableParagraph"/>
              <w:spacing w:before="190"/>
              <w:ind w:left="426"/>
              <w:rPr>
                <w:sz w:val="20"/>
              </w:rPr>
            </w:pPr>
            <w:r>
              <w:rPr>
                <w:sz w:val="20"/>
              </w:rPr>
              <w:t>4.323</w:t>
            </w:r>
          </w:p>
        </w:tc>
        <w:tc>
          <w:tcPr>
            <w:tcW w:w="5867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96-hour fathead minnow 50 percent lethal concentration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376" w:val="left" w:leader="none"/>
              </w:tabs>
              <w:spacing w:line="249" w:lineRule="exact" w:before="0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The unit is </w:t>
            </w:r>
            <w:r>
              <w:rPr>
                <w:rFonts w:ascii="Symbol" w:hAnsi="Symbol"/>
                <w:sz w:val="20"/>
              </w:rPr>
              <w:t></w:t>
            </w:r>
            <w:r>
              <w:rPr>
                <w:sz w:val="20"/>
              </w:rPr>
              <w:t>log10[(mg/L)/(1000*MW)]</w:t>
            </w:r>
          </w:p>
        </w:tc>
      </w:tr>
      <w:tr>
        <w:trPr>
          <w:trHeight w:val="595" w:hRule="atLeast"/>
        </w:trPr>
        <w:tc>
          <w:tcPr>
            <w:tcW w:w="1805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LC</w:t>
            </w:r>
            <w:r>
              <w:rPr>
                <w:position w:val="-9"/>
                <w:sz w:val="16"/>
              </w:rPr>
              <w:t>50</w:t>
            </w:r>
            <w:r>
              <w:rPr>
                <w:sz w:val="20"/>
              </w:rPr>
              <w:t>DM</w:t>
            </w:r>
          </w:p>
        </w:tc>
        <w:tc>
          <w:tcPr>
            <w:tcW w:w="1354" w:type="dxa"/>
          </w:tcPr>
          <w:p>
            <w:pPr>
              <w:pStyle w:val="TableParagraph"/>
              <w:spacing w:before="190"/>
              <w:ind w:left="426"/>
              <w:rPr>
                <w:sz w:val="20"/>
              </w:rPr>
            </w:pPr>
            <w:r>
              <w:rPr>
                <w:sz w:val="20"/>
              </w:rPr>
              <w:t>3.417</w:t>
            </w:r>
          </w:p>
        </w:tc>
        <w:tc>
          <w:tcPr>
            <w:tcW w:w="5867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48-hour daphnia magna 50 percent lethal concentration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76" w:val="left" w:leader="none"/>
              </w:tabs>
              <w:spacing w:line="249" w:lineRule="exact" w:before="0" w:after="0"/>
              <w:ind w:left="375" w:right="0" w:hanging="257"/>
              <w:jc w:val="left"/>
              <w:rPr>
                <w:sz w:val="20"/>
              </w:rPr>
            </w:pPr>
            <w:r>
              <w:rPr>
                <w:sz w:val="20"/>
              </w:rPr>
              <w:t>The unit is </w:t>
            </w:r>
            <w:r>
              <w:rPr>
                <w:rFonts w:ascii="Symbol" w:hAnsi="Symbol"/>
                <w:sz w:val="20"/>
              </w:rPr>
              <w:t></w:t>
            </w:r>
            <w:r>
              <w:rPr>
                <w:sz w:val="20"/>
              </w:rPr>
              <w:t>log10[(mg/L)/(1000*MW)]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255" w:after="0"/>
        <w:ind w:left="551" w:right="0" w:hanging="312"/>
        <w:jc w:val="left"/>
        <w:rPr>
          <w:b/>
          <w:sz w:val="28"/>
        </w:rPr>
      </w:pPr>
      <w:r>
        <w:rPr>
          <w:b/>
          <w:sz w:val="28"/>
        </w:rPr>
        <w:t>Tox21 pathway</w:t>
      </w: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5"/>
        <w:gridCol w:w="1083"/>
        <w:gridCol w:w="1263"/>
        <w:gridCol w:w="5054"/>
      </w:tblGrid>
      <w:tr>
        <w:trPr>
          <w:trHeight w:val="355" w:hRule="atLeast"/>
        </w:trPr>
        <w:tc>
          <w:tcPr>
            <w:tcW w:w="1625" w:type="dxa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Property</w:t>
            </w:r>
          </w:p>
        </w:tc>
        <w:tc>
          <w:tcPr>
            <w:tcW w:w="1083" w:type="dxa"/>
          </w:tcPr>
          <w:p>
            <w:pPr>
              <w:pStyle w:val="TableParagraph"/>
              <w:spacing w:before="71"/>
              <w:ind w:left="2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Value</w:t>
            </w:r>
          </w:p>
        </w:tc>
        <w:tc>
          <w:tcPr>
            <w:tcW w:w="1263" w:type="dxa"/>
          </w:tcPr>
          <w:p>
            <w:pPr>
              <w:pStyle w:val="TableParagraph"/>
              <w:spacing w:before="71"/>
              <w:ind w:left="152" w:right="14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Decision</w:t>
            </w:r>
          </w:p>
        </w:tc>
        <w:tc>
          <w:tcPr>
            <w:tcW w:w="5054" w:type="dxa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</w:t>
            </w:r>
          </w:p>
        </w:tc>
      </w:tr>
      <w:tr>
        <w:trPr>
          <w:trHeight w:val="835" w:hRule="atLeast"/>
        </w:trPr>
        <w:tc>
          <w:tcPr>
            <w:tcW w:w="162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NR-AR</w:t>
            </w:r>
          </w:p>
        </w:tc>
        <w:tc>
          <w:tcPr>
            <w:tcW w:w="108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z w:val="20"/>
              </w:rPr>
              <w:t>0.004</w:t>
            </w:r>
          </w:p>
        </w:tc>
        <w:tc>
          <w:tcPr>
            <w:tcW w:w="126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6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5054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Androgen receptor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76" w:val="left" w:leader="none"/>
              </w:tabs>
              <w:spacing w:line="240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actives ; Category 0: inactives;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active.</w:t>
            </w:r>
          </w:p>
        </w:tc>
      </w:tr>
      <w:tr>
        <w:trPr>
          <w:trHeight w:val="835" w:hRule="atLeast"/>
        </w:trPr>
        <w:tc>
          <w:tcPr>
            <w:tcW w:w="162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NR-AR-LBD</w:t>
            </w:r>
          </w:p>
        </w:tc>
        <w:tc>
          <w:tcPr>
            <w:tcW w:w="108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z w:val="20"/>
              </w:rPr>
              <w:t>0.008</w:t>
            </w:r>
          </w:p>
        </w:tc>
        <w:tc>
          <w:tcPr>
            <w:tcW w:w="126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6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5054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Androgen receptor ligand-binding domain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76" w:val="left" w:leader="none"/>
              </w:tabs>
              <w:spacing w:line="240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actives ; Category 0: inactives;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active.</w:t>
            </w:r>
          </w:p>
        </w:tc>
      </w:tr>
      <w:tr>
        <w:trPr>
          <w:trHeight w:val="835" w:hRule="atLeast"/>
        </w:trPr>
        <w:tc>
          <w:tcPr>
            <w:tcW w:w="162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NR-AhR</w:t>
            </w:r>
          </w:p>
        </w:tc>
        <w:tc>
          <w:tcPr>
            <w:tcW w:w="108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z w:val="20"/>
              </w:rPr>
              <w:t>0.656</w:t>
            </w:r>
          </w:p>
        </w:tc>
        <w:tc>
          <w:tcPr>
            <w:tcW w:w="126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6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A500"/>
                <w:sz w:val="20"/>
              </w:rPr>
              <w:t>●</w:t>
            </w:r>
          </w:p>
        </w:tc>
        <w:tc>
          <w:tcPr>
            <w:tcW w:w="5054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Aryl hydrocarbon receptor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76" w:val="left" w:leader="none"/>
              </w:tabs>
              <w:spacing w:line="240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actives ; Category 0: inactives;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active.</w:t>
            </w:r>
          </w:p>
        </w:tc>
      </w:tr>
      <w:tr>
        <w:trPr>
          <w:trHeight w:val="595" w:hRule="atLeast"/>
        </w:trPr>
        <w:tc>
          <w:tcPr>
            <w:tcW w:w="1625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NR-Aromatase</w:t>
            </w:r>
          </w:p>
        </w:tc>
        <w:tc>
          <w:tcPr>
            <w:tcW w:w="1083" w:type="dxa"/>
          </w:tcPr>
          <w:p>
            <w:pPr>
              <w:pStyle w:val="TableParagraph"/>
              <w:spacing w:before="190"/>
              <w:ind w:left="290"/>
              <w:rPr>
                <w:sz w:val="20"/>
              </w:rPr>
            </w:pPr>
            <w:r>
              <w:rPr>
                <w:sz w:val="20"/>
              </w:rPr>
              <w:t>0.759</w:t>
            </w:r>
          </w:p>
        </w:tc>
        <w:tc>
          <w:tcPr>
            <w:tcW w:w="1263" w:type="dxa"/>
          </w:tcPr>
          <w:p>
            <w:pPr>
              <w:pStyle w:val="TableParagraph"/>
              <w:spacing w:before="177"/>
              <w:ind w:left="46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0000"/>
                <w:sz w:val="20"/>
              </w:rPr>
              <w:t>●</w:t>
            </w:r>
          </w:p>
        </w:tc>
        <w:tc>
          <w:tcPr>
            <w:tcW w:w="5054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actives ; Category 0: inactives;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active.</w:t>
            </w:r>
          </w:p>
        </w:tc>
      </w:tr>
      <w:tr>
        <w:trPr>
          <w:trHeight w:val="835" w:hRule="atLeast"/>
        </w:trPr>
        <w:tc>
          <w:tcPr>
            <w:tcW w:w="162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NR-ER</w:t>
            </w:r>
          </w:p>
        </w:tc>
        <w:tc>
          <w:tcPr>
            <w:tcW w:w="108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z w:val="20"/>
              </w:rPr>
              <w:t>0.436</w:t>
            </w:r>
          </w:p>
        </w:tc>
        <w:tc>
          <w:tcPr>
            <w:tcW w:w="126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6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A500"/>
                <w:sz w:val="20"/>
              </w:rPr>
              <w:t>●</w:t>
            </w:r>
          </w:p>
        </w:tc>
        <w:tc>
          <w:tcPr>
            <w:tcW w:w="5054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Estrogen receptor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76" w:val="left" w:leader="none"/>
              </w:tabs>
              <w:spacing w:line="240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actives ; Category 0: inactives;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active.</w:t>
            </w:r>
          </w:p>
        </w:tc>
      </w:tr>
      <w:tr>
        <w:trPr>
          <w:trHeight w:val="835" w:hRule="atLeast"/>
        </w:trPr>
        <w:tc>
          <w:tcPr>
            <w:tcW w:w="162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NR-ER-LBD</w:t>
            </w:r>
          </w:p>
        </w:tc>
        <w:tc>
          <w:tcPr>
            <w:tcW w:w="108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z w:val="20"/>
              </w:rPr>
              <w:t>0.005</w:t>
            </w:r>
          </w:p>
        </w:tc>
        <w:tc>
          <w:tcPr>
            <w:tcW w:w="126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6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5054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Estrogen receptor ligand-binding domain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76" w:val="left" w:leader="none"/>
              </w:tabs>
              <w:spacing w:line="240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actives ; Category 0: inactives;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active.</w:t>
            </w:r>
          </w:p>
        </w:tc>
      </w:tr>
      <w:tr>
        <w:trPr>
          <w:trHeight w:val="835" w:hRule="atLeast"/>
        </w:trPr>
        <w:tc>
          <w:tcPr>
            <w:tcW w:w="1625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NR-PPAR-</w:t>
            </w:r>
          </w:p>
          <w:p>
            <w:pPr>
              <w:pStyle w:val="TableParagraph"/>
              <w:spacing w:before="10"/>
              <w:ind w:left="120"/>
              <w:rPr>
                <w:sz w:val="20"/>
              </w:rPr>
            </w:pPr>
            <w:r>
              <w:rPr>
                <w:sz w:val="20"/>
              </w:rPr>
              <w:t>gamma</w:t>
            </w:r>
          </w:p>
        </w:tc>
        <w:tc>
          <w:tcPr>
            <w:tcW w:w="108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z w:val="20"/>
              </w:rPr>
              <w:t>0.006</w:t>
            </w:r>
          </w:p>
        </w:tc>
        <w:tc>
          <w:tcPr>
            <w:tcW w:w="126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6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5054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Peroxisome proliferator-activated receptor gamma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76" w:val="left" w:leader="none"/>
              </w:tabs>
              <w:spacing w:line="240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actives ; Category 0: inactives;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active.</w:t>
            </w:r>
          </w:p>
        </w:tc>
      </w:tr>
      <w:tr>
        <w:trPr>
          <w:trHeight w:val="835" w:hRule="atLeast"/>
        </w:trPr>
        <w:tc>
          <w:tcPr>
            <w:tcW w:w="162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SR-ARE</w:t>
            </w:r>
          </w:p>
        </w:tc>
        <w:tc>
          <w:tcPr>
            <w:tcW w:w="108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z w:val="20"/>
              </w:rPr>
              <w:t>0.899</w:t>
            </w:r>
          </w:p>
        </w:tc>
        <w:tc>
          <w:tcPr>
            <w:tcW w:w="126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6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0000"/>
                <w:sz w:val="20"/>
              </w:rPr>
              <w:t>●</w:t>
            </w:r>
          </w:p>
        </w:tc>
        <w:tc>
          <w:tcPr>
            <w:tcW w:w="5054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Antioxidant response element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76" w:val="left" w:leader="none"/>
              </w:tabs>
              <w:spacing w:line="240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actives ; Category 0: inactives;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active.</w:t>
            </w:r>
          </w:p>
        </w:tc>
      </w:tr>
      <w:tr>
        <w:trPr>
          <w:trHeight w:val="834" w:hRule="atLeast"/>
        </w:trPr>
        <w:tc>
          <w:tcPr>
            <w:tcW w:w="162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SR-ATAD5</w:t>
            </w:r>
          </w:p>
        </w:tc>
        <w:tc>
          <w:tcPr>
            <w:tcW w:w="108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z w:val="20"/>
              </w:rPr>
              <w:t>0.062</w:t>
            </w:r>
          </w:p>
        </w:tc>
        <w:tc>
          <w:tcPr>
            <w:tcW w:w="126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6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5054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ATPase family AAA domain-containing protein 5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76" w:val="left" w:leader="none"/>
              </w:tabs>
              <w:spacing w:line="240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actives ; Category 0: inactives;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active.</w:t>
            </w:r>
          </w:p>
        </w:tc>
      </w:tr>
    </w:tbl>
    <w:p>
      <w:pPr>
        <w:spacing w:after="0" w:line="248" w:lineRule="exact"/>
        <w:jc w:val="left"/>
        <w:rPr>
          <w:sz w:val="20"/>
        </w:rPr>
        <w:sectPr>
          <w:pgSz w:w="11910" w:h="16840"/>
          <w:pgMar w:header="0" w:footer="1040" w:top="1540" w:bottom="1240" w:left="1320" w:right="1320"/>
        </w:sect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5"/>
        <w:gridCol w:w="1083"/>
        <w:gridCol w:w="1263"/>
        <w:gridCol w:w="5054"/>
      </w:tblGrid>
      <w:tr>
        <w:trPr>
          <w:trHeight w:val="835" w:hRule="atLeast"/>
        </w:trPr>
        <w:tc>
          <w:tcPr>
            <w:tcW w:w="162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SR-HSE</w:t>
            </w:r>
          </w:p>
        </w:tc>
        <w:tc>
          <w:tcPr>
            <w:tcW w:w="108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270" w:right="266"/>
              <w:jc w:val="center"/>
              <w:rPr>
                <w:sz w:val="20"/>
              </w:rPr>
            </w:pPr>
            <w:r>
              <w:rPr>
                <w:sz w:val="20"/>
              </w:rPr>
              <w:t>0.164</w:t>
            </w:r>
          </w:p>
        </w:tc>
        <w:tc>
          <w:tcPr>
            <w:tcW w:w="126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6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008000"/>
                <w:sz w:val="20"/>
              </w:rPr>
              <w:t>●</w:t>
            </w:r>
          </w:p>
        </w:tc>
        <w:tc>
          <w:tcPr>
            <w:tcW w:w="5054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Heat shock factor response element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76" w:val="left" w:leader="none"/>
              </w:tabs>
              <w:spacing w:line="240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actives ; Category 0: inactives;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active.</w:t>
            </w:r>
          </w:p>
        </w:tc>
      </w:tr>
      <w:tr>
        <w:trPr>
          <w:trHeight w:val="835" w:hRule="atLeast"/>
        </w:trPr>
        <w:tc>
          <w:tcPr>
            <w:tcW w:w="162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SR-MMP</w:t>
            </w:r>
          </w:p>
        </w:tc>
        <w:tc>
          <w:tcPr>
            <w:tcW w:w="108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270" w:right="266"/>
              <w:jc w:val="center"/>
              <w:rPr>
                <w:sz w:val="20"/>
              </w:rPr>
            </w:pPr>
            <w:r>
              <w:rPr>
                <w:sz w:val="20"/>
              </w:rPr>
              <w:t>0.86</w:t>
            </w:r>
          </w:p>
        </w:tc>
        <w:tc>
          <w:tcPr>
            <w:tcW w:w="1263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>
            <w:pPr>
              <w:pStyle w:val="TableParagraph"/>
              <w:ind w:left="46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0000"/>
                <w:sz w:val="20"/>
              </w:rPr>
              <w:t>●</w:t>
            </w:r>
          </w:p>
        </w:tc>
        <w:tc>
          <w:tcPr>
            <w:tcW w:w="5054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Mitochondrial membrane potential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76" w:val="left" w:leader="none"/>
              </w:tabs>
              <w:spacing w:line="240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actives ; Category 0: inactives;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active.</w:t>
            </w:r>
          </w:p>
        </w:tc>
      </w:tr>
      <w:tr>
        <w:trPr>
          <w:trHeight w:val="595" w:hRule="atLeast"/>
        </w:trPr>
        <w:tc>
          <w:tcPr>
            <w:tcW w:w="1625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SR-p53</w:t>
            </w:r>
          </w:p>
        </w:tc>
        <w:tc>
          <w:tcPr>
            <w:tcW w:w="1083" w:type="dxa"/>
          </w:tcPr>
          <w:p>
            <w:pPr>
              <w:pStyle w:val="TableParagraph"/>
              <w:spacing w:before="190"/>
              <w:ind w:left="270" w:right="266"/>
              <w:jc w:val="center"/>
              <w:rPr>
                <w:sz w:val="20"/>
              </w:rPr>
            </w:pPr>
            <w:r>
              <w:rPr>
                <w:sz w:val="20"/>
              </w:rPr>
              <w:t>0.884</w:t>
            </w:r>
          </w:p>
        </w:tc>
        <w:tc>
          <w:tcPr>
            <w:tcW w:w="1263" w:type="dxa"/>
          </w:tcPr>
          <w:p>
            <w:pPr>
              <w:pStyle w:val="TableParagraph"/>
              <w:spacing w:before="177"/>
              <w:ind w:left="46"/>
              <w:jc w:val="center"/>
              <w:rPr>
                <w:rFonts w:ascii="MS UI Gothic" w:hAnsi="MS UI Gothic"/>
                <w:sz w:val="20"/>
              </w:rPr>
            </w:pPr>
            <w:r>
              <w:rPr>
                <w:rFonts w:ascii="MS UI Gothic" w:hAnsi="MS UI Gothic"/>
                <w:color w:val="FF0000"/>
                <w:sz w:val="20"/>
              </w:rPr>
              <w:t>●</w:t>
            </w:r>
          </w:p>
        </w:tc>
        <w:tc>
          <w:tcPr>
            <w:tcW w:w="5054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376" w:val="left" w:leader="none"/>
              </w:tabs>
              <w:spacing w:line="248" w:lineRule="exact" w:before="57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Category 1: actives ; Category 0: inactives;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76" w:val="left" w:leader="none"/>
              </w:tabs>
              <w:spacing w:line="248" w:lineRule="exact" w:before="0" w:after="0"/>
              <w:ind w:left="375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The output value is the probability of being active.</w:t>
            </w:r>
          </w:p>
        </w:tc>
      </w:tr>
    </w:tbl>
    <w:p>
      <w:pPr>
        <w:pStyle w:val="BodyText"/>
        <w:spacing w:before="2"/>
        <w:rPr>
          <w:sz w:val="14"/>
        </w:rPr>
      </w:pPr>
      <w:r>
        <w:rPr/>
        <w:pict>
          <v:shape style="position:absolute;margin-left:45.528111pt;margin-top:467.114807pt;width:502.15pt;height:80pt;mso-position-horizontal-relative:page;mso-position-vertical-relative:page;z-index:-16488960;rotation:315" type="#_x0000_t136" fillcolor="#000000" stroked="f">
            <o:extrusion v:ext="view" autorotationcenter="t"/>
            <v:textpath style="font-family:&quot;Times New Roman&quot;;font-size:80pt;v-text-kern:t;mso-text-shadow:auto" string="ADMETlab 2.0"/>
            <w10:wrap type="none"/>
          </v:shape>
        </w:pic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91" w:after="0"/>
        <w:ind w:left="707" w:right="0" w:hanging="468"/>
        <w:jc w:val="left"/>
        <w:rPr>
          <w:b/>
          <w:sz w:val="28"/>
        </w:rPr>
      </w:pPr>
      <w:r>
        <w:rPr>
          <w:b/>
          <w:sz w:val="28"/>
        </w:rPr>
        <w:t>Toxicophore Rules</w:t>
      </w: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6"/>
        <w:gridCol w:w="1625"/>
        <w:gridCol w:w="5416"/>
      </w:tblGrid>
      <w:tr>
        <w:trPr>
          <w:trHeight w:val="355" w:hRule="atLeast"/>
        </w:trPr>
        <w:tc>
          <w:tcPr>
            <w:tcW w:w="1986" w:type="dxa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Property</w:t>
            </w:r>
          </w:p>
        </w:tc>
        <w:tc>
          <w:tcPr>
            <w:tcW w:w="1625" w:type="dxa"/>
          </w:tcPr>
          <w:p>
            <w:pPr>
              <w:pStyle w:val="TableParagraph"/>
              <w:spacing w:before="71"/>
              <w:ind w:left="463" w:right="46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Value</w:t>
            </w:r>
          </w:p>
        </w:tc>
        <w:tc>
          <w:tcPr>
            <w:tcW w:w="5416" w:type="dxa"/>
          </w:tcPr>
          <w:p>
            <w:pPr>
              <w:pStyle w:val="TableParagraph"/>
              <w:spacing w:before="71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</w:t>
            </w:r>
          </w:p>
        </w:tc>
      </w:tr>
      <w:tr>
        <w:trPr>
          <w:trHeight w:val="595" w:hRule="atLeast"/>
        </w:trPr>
        <w:tc>
          <w:tcPr>
            <w:tcW w:w="1986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Acute Toxicity Rule</w:t>
            </w:r>
          </w:p>
        </w:tc>
        <w:tc>
          <w:tcPr>
            <w:tcW w:w="1625" w:type="dxa"/>
          </w:tcPr>
          <w:p>
            <w:pPr>
              <w:pStyle w:val="TableParagraph"/>
              <w:spacing w:before="190"/>
              <w:ind w:left="463" w:right="460"/>
              <w:jc w:val="center"/>
              <w:rPr>
                <w:sz w:val="20"/>
              </w:rPr>
            </w:pPr>
            <w:r>
              <w:rPr>
                <w:sz w:val="20"/>
              </w:rPr>
              <w:t>0 alerts</w:t>
            </w:r>
          </w:p>
        </w:tc>
        <w:tc>
          <w:tcPr>
            <w:tcW w:w="5416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375" w:val="left" w:leader="none"/>
              </w:tabs>
              <w:spacing w:line="248" w:lineRule="exact" w:before="57" w:after="0"/>
              <w:ind w:left="374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20 substructures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75" w:val="left" w:leader="none"/>
              </w:tabs>
              <w:spacing w:line="248" w:lineRule="exact" w:before="0" w:after="0"/>
              <w:ind w:left="374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acute toxicity during oral administration</w:t>
            </w:r>
          </w:p>
        </w:tc>
      </w:tr>
      <w:tr>
        <w:trPr>
          <w:trHeight w:val="835" w:hRule="atLeast"/>
        </w:trPr>
        <w:tc>
          <w:tcPr>
            <w:tcW w:w="1986" w:type="dxa"/>
          </w:tcPr>
          <w:p>
            <w:pPr>
              <w:pStyle w:val="TableParagraph"/>
              <w:spacing w:line="249" w:lineRule="auto" w:before="70"/>
              <w:ind w:left="120" w:right="473"/>
              <w:rPr>
                <w:sz w:val="20"/>
              </w:rPr>
            </w:pPr>
            <w:r>
              <w:rPr>
                <w:sz w:val="20"/>
              </w:rPr>
              <w:t>Genotoxic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Carcinogenicity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Rule</w:t>
            </w:r>
          </w:p>
        </w:tc>
        <w:tc>
          <w:tcPr>
            <w:tcW w:w="162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463" w:right="460"/>
              <w:jc w:val="center"/>
              <w:rPr>
                <w:sz w:val="20"/>
              </w:rPr>
            </w:pPr>
            <w:r>
              <w:rPr>
                <w:sz w:val="20"/>
              </w:rPr>
              <w:t>0 alerts</w:t>
            </w:r>
          </w:p>
        </w:tc>
        <w:tc>
          <w:tcPr>
            <w:tcW w:w="5416" w:type="dx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375" w:val="left" w:leader="none"/>
              </w:tabs>
              <w:spacing w:line="248" w:lineRule="exact" w:before="177" w:after="0"/>
              <w:ind w:left="374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117 substructures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75" w:val="left" w:leader="none"/>
              </w:tabs>
              <w:spacing w:line="248" w:lineRule="exact" w:before="0" w:after="0"/>
              <w:ind w:left="374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carcinogenicity or mutagenicity</w:t>
            </w:r>
          </w:p>
        </w:tc>
      </w:tr>
      <w:tr>
        <w:trPr>
          <w:trHeight w:val="835" w:hRule="atLeast"/>
        </w:trPr>
        <w:tc>
          <w:tcPr>
            <w:tcW w:w="1986" w:type="dxa"/>
          </w:tcPr>
          <w:p>
            <w:pPr>
              <w:pStyle w:val="TableParagraph"/>
              <w:spacing w:line="249" w:lineRule="auto" w:before="70"/>
              <w:ind w:left="120" w:right="473"/>
              <w:rPr>
                <w:sz w:val="20"/>
              </w:rPr>
            </w:pPr>
            <w:r>
              <w:rPr>
                <w:sz w:val="20"/>
              </w:rPr>
              <w:t>NonGenotoxic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Carcinogenicity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Rule</w:t>
            </w:r>
          </w:p>
        </w:tc>
        <w:tc>
          <w:tcPr>
            <w:tcW w:w="162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1"/>
              <w:ind w:left="463" w:right="460"/>
              <w:jc w:val="center"/>
              <w:rPr>
                <w:sz w:val="20"/>
              </w:rPr>
            </w:pPr>
            <w:r>
              <w:rPr>
                <w:sz w:val="20"/>
              </w:rPr>
              <w:t>1 alerts</w:t>
            </w:r>
          </w:p>
        </w:tc>
        <w:tc>
          <w:tcPr>
            <w:tcW w:w="5416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375" w:val="left" w:leader="none"/>
              </w:tabs>
              <w:spacing w:line="248" w:lineRule="exact" w:before="177" w:after="0"/>
              <w:ind w:left="374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23 substructures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75" w:val="left" w:leader="none"/>
              </w:tabs>
              <w:spacing w:line="248" w:lineRule="exact" w:before="0" w:after="0"/>
              <w:ind w:left="374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carcinogenicity through nongenotoxic mechanisms</w:t>
            </w:r>
          </w:p>
        </w:tc>
      </w:tr>
      <w:tr>
        <w:trPr>
          <w:trHeight w:val="595" w:hRule="atLeast"/>
        </w:trPr>
        <w:tc>
          <w:tcPr>
            <w:tcW w:w="1986" w:type="dxa"/>
          </w:tcPr>
          <w:p>
            <w:pPr>
              <w:pStyle w:val="TableParagraph"/>
              <w:spacing w:line="249" w:lineRule="auto" w:before="70"/>
              <w:ind w:left="120" w:right="262"/>
              <w:rPr>
                <w:sz w:val="20"/>
              </w:rPr>
            </w:pPr>
            <w:r>
              <w:rPr>
                <w:sz w:val="20"/>
              </w:rPr>
              <w:t>Skin Sensitization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Rule</w:t>
            </w:r>
          </w:p>
        </w:tc>
        <w:tc>
          <w:tcPr>
            <w:tcW w:w="1625" w:type="dxa"/>
          </w:tcPr>
          <w:p>
            <w:pPr>
              <w:pStyle w:val="TableParagraph"/>
              <w:spacing w:before="190"/>
              <w:ind w:left="463" w:right="460"/>
              <w:jc w:val="center"/>
              <w:rPr>
                <w:sz w:val="20"/>
              </w:rPr>
            </w:pPr>
            <w:r>
              <w:rPr>
                <w:sz w:val="20"/>
              </w:rPr>
              <w:t>5 alerts</w:t>
            </w:r>
          </w:p>
        </w:tc>
        <w:tc>
          <w:tcPr>
            <w:tcW w:w="5416" w:type="dxa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375" w:val="left" w:leader="none"/>
              </w:tabs>
              <w:spacing w:line="248" w:lineRule="exact" w:before="57" w:after="0"/>
              <w:ind w:left="374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155 substructures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375" w:val="left" w:leader="none"/>
              </w:tabs>
              <w:spacing w:line="248" w:lineRule="exact" w:before="0" w:after="0"/>
              <w:ind w:left="374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skin irritation</w:t>
            </w:r>
          </w:p>
        </w:tc>
      </w:tr>
      <w:tr>
        <w:trPr>
          <w:trHeight w:val="595" w:hRule="atLeast"/>
        </w:trPr>
        <w:tc>
          <w:tcPr>
            <w:tcW w:w="1986" w:type="dxa"/>
          </w:tcPr>
          <w:p>
            <w:pPr>
              <w:pStyle w:val="TableParagraph"/>
              <w:spacing w:line="249" w:lineRule="auto" w:before="70"/>
              <w:ind w:left="120" w:right="440"/>
              <w:rPr>
                <w:sz w:val="20"/>
              </w:rPr>
            </w:pPr>
            <w:r>
              <w:rPr>
                <w:sz w:val="20"/>
              </w:rPr>
              <w:t>Aquatic Toxicity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Rule</w:t>
            </w:r>
          </w:p>
        </w:tc>
        <w:tc>
          <w:tcPr>
            <w:tcW w:w="1625" w:type="dxa"/>
          </w:tcPr>
          <w:p>
            <w:pPr>
              <w:pStyle w:val="TableParagraph"/>
              <w:spacing w:before="190"/>
              <w:ind w:left="463" w:right="460"/>
              <w:jc w:val="center"/>
              <w:rPr>
                <w:sz w:val="20"/>
              </w:rPr>
            </w:pPr>
            <w:r>
              <w:rPr>
                <w:sz w:val="20"/>
              </w:rPr>
              <w:t>0 alerts</w:t>
            </w:r>
          </w:p>
        </w:tc>
        <w:tc>
          <w:tcPr>
            <w:tcW w:w="5416" w:type="dxa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375" w:val="left" w:leader="none"/>
              </w:tabs>
              <w:spacing w:line="248" w:lineRule="exact" w:before="57" w:after="0"/>
              <w:ind w:left="374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99 substructures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75" w:val="left" w:leader="none"/>
              </w:tabs>
              <w:spacing w:line="248" w:lineRule="exact" w:before="0" w:after="0"/>
              <w:ind w:left="374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toxicity to liquid(water)</w:t>
            </w:r>
          </w:p>
        </w:tc>
      </w:tr>
      <w:tr>
        <w:trPr>
          <w:trHeight w:val="595" w:hRule="atLeast"/>
        </w:trPr>
        <w:tc>
          <w:tcPr>
            <w:tcW w:w="1986" w:type="dxa"/>
          </w:tcPr>
          <w:p>
            <w:pPr>
              <w:pStyle w:val="TableParagraph"/>
              <w:spacing w:line="249" w:lineRule="auto" w:before="70"/>
              <w:ind w:left="120" w:right="184"/>
              <w:rPr>
                <w:sz w:val="20"/>
              </w:rPr>
            </w:pPr>
            <w:r>
              <w:rPr>
                <w:sz w:val="20"/>
              </w:rPr>
              <w:t>NonBiodegradable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Rule</w:t>
            </w:r>
          </w:p>
        </w:tc>
        <w:tc>
          <w:tcPr>
            <w:tcW w:w="1625" w:type="dxa"/>
          </w:tcPr>
          <w:p>
            <w:pPr>
              <w:pStyle w:val="TableParagraph"/>
              <w:spacing w:before="190"/>
              <w:ind w:left="463" w:right="460"/>
              <w:jc w:val="center"/>
              <w:rPr>
                <w:sz w:val="20"/>
              </w:rPr>
            </w:pPr>
            <w:r>
              <w:rPr>
                <w:sz w:val="20"/>
              </w:rPr>
              <w:t>1 alerts</w:t>
            </w:r>
          </w:p>
        </w:tc>
        <w:tc>
          <w:tcPr>
            <w:tcW w:w="5416" w:type="dxa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375" w:val="left" w:leader="none"/>
              </w:tabs>
              <w:spacing w:line="248" w:lineRule="exact" w:before="57" w:after="0"/>
              <w:ind w:left="374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19 substructures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75" w:val="left" w:leader="none"/>
              </w:tabs>
              <w:spacing w:line="248" w:lineRule="exact" w:before="0" w:after="0"/>
              <w:ind w:left="374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non-biodegradable</w:t>
            </w:r>
          </w:p>
        </w:tc>
      </w:tr>
      <w:tr>
        <w:trPr>
          <w:trHeight w:val="595" w:hRule="atLeast"/>
        </w:trPr>
        <w:tc>
          <w:tcPr>
            <w:tcW w:w="1986" w:type="dxa"/>
          </w:tcPr>
          <w:p>
            <w:pPr>
              <w:pStyle w:val="TableParagraph"/>
              <w:spacing w:before="190"/>
              <w:ind w:left="120"/>
              <w:rPr>
                <w:sz w:val="20"/>
              </w:rPr>
            </w:pPr>
            <w:r>
              <w:rPr>
                <w:sz w:val="20"/>
              </w:rPr>
              <w:t>SureChEMBL Rule</w:t>
            </w:r>
          </w:p>
        </w:tc>
        <w:tc>
          <w:tcPr>
            <w:tcW w:w="1625" w:type="dxa"/>
          </w:tcPr>
          <w:p>
            <w:pPr>
              <w:pStyle w:val="TableParagraph"/>
              <w:spacing w:before="190"/>
              <w:ind w:left="463" w:right="460"/>
              <w:jc w:val="center"/>
              <w:rPr>
                <w:sz w:val="20"/>
              </w:rPr>
            </w:pPr>
            <w:r>
              <w:rPr>
                <w:sz w:val="20"/>
              </w:rPr>
              <w:t>1 alerts</w:t>
            </w:r>
          </w:p>
        </w:tc>
        <w:tc>
          <w:tcPr>
            <w:tcW w:w="5416" w:type="dxa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375" w:val="left" w:leader="none"/>
              </w:tabs>
              <w:spacing w:line="248" w:lineRule="exact" w:before="57" w:after="0"/>
              <w:ind w:left="374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164 substructures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75" w:val="left" w:leader="none"/>
              </w:tabs>
              <w:spacing w:line="248" w:lineRule="exact" w:before="0" w:after="0"/>
              <w:ind w:left="374" w:right="0" w:hanging="256"/>
              <w:jc w:val="left"/>
              <w:rPr>
                <w:sz w:val="20"/>
              </w:rPr>
            </w:pPr>
            <w:r>
              <w:rPr>
                <w:sz w:val="20"/>
              </w:rPr>
              <w:t>MedChem unfriendly status</w:t>
            </w:r>
          </w:p>
        </w:tc>
      </w:tr>
    </w:tbl>
    <w:sectPr>
      <w:pgSz w:w="11910" w:h="16840"/>
      <w:pgMar w:header="0" w:footer="1040" w:top="1540" w:bottom="124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MS UI Gothic">
    <w:altName w:val="MS UI Gothic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778.869995pt;width:28.25pt;height:12pt;mso-position-horizontal-relative:page;mso-position-vertical-relative:page;z-index:-16492544" type="#_x0000_t2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Times New Roman"/>
                    <w:sz w:val="18"/>
                  </w:rPr>
                </w:pPr>
                <w:r>
                  <w:rPr>
                    <w:rFonts w:ascii="Times New Roman"/>
                    <w:sz w:val="18"/>
                  </w:rPr>
                  <w:t>Page </w:t>
                </w:r>
                <w:r>
                  <w:rPr/>
                  <w:fldChar w:fldCharType="begin"/>
                </w:r>
                <w:r>
                  <w:rPr>
                    <w:rFonts w:ascii="Times New Roman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4">
    <w:multiLevelType w:val="hybridMultilevel"/>
    <w:lvl w:ilvl="0">
      <w:start w:val="0"/>
      <w:numFmt w:val="bullet"/>
      <w:lvlText w:val="■"/>
      <w:lvlJc w:val="left"/>
      <w:pPr>
        <w:ind w:left="374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■"/>
      <w:lvlJc w:val="left"/>
      <w:pPr>
        <w:ind w:left="374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■"/>
      <w:lvlJc w:val="left"/>
      <w:pPr>
        <w:ind w:left="374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■"/>
      <w:lvlJc w:val="left"/>
      <w:pPr>
        <w:ind w:left="374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■"/>
      <w:lvlJc w:val="left"/>
      <w:pPr>
        <w:ind w:left="374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■"/>
      <w:lvlJc w:val="left"/>
      <w:pPr>
        <w:ind w:left="374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■"/>
      <w:lvlJc w:val="left"/>
      <w:pPr>
        <w:ind w:left="374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6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7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4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1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5" w:hanging="256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6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7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4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1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5" w:hanging="256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6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7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4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1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5" w:hanging="256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6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7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4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1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5" w:hanging="256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6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7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4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1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5" w:hanging="256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6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7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4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1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5" w:hanging="256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6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7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4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1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5" w:hanging="256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6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7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4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1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5" w:hanging="256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6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7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4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1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5" w:hanging="256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6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7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4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1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5" w:hanging="256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6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7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4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1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5" w:hanging="256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6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7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4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1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5" w:hanging="256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8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4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1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69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1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65" w:hanging="256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8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4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1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69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1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65" w:hanging="256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4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8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2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16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91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5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39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13" w:hanging="256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4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8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2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16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91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5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39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13" w:hanging="256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7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5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3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1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7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85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43" w:hanging="256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7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5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3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1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7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85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43" w:hanging="256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6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9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256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7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5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3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1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7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85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43" w:hanging="25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7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5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3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1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7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85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43" w:hanging="25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■"/>
      <w:lvlJc w:val="left"/>
      <w:pPr>
        <w:ind w:left="118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■"/>
      <w:lvlJc w:val="left"/>
      <w:pPr>
        <w:ind w:left="118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■"/>
      <w:lvlJc w:val="left"/>
      <w:pPr>
        <w:ind w:left="118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■"/>
      <w:lvlJc w:val="left"/>
      <w:pPr>
        <w:ind w:left="118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■"/>
      <w:lvlJc w:val="left"/>
      <w:pPr>
        <w:ind w:left="118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■"/>
      <w:lvlJc w:val="left"/>
      <w:pPr>
        <w:ind w:left="374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7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5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3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1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7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85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43" w:hanging="25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7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5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3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1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7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85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43" w:hanging="25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■"/>
      <w:lvlJc w:val="left"/>
      <w:pPr>
        <w:ind w:left="119" w:hanging="256"/>
      </w:pPr>
      <w:rPr>
        <w:rFonts w:hint="default" w:ascii="MS UI Gothic" w:hAnsi="MS UI Gothic" w:eastAsia="MS UI Gothic" w:cs="MS UI Gothic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7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1" w:hanging="312"/>
        <w:jc w:val="left"/>
      </w:pPr>
      <w:rPr>
        <w:rFonts w:hint="default" w:ascii="Arial" w:hAnsi="Arial" w:eastAsia="Arial" w:cs="Arial"/>
        <w:b/>
        <w:bCs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1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2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3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4" w:hanging="312"/>
      </w:pPr>
      <w:rPr>
        <w:rFonts w:hint="default"/>
        <w:lang w:val="en-US" w:eastAsia="en-US" w:bidi="ar-SA"/>
      </w:rPr>
    </w:lvl>
  </w:abstract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1"/>
      <w:ind w:left="551" w:hanging="31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ADMETlab 2.0</dc:title>
  <dcterms:created xsi:type="dcterms:W3CDTF">2023-09-13T10:25:46Z</dcterms:created>
  <dcterms:modified xsi:type="dcterms:W3CDTF">2023-09-13T10:25:46Z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2023-09-13T00:00:00Z</vt:filetime>
  </property>
</Properties>
</file>