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jc w:val="right"/>
      </w:pPr>
      <w:r>
        <w:rPr>
          <w:color w:val="555555"/>
          <w:sz w:val="20"/>
          <w:szCs w:val="20"/>
          <w:rtl/>
        </w:rPr>
        <w:t xml:space="preserve">تقرير تقدّم أسبوعي</w:t>
      </w:r>
    </w:p>
    <w:p>
      <w:pPr>
        <w:bidi/>
        <w:spacing w:after="300"/>
        <w:jc w:val="right"/>
      </w:pPr>
      <w:r>
        <w:rPr>
          <w:b/>
          <w:bCs/>
          <w:color w:val="1A1A1A"/>
          <w:sz w:val="40"/>
          <w:szCs w:val="40"/>
          <w:rtl/>
        </w:rPr>
        <w:t xml:space="preserve">مسار هندسة الرؤية الحاسوبية التطبيقية</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300"/>
        <w:gridCol w:w="2800"/>
      </w:tblGrid>
      <w:tr>
        <w:tc>
          <w:tcPr>
            <w:tcW w:type="dxa" w:w="6300"/>
            <w:tcMar>
              <w:top w:type="dxa" w:w="100"/>
              <w:left w:type="dxa" w:w="150"/>
              <w:bottom w:type="dxa" w:w="100"/>
              <w:right w:type="dxa" w:w="150"/>
            </w:tcMar>
          </w:tcPr>
          <w:p>
            <w:pPr>
              <w:bidi/>
              <w:jc w:val="right"/>
            </w:pPr>
            <w:r>
              <w:rPr>
                <w:sz w:val="21"/>
                <w:szCs w:val="21"/>
                <w:rtl/>
              </w:rPr>
              <w:t xml:space="preserve">المشرف على المسار (الدور: مدير تنفيذي / مشرف / مستشار)</w:t>
            </w:r>
          </w:p>
        </w:tc>
        <w:tc>
          <w:tcPr>
            <w:tcW w:type="dxa" w:w="2800"/>
            <w:shd w:fill="F2F2F2" w:val="clear"/>
            <w:tcMar>
              <w:top w:type="dxa" w:w="100"/>
              <w:left w:type="dxa" w:w="150"/>
              <w:bottom w:type="dxa" w:w="100"/>
              <w:right w:type="dxa" w:w="150"/>
            </w:tcMar>
          </w:tcPr>
          <w:p>
            <w:pPr>
              <w:bidi/>
              <w:jc w:val="right"/>
            </w:pPr>
            <w:r>
              <w:rPr>
                <w:b/>
                <w:bCs/>
                <w:sz w:val="21"/>
                <w:szCs w:val="21"/>
                <w:rtl/>
              </w:rPr>
              <w:t xml:space="preserve">الجهة</w:t>
            </w:r>
          </w:p>
        </w:tc>
      </w:tr>
      <w:tr>
        <w:tc>
          <w:tcPr>
            <w:tcW w:type="dxa" w:w="6300"/>
            <w:tcMar>
              <w:top w:type="dxa" w:w="100"/>
              <w:left w:type="dxa" w:w="150"/>
              <w:bottom w:type="dxa" w:w="100"/>
              <w:right w:type="dxa" w:w="150"/>
            </w:tcMar>
          </w:tcPr>
          <w:p>
            <w:pPr>
              <w:bidi/>
              <w:jc w:val="right"/>
            </w:pPr>
            <w:r>
              <w:rPr>
                <w:sz w:val="21"/>
                <w:szCs w:val="21"/>
                <w:rtl/>
              </w:rPr>
              <w:t xml:space="preserve">المتدرب — omori99100-dot</w:t>
            </w:r>
          </w:p>
        </w:tc>
        <w:tc>
          <w:tcPr>
            <w:tcW w:type="dxa" w:w="2800"/>
            <w:shd w:fill="F2F2F2" w:val="clear"/>
            <w:tcMar>
              <w:top w:type="dxa" w:w="100"/>
              <w:left w:type="dxa" w:w="150"/>
              <w:bottom w:type="dxa" w:w="100"/>
              <w:right w:type="dxa" w:w="150"/>
            </w:tcMar>
          </w:tcPr>
          <w:p>
            <w:pPr>
              <w:bidi/>
              <w:jc w:val="right"/>
            </w:pPr>
            <w:r>
              <w:rPr>
                <w:b/>
                <w:bCs/>
                <w:sz w:val="21"/>
                <w:szCs w:val="21"/>
                <w:rtl/>
              </w:rPr>
              <w:t xml:space="preserve">مقدَّم من</w:t>
            </w:r>
          </w:p>
        </w:tc>
      </w:tr>
      <w:tr>
        <w:tc>
          <w:tcPr>
            <w:tcW w:type="dxa" w:w="6300"/>
            <w:tcMar>
              <w:top w:type="dxa" w:w="100"/>
              <w:left w:type="dxa" w:w="150"/>
              <w:bottom w:type="dxa" w:w="100"/>
              <w:right w:type="dxa" w:w="150"/>
            </w:tcMar>
          </w:tcPr>
          <w:p>
            <w:pPr>
              <w:bidi/>
              <w:jc w:val="right"/>
            </w:pPr>
            <w:r>
              <w:rPr>
                <w:sz w:val="21"/>
                <w:szCs w:val="21"/>
                <w:rtl/>
              </w:rPr>
              <w:t xml:space="preserve">الأسابيع 13-16 — المرحلة 4: مشروع End-to-End، مسابقة Kaggle، والتوظيف</w:t>
            </w:r>
          </w:p>
        </w:tc>
        <w:tc>
          <w:tcPr>
            <w:tcW w:type="dxa" w:w="2800"/>
            <w:shd w:fill="F2F2F2" w:val="clear"/>
            <w:tcMar>
              <w:top w:type="dxa" w:w="100"/>
              <w:left w:type="dxa" w:w="150"/>
              <w:bottom w:type="dxa" w:w="100"/>
              <w:right w:type="dxa" w:w="150"/>
            </w:tcMar>
          </w:tcPr>
          <w:p>
            <w:pPr>
              <w:bidi/>
              <w:jc w:val="right"/>
            </w:pPr>
            <w:r>
              <w:rPr>
                <w:b/>
                <w:bCs/>
                <w:sz w:val="21"/>
                <w:szCs w:val="21"/>
                <w:rtl/>
              </w:rPr>
              <w:t xml:space="preserve">الفترة المشمولة</w:t>
            </w:r>
          </w:p>
        </w:tc>
      </w:tr>
      <w:tr>
        <w:tc>
          <w:tcPr>
            <w:tcW w:type="dxa" w:w="6300"/>
            <w:tcMar>
              <w:top w:type="dxa" w:w="100"/>
              <w:left w:type="dxa" w:w="150"/>
              <w:bottom w:type="dxa" w:w="100"/>
              <w:right w:type="dxa" w:w="150"/>
            </w:tcMar>
          </w:tcPr>
          <w:p>
            <w:pPr>
              <w:bidi/>
              <w:jc w:val="right"/>
            </w:pPr>
            <w:r>
              <w:rPr>
                <w:sz w:val="21"/>
                <w:szCs w:val="21"/>
                <w:rtl/>
              </w:rPr>
              <w:t xml:space="preserve">مكتمل ✅ — المسار الكامل (16 أسبوعًا) منتهٍ رسميًا</w:t>
            </w:r>
          </w:p>
        </w:tc>
        <w:tc>
          <w:tcPr>
            <w:tcW w:type="dxa" w:w="2800"/>
            <w:shd w:fill="F2F2F2" w:val="clear"/>
            <w:tcMar>
              <w:top w:type="dxa" w:w="100"/>
              <w:left w:type="dxa" w:w="150"/>
              <w:bottom w:type="dxa" w:w="100"/>
              <w:right w:type="dxa" w:w="150"/>
            </w:tcMar>
          </w:tcPr>
          <w:p>
            <w:pPr>
              <w:bidi/>
              <w:jc w:val="right"/>
            </w:pPr>
            <w:r>
              <w:rPr>
                <w:b/>
                <w:bCs/>
                <w:sz w:val="21"/>
                <w:szCs w:val="21"/>
                <w:rtl/>
              </w:rPr>
              <w:t xml:space="preserve">الحالة العامة</w:t>
            </w:r>
          </w:p>
        </w:tc>
      </w:tr>
      <w:tr>
        <w:tc>
          <w:tcPr>
            <w:tcW w:type="dxa" w:w="6300"/>
            <w:tcMar>
              <w:top w:type="dxa" w:w="100"/>
              <w:left w:type="dxa" w:w="150"/>
              <w:bottom w:type="dxa" w:w="100"/>
              <w:right w:type="dxa" w:w="150"/>
            </w:tcMar>
          </w:tcPr>
          <w:p>
            <w:pPr>
              <w:bidi/>
              <w:jc w:val="right"/>
            </w:pPr>
            <w:r>
              <w:rPr>
                <w:sz w:val="21"/>
                <w:szCs w:val="21"/>
                <w:rtl/>
              </w:rPr>
              <w:t xml:space="preserve">github.com/omori99100-dot/cv-engineer-path</w:t>
            </w:r>
          </w:p>
        </w:tc>
        <w:tc>
          <w:tcPr>
            <w:tcW w:type="dxa" w:w="2800"/>
            <w:shd w:fill="F2F2F2" w:val="clear"/>
            <w:tcMar>
              <w:top w:type="dxa" w:w="100"/>
              <w:left w:type="dxa" w:w="150"/>
              <w:bottom w:type="dxa" w:w="100"/>
              <w:right w:type="dxa" w:w="150"/>
            </w:tcMar>
          </w:tcPr>
          <w:p>
            <w:pPr>
              <w:bidi/>
              <w:jc w:val="right"/>
            </w:pPr>
            <w:r>
              <w:rPr>
                <w:b/>
                <w:bCs/>
                <w:sz w:val="21"/>
                <w:szCs w:val="21"/>
                <w:rtl/>
              </w:rPr>
              <w:t xml:space="preserve">مستودع GitHub</w:t>
            </w:r>
          </w:p>
        </w:tc>
      </w:tr>
    </w:tbl>
    <w:p>
      <w:pPr>
        <w:spacing w:after="200"/>
      </w:pPr>
    </w:p>
    <w:p>
      <w:pPr>
        <w:pStyle w:val="Heading1"/>
        <w:pBdr>
          <w:bottom w:val="single" w:color="1A1A1A" w:sz="6"/>
        </w:pBdr>
        <w:bidi/>
        <w:spacing w:after="160" w:before="360"/>
        <w:jc w:val="right"/>
      </w:pPr>
      <w:r>
        <w:rPr>
          <w:b/>
          <w:bCs/>
          <w:color w:val="1A1A1A"/>
          <w:sz w:val="30"/>
          <w:szCs w:val="30"/>
          <w:rtl/>
        </w:rPr>
        <w:t xml:space="preserve">١. الملخص التنفيذي</w:t>
      </w:r>
    </w:p>
    <w:p>
      <w:pPr>
        <w:bidi/>
        <w:spacing w:after="120" w:line="300"/>
        <w:jc w:val="right"/>
      </w:pPr>
      <w:r>
        <w:rPr>
          <w:color w:val="1A1A1A"/>
          <w:sz w:val="22"/>
          <w:szCs w:val="22"/>
          <w:rtl/>
        </w:rPr>
        <w:t xml:space="preserve">تغطي هذه الوثيقة الأسابيع الأربعة الأخيرة من المسار (13-16)، والتي تُختتم بها المرحلة الرابعة والمسار كاملاً. شملت هذه الفترة: بناء مشروع End-to-End كامل لكشف عيوب سطحية بالصلب (NEU-DET) باستخدام YOLOv8، أول مشاركة في مسابقة Kaggle حقيقية (Dogs vs Cats Redux) بنتيجة نهائية موثّقة على الـLeaderboard، وأخيرًا تجهيز محفظة احترافية (GitHub Profile، LinkedIn، صياغة توظيفية) لعرض المسار كاملاً أمام أصحاب العمل.</w:t>
      </w:r>
    </w:p>
    <w:p>
      <w:pPr>
        <w:bidi/>
        <w:spacing w:after="120" w:line="300"/>
        <w:jc w:val="right"/>
      </w:pPr>
      <w:r>
        <w:rPr>
          <w:color w:val="1A1A1A"/>
          <w:sz w:val="22"/>
          <w:szCs w:val="22"/>
          <w:rtl/>
        </w:rPr>
        <w:t xml:space="preserve">الأداء التقني والمفاهيمي حافظ على المستوى العالي المكتسب بالمرحلة الثالثة. أبرز إنجاز غير مخطط له: اكتشاف مشكلة Domain Shift فعليًا عبر اختبار النموذج المدرَّب على بيانات حقيقية خارج توزيع التدريب — درس عملي لا يمكن اكتسابه إلا بمشروع واقعي حقيقي. كما ظهر نمط متكرر في صياغة المحتوى التوظيفي: الميل لتضخيم النتائج بمصطلحات غير دقيقة (خلط Accuracy بـLog Loss)، وهو تحذير مهم لمرحلة التقديم على الوظائف القادمة.</w:t>
      </w:r>
    </w:p>
    <w:p>
      <w:pPr>
        <w:pStyle w:val="Heading1"/>
        <w:pBdr>
          <w:bottom w:val="single" w:color="1A1A1A" w:sz="6"/>
        </w:pBdr>
        <w:bidi/>
        <w:spacing w:after="160" w:before="360"/>
        <w:jc w:val="right"/>
      </w:pPr>
      <w:r>
        <w:rPr>
          <w:b/>
          <w:bCs/>
          <w:color w:val="1A1A1A"/>
          <w:sz w:val="30"/>
          <w:szCs w:val="30"/>
          <w:rtl/>
        </w:rPr>
        <w:t xml:space="preserve">٢. الأعمال المُنجزة</w:t>
      </w:r>
    </w:p>
    <w:p>
      <w:pPr>
        <w:pStyle w:val="Heading2"/>
        <w:bidi/>
        <w:spacing w:after="120" w:before="260"/>
        <w:jc w:val="right"/>
      </w:pPr>
      <w:r>
        <w:rPr>
          <w:b/>
          <w:bCs/>
          <w:color w:val="1A1A1A"/>
          <w:sz w:val="24"/>
          <w:szCs w:val="24"/>
          <w:rtl/>
        </w:rPr>
        <w:t xml:space="preserve">2.1 Image Segmentation — إتمام المرحلة 3 (الأسبوع 12)</w:t>
      </w:r>
    </w:p>
    <w:p>
      <w:pPr>
        <w:pStyle w:val="ListParagraph"/>
        <w:numPr>
          <w:ilvl w:val="0"/>
          <w:numId w:val="2"/>
        </w:numPr>
        <w:bidi/>
        <w:spacing w:after="70"/>
        <w:jc w:val="right"/>
      </w:pPr>
      <w:r>
        <w:rPr>
          <w:color w:val="1A1A1A"/>
          <w:sz w:val="22"/>
          <w:szCs w:val="22"/>
          <w:rtl/>
        </w:rPr>
        <w:t xml:space="preserve">فهم الفرق بين Semantic Segmentation (تصنيف كل بكسل حسب الفئة فقط) وInstance Segmentation (تمييز كل كائن فردي)، وتطبيق DeepLabV3 لحساب shape مخرج صحيح (21, 520, 520) قبل argmax.</w:t>
      </w:r>
    </w:p>
    <w:p>
      <w:pPr>
        <w:pStyle w:val="ListParagraph"/>
        <w:numPr>
          <w:ilvl w:val="0"/>
          <w:numId w:val="2"/>
        </w:numPr>
        <w:bidi/>
        <w:spacing w:after="70"/>
        <w:jc w:val="right"/>
      </w:pPr>
      <w:r>
        <w:rPr>
          <w:color w:val="1A1A1A"/>
          <w:sz w:val="22"/>
          <w:szCs w:val="22"/>
          <w:rtl/>
        </w:rPr>
        <w:t xml:space="preserve">بناء بنية U-Net كاملة (Encoder → Bottleneck → Decoder) وفهم سبب تسميتها بالحرف U عبر تتبع الأبعاد المتماثل (64→32→16→32→64).</w:t>
      </w:r>
    </w:p>
    <w:p>
      <w:pPr>
        <w:pStyle w:val="ListParagraph"/>
        <w:numPr>
          <w:ilvl w:val="0"/>
          <w:numId w:val="2"/>
        </w:numPr>
        <w:bidi/>
        <w:spacing w:after="70"/>
        <w:jc w:val="right"/>
      </w:pPr>
      <w:r>
        <w:rPr>
          <w:color w:val="1A1A1A"/>
          <w:sz w:val="22"/>
          <w:szCs w:val="22"/>
          <w:rtl/>
        </w:rPr>
        <w:t xml:space="preserve">تطبيق Skip Connections لدمج تفاصيل خام من الـEncoder مع الـDecoder عبر torch.cat، وفهم شرطي الدمج (تطابق الأبعاد المكانية، وجمع لا تطابق القنوات).</w:t>
      </w:r>
    </w:p>
    <w:p>
      <w:pPr>
        <w:pStyle w:val="Heading2"/>
        <w:bidi/>
        <w:spacing w:after="120" w:before="260"/>
        <w:jc w:val="right"/>
      </w:pPr>
      <w:r>
        <w:rPr>
          <w:b/>
          <w:bCs/>
          <w:color w:val="1A1A1A"/>
          <w:sz w:val="24"/>
          <w:szCs w:val="24"/>
          <w:rtl/>
        </w:rPr>
        <w:t xml:space="preserve">2.2 مشروع End-to-End — كشف عيوب سطحية بالصلب (الأسبوع 13-14)</w:t>
      </w:r>
    </w:p>
    <w:p>
      <w:pPr>
        <w:pStyle w:val="ListParagraph"/>
        <w:numPr>
          <w:ilvl w:val="0"/>
          <w:numId w:val="2"/>
        </w:numPr>
        <w:bidi/>
        <w:spacing w:after="70"/>
        <w:jc w:val="right"/>
      </w:pPr>
      <w:r>
        <w:rPr>
          <w:color w:val="1A1A1A"/>
          <w:sz w:val="22"/>
          <w:szCs w:val="22"/>
          <w:rtl/>
        </w:rPr>
        <w:t xml:space="preserve">تصميم مشروع واقعي مبني على بيانات المستخدم الفعلية (4 صور) موسّعة بمجموعة NEU-DET العامة (1,800 صورة، 6 فئات عيوب) لضمان حجم بيانات كافٍ للتدريب.</w:t>
      </w:r>
    </w:p>
    <w:p>
      <w:pPr>
        <w:pStyle w:val="ListParagraph"/>
        <w:numPr>
          <w:ilvl w:val="0"/>
          <w:numId w:val="2"/>
        </w:numPr>
        <w:bidi/>
        <w:spacing w:after="70"/>
        <w:jc w:val="right"/>
      </w:pPr>
      <w:r>
        <w:rPr>
          <w:color w:val="1A1A1A"/>
          <w:sz w:val="22"/>
          <w:szCs w:val="22"/>
          <w:rtl/>
        </w:rPr>
        <w:t xml:space="preserve">تحويل التسميات يدويًا من صيغة Pascal VOC (XML، إحداثيات مطلقة) إلى صيغة YOLO (TXT، إحداثيات نسبية)، مع تأكيد حسابي دقيق ومستقل للمعادلة.</w:t>
      </w:r>
    </w:p>
    <w:p>
      <w:pPr>
        <w:pStyle w:val="ListParagraph"/>
        <w:numPr>
          <w:ilvl w:val="0"/>
          <w:numId w:val="2"/>
        </w:numPr>
        <w:bidi/>
        <w:spacing w:after="70"/>
        <w:jc w:val="right"/>
      </w:pPr>
      <w:r>
        <w:rPr>
          <w:color w:val="1A1A1A"/>
          <w:sz w:val="22"/>
          <w:szCs w:val="22"/>
          <w:rtl/>
        </w:rPr>
        <w:t xml:space="preserve">تشخيص وحل مشكلة بنيوية حرجة: عدم تطابق تنظيم مجلدات images وlabels (مجلدات فرعية لكل فئة مقابل ملفات مباشرة) كان يمنع YOLO من إيجاد التسميات دون أي رسالة خطأ واضحة.</w:t>
      </w:r>
    </w:p>
    <w:p>
      <w:pPr>
        <w:pStyle w:val="ListParagraph"/>
        <w:numPr>
          <w:ilvl w:val="0"/>
          <w:numId w:val="2"/>
        </w:numPr>
        <w:bidi/>
        <w:spacing w:after="70"/>
        <w:jc w:val="right"/>
      </w:pPr>
      <w:r>
        <w:rPr>
          <w:color w:val="1A1A1A"/>
          <w:sz w:val="22"/>
          <w:szCs w:val="22"/>
          <w:rtl/>
        </w:rPr>
        <w:t xml:space="preserve">الانتقال من التدريب على CPU (بطيء وغير مضمون) إلى Google Colab (GPU مجاني) بعد قرار عملي مبرر، مع حل سلسلة أعطال بيئة عمل جديدة كليًا (تداخل مسارات فك الضغط، جلسات Colab المؤقتة، فقدان النموذج المدرَّب بعد انقطاع الجلسة).</w:t>
      </w:r>
    </w:p>
    <w:p>
      <w:pPr>
        <w:pStyle w:val="ListParagraph"/>
        <w:numPr>
          <w:ilvl w:val="0"/>
          <w:numId w:val="2"/>
        </w:numPr>
        <w:bidi/>
        <w:spacing w:after="70"/>
        <w:jc w:val="right"/>
      </w:pPr>
      <w:r>
        <w:rPr>
          <w:color w:val="1A1A1A"/>
          <w:sz w:val="22"/>
          <w:szCs w:val="22"/>
          <w:rtl/>
        </w:rPr>
        <w:t xml:space="preserve">تدريب YOLOv8n بنجاح: 1,440 صورة تدريب، mAP50=0.723، وتحليل صحيح للفجوة الكبيرة بين mAP50 وmAP50-95 (دقة الموقع مقابل دقة حدود الصندوق).</w:t>
      </w:r>
    </w:p>
    <w:p>
      <w:pPr>
        <w:pStyle w:val="ListParagraph"/>
        <w:numPr>
          <w:ilvl w:val="0"/>
          <w:numId w:val="2"/>
        </w:numPr>
        <w:bidi/>
        <w:spacing w:after="70"/>
        <w:jc w:val="right"/>
      </w:pPr>
      <w:r>
        <w:rPr>
          <w:color w:val="1A1A1A"/>
          <w:sz w:val="22"/>
          <w:szCs w:val="22"/>
          <w:rtl/>
        </w:rPr>
        <w:t xml:space="preserve">اكتشاف وتحليل فشل فئة crazing تحديدًا (Recall=0.222) بسبب طبيعتها المنتشرة على كامل الصورة، واستنتاج أن Object Detection غير مناسب لعيوب لا تُحدَّد بموقع مكاني واضح.</w:t>
      </w:r>
    </w:p>
    <w:p>
      <w:pPr>
        <w:pStyle w:val="ListParagraph"/>
        <w:numPr>
          <w:ilvl w:val="0"/>
          <w:numId w:val="2"/>
        </w:numPr>
        <w:bidi/>
        <w:spacing w:after="70"/>
        <w:jc w:val="right"/>
      </w:pPr>
      <w:r>
        <w:rPr>
          <w:color w:val="1A1A1A"/>
          <w:sz w:val="22"/>
          <w:szCs w:val="22"/>
          <w:rtl/>
        </w:rPr>
        <w:t xml:space="preserve">الاختبار النهائي على 4 صور واقعية من بيئة مختلفة تمامًا عن بيانات التدريب: كشف صحيح لصورتين، وفشل كامل (لا كشف) لصورتين أخريين — تشخيص المشكلة رسميًا باسمها العلمي: Domain Shift.</w:t>
      </w:r>
    </w:p>
    <w:p>
      <w:pPr>
        <w:pStyle w:val="Heading2"/>
        <w:bidi/>
        <w:spacing w:after="120" w:before="260"/>
        <w:jc w:val="right"/>
      </w:pPr>
      <w:r>
        <w:rPr>
          <w:b/>
          <w:bCs/>
          <w:color w:val="1A1A1A"/>
          <w:sz w:val="24"/>
          <w:szCs w:val="24"/>
          <w:rtl/>
        </w:rPr>
        <w:t xml:space="preserve">2.3 مسابقة Kaggle — Dogs vs Cats Redux (الأسبوع 15)</w:t>
      </w:r>
    </w:p>
    <w:p>
      <w:pPr>
        <w:pStyle w:val="ListParagraph"/>
        <w:numPr>
          <w:ilvl w:val="0"/>
          <w:numId w:val="2"/>
        </w:numPr>
        <w:bidi/>
        <w:spacing w:after="70"/>
        <w:jc w:val="right"/>
      </w:pPr>
      <w:r>
        <w:rPr>
          <w:color w:val="1A1A1A"/>
          <w:sz w:val="22"/>
          <w:szCs w:val="22"/>
          <w:rtl/>
        </w:rPr>
        <w:t xml:space="preserve">فهم آلية Public/Private Leaderboard ومفهوم Leaderboard Overfitting، مرتبطًا مباشرة بمبدأ Overfitting العادي من الأسبوع السابع.</w:t>
      </w:r>
    </w:p>
    <w:p>
      <w:pPr>
        <w:pStyle w:val="ListParagraph"/>
        <w:numPr>
          <w:ilvl w:val="0"/>
          <w:numId w:val="2"/>
        </w:numPr>
        <w:bidi/>
        <w:spacing w:after="70"/>
        <w:jc w:val="right"/>
      </w:pPr>
      <w:r>
        <w:rPr>
          <w:color w:val="1A1A1A"/>
          <w:sz w:val="22"/>
          <w:szCs w:val="22"/>
          <w:rtl/>
        </w:rPr>
        <w:t xml:space="preserve">تنظيم بيانات تدريب غير مصنّفة (25,000 صورة بمجلد واحد) إلى بنية ImageFolder عبر كود آلي، بعد تشخيص المشكلة من اسم الملفات مباشرة.</w:t>
      </w:r>
    </w:p>
    <w:p>
      <w:pPr>
        <w:pStyle w:val="ListParagraph"/>
        <w:numPr>
          <w:ilvl w:val="0"/>
          <w:numId w:val="2"/>
        </w:numPr>
        <w:bidi/>
        <w:spacing w:after="70"/>
        <w:jc w:val="right"/>
      </w:pPr>
      <w:r>
        <w:rPr>
          <w:color w:val="1A1A1A"/>
          <w:sz w:val="22"/>
          <w:szCs w:val="22"/>
          <w:rtl/>
        </w:rPr>
        <w:t xml:space="preserve">حل سلسلة أعطال تقنية جديدة: فشل Compress-Archive بـPowerShell (تحويل الفواصل لأجزاء من اسم الملف)، فشل الرفع المباشر لملف كبير عبر Colab، ونسيان تفعيل GPU قبل التدريب (أدى لتدريب استغرق 3 ساعات بدل دقائق) — عولجت جميعها بالتتابع.</w:t>
      </w:r>
    </w:p>
    <w:p>
      <w:pPr>
        <w:pStyle w:val="ListParagraph"/>
        <w:numPr>
          <w:ilvl w:val="0"/>
          <w:numId w:val="2"/>
        </w:numPr>
        <w:bidi/>
        <w:spacing w:after="70"/>
        <w:jc w:val="right"/>
      </w:pPr>
      <w:r>
        <w:rPr>
          <w:color w:val="1A1A1A"/>
          <w:sz w:val="22"/>
          <w:szCs w:val="22"/>
          <w:rtl/>
        </w:rPr>
        <w:t xml:space="preserve">اعتماد Google Drive كحل قياسي لرفع/حفظ الملفات الكبيرة مع Colab، بدل الرفع المباشر أو الاعتماد على /content المؤقت.</w:t>
      </w:r>
    </w:p>
    <w:p>
      <w:pPr>
        <w:pStyle w:val="ListParagraph"/>
        <w:numPr>
          <w:ilvl w:val="0"/>
          <w:numId w:val="2"/>
        </w:numPr>
        <w:bidi/>
        <w:spacing w:after="70"/>
        <w:jc w:val="right"/>
      </w:pPr>
      <w:r>
        <w:rPr>
          <w:color w:val="1A1A1A"/>
          <w:sz w:val="22"/>
          <w:szCs w:val="22"/>
          <w:rtl/>
        </w:rPr>
        <w:t xml:space="preserve">تدريب Transfer Learning (ResNet18) وتوليد ملف submission.csv بالصيغة الدقيقة المطلوبة (احتمال Softmax، لا تصنيف نهائي)، ورفعه فعليًا لأول نتيجة Kaggle حقيقية: Log Loss = 0.09247، متطابقة تمامًا بين Public وPrivate (دون أي Leaderboard Overfitting).</w:t>
      </w:r>
    </w:p>
    <w:p>
      <w:pPr>
        <w:pStyle w:val="Heading2"/>
        <w:bidi/>
        <w:spacing w:after="120" w:before="260"/>
        <w:jc w:val="right"/>
      </w:pPr>
      <w:r>
        <w:rPr>
          <w:b/>
          <w:bCs/>
          <w:color w:val="1A1A1A"/>
          <w:sz w:val="24"/>
          <w:szCs w:val="24"/>
          <w:rtl/>
        </w:rPr>
        <w:t xml:space="preserve">2.4 المحفظة والتوظيف (الأسبوع 16)</w:t>
      </w:r>
    </w:p>
    <w:p>
      <w:pPr>
        <w:pStyle w:val="ListParagraph"/>
        <w:numPr>
          <w:ilvl w:val="0"/>
          <w:numId w:val="2"/>
        </w:numPr>
        <w:bidi/>
        <w:spacing w:after="70"/>
        <w:jc w:val="right"/>
      </w:pPr>
      <w:r>
        <w:rPr>
          <w:color w:val="1A1A1A"/>
          <w:sz w:val="22"/>
          <w:szCs w:val="22"/>
          <w:rtl/>
        </w:rPr>
        <w:t xml:space="preserve">بناء GitHub Profile README احترافي (repo منفصل مطابق لاسم الحساب)، مع تبرير هندسي لعرض مشروعين مختارين فقط بدل كل الأسابيع.</w:t>
      </w:r>
    </w:p>
    <w:p>
      <w:pPr>
        <w:pStyle w:val="ListParagraph"/>
        <w:numPr>
          <w:ilvl w:val="0"/>
          <w:numId w:val="2"/>
        </w:numPr>
        <w:bidi/>
        <w:spacing w:after="70"/>
        <w:jc w:val="right"/>
      </w:pPr>
      <w:r>
        <w:rPr>
          <w:color w:val="1A1A1A"/>
          <w:sz w:val="22"/>
          <w:szCs w:val="22"/>
          <w:rtl/>
        </w:rPr>
        <w:t xml:space="preserve">قرار واعٍ بالتحول من محتوى ثنائي/عربي إلى إنجليزي بالكامل بناءً على معيار الصناعة العالمي بمجال CV/ML.</w:t>
      </w:r>
    </w:p>
    <w:p>
      <w:pPr>
        <w:pStyle w:val="ListParagraph"/>
        <w:numPr>
          <w:ilvl w:val="0"/>
          <w:numId w:val="2"/>
        </w:numPr>
        <w:bidi/>
        <w:spacing w:after="70"/>
        <w:jc w:val="right"/>
      </w:pPr>
      <w:r>
        <w:rPr>
          <w:color w:val="1A1A1A"/>
          <w:sz w:val="22"/>
          <w:szCs w:val="22"/>
          <w:rtl/>
        </w:rPr>
        <w:t xml:space="preserve">تحديث ملف README الرئيسي لمشروع cv-engineer-path ليعكس الإنجاز الفعلي (كان لا يزال يعرض الأسبوع الأول فقط رغم اكتمال المسار).</w:t>
      </w:r>
    </w:p>
    <w:p>
      <w:pPr>
        <w:pStyle w:val="ListParagraph"/>
        <w:numPr>
          <w:ilvl w:val="1"/>
          <w:numId w:val="2"/>
        </w:numPr>
        <w:bidi/>
        <w:spacing w:after="70"/>
        <w:jc w:val="right"/>
      </w:pPr>
      <w:r>
        <w:rPr>
          <w:color w:val="1A1A1A"/>
          <w:sz w:val="22"/>
          <w:szCs w:val="22"/>
          <w:rtl/>
        </w:rPr>
        <w:t xml:space="preserve">صياغة محتوى توظيفي (Headline، About، 3 بنود مشاريع) بصيغة [فعل + تقنية + رقم]، مع تصحيح متكرر لخلط مصطلحي حرج (استخدام 'accuracy' للإشارة لنتيجة Log Loss فعليًا) — نمط يستحق انتباهًا مستمرًا عند التقديم للوظائف.</w:t>
      </w:r>
    </w:p>
    <w:p>
      <w:pPr>
        <w:pStyle w:val="ListParagraph"/>
        <w:numPr>
          <w:ilvl w:val="0"/>
          <w:numId w:val="2"/>
        </w:numPr>
        <w:bidi/>
        <w:spacing w:after="70"/>
        <w:jc w:val="right"/>
      </w:pPr>
      <w:r>
        <w:rPr>
          <w:color w:val="1A1A1A"/>
          <w:sz w:val="22"/>
          <w:szCs w:val="22"/>
          <w:rtl/>
        </w:rPr>
        <w:t xml:space="preserve">حل عملي لتجاوز حد أحرف حقل Headline بـLinkedIn (220 حرفًا) عبر صياغة مختصرة منفصلة عن نص About الأطول (2600 حرفًا).</w:t>
      </w:r>
    </w:p>
    <w:p>
      <w:pPr>
        <w:pStyle w:val="Heading1"/>
        <w:pBdr>
          <w:bottom w:val="single" w:color="1A1A1A" w:sz="6"/>
        </w:pBdr>
        <w:bidi/>
        <w:spacing w:after="160" w:before="360"/>
        <w:jc w:val="right"/>
      </w:pPr>
      <w:r>
        <w:rPr>
          <w:b/>
          <w:bCs/>
          <w:color w:val="1A1A1A"/>
          <w:sz w:val="30"/>
          <w:szCs w:val="30"/>
          <w:rtl/>
        </w:rPr>
        <w:t xml:space="preserve">٣. مؤشرات الإنجاز</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50"/>
        <w:gridCol w:w="2450"/>
        <w:gridCol w:w="4200"/>
      </w:tblGrid>
      <w:tr>
        <w:trPr>
          <w:tblHeader/>
        </w:trPr>
        <w:tc>
          <w:tcPr>
            <w:tcW w:type="dxa" w:w="2450"/>
            <w:shd w:fill="1A1A1A" w:val="clear"/>
            <w:tcMar>
              <w:top w:type="dxa" w:w="90"/>
              <w:left w:type="dxa" w:w="120"/>
              <w:bottom w:type="dxa" w:w="90"/>
              <w:right w:type="dxa" w:w="120"/>
            </w:tcMar>
          </w:tcPr>
          <w:p>
            <w:pPr>
              <w:bidi/>
              <w:jc w:val="center"/>
            </w:pPr>
            <w:r>
              <w:rPr>
                <w:b/>
                <w:bCs/>
                <w:color w:val="FFFFFF"/>
                <w:sz w:val="21"/>
                <w:szCs w:val="21"/>
                <w:rtl/>
              </w:rPr>
              <w:t xml:space="preserve">الفهم المفاهيمي</w:t>
            </w:r>
          </w:p>
        </w:tc>
        <w:tc>
          <w:tcPr>
            <w:tcW w:type="dxa" w:w="2450"/>
            <w:shd w:fill="1A1A1A" w:val="clear"/>
            <w:tcMar>
              <w:top w:type="dxa" w:w="90"/>
              <w:left w:type="dxa" w:w="120"/>
              <w:bottom w:type="dxa" w:w="90"/>
              <w:right w:type="dxa" w:w="120"/>
            </w:tcMar>
          </w:tcPr>
          <w:p>
            <w:pPr>
              <w:bidi/>
              <w:jc w:val="center"/>
            </w:pPr>
            <w:r>
              <w:rPr>
                <w:b/>
                <w:bCs/>
                <w:color w:val="FFFFFF"/>
                <w:sz w:val="21"/>
                <w:szCs w:val="21"/>
                <w:rtl/>
              </w:rPr>
              <w:t xml:space="preserve">التنفيذ</w:t>
            </w:r>
          </w:p>
        </w:tc>
        <w:tc>
          <w:tcPr>
            <w:tcW w:type="dxa" w:w="4200"/>
            <w:shd w:fill="1A1A1A" w:val="clear"/>
            <w:tcMar>
              <w:top w:type="dxa" w:w="90"/>
              <w:left w:type="dxa" w:w="120"/>
              <w:bottom w:type="dxa" w:w="90"/>
              <w:right w:type="dxa" w:w="120"/>
            </w:tcMar>
          </w:tcPr>
          <w:p>
            <w:pPr>
              <w:bidi/>
              <w:jc w:val="right"/>
            </w:pPr>
            <w:r>
              <w:rPr>
                <w:b/>
                <w:bCs/>
                <w:color w:val="FFFFFF"/>
                <w:sz w:val="21"/>
                <w:szCs w:val="21"/>
                <w:rtl/>
              </w:rPr>
              <w:t xml:space="preserve">المهارة / المفهوم</w:t>
            </w:r>
          </w:p>
        </w:tc>
      </w:tr>
      <w:tr>
        <w:tc>
          <w:tcPr>
            <w:tcW w:type="dxa" w:w="2450"/>
            <w:tcMar>
              <w:top w:type="dxa" w:w="80"/>
              <w:left w:type="dxa" w:w="120"/>
              <w:bottom w:type="dxa" w:w="80"/>
              <w:right w:type="dxa" w:w="120"/>
            </w:tcMar>
          </w:tcPr>
          <w:p>
            <w:pPr>
              <w:bidi/>
              <w:jc w:val="center"/>
            </w:pPr>
            <w:r>
              <w:rPr>
                <w:sz w:val="21"/>
                <w:szCs w:val="21"/>
                <w:rtl/>
              </w:rPr>
              <w:t xml:space="preserve">✔ متين — حساب أبعاد مستقل وصحيح</w:t>
            </w:r>
          </w:p>
        </w:tc>
        <w:tc>
          <w:tcPr>
            <w:tcW w:type="dxa" w:w="2450"/>
            <w:tcMar>
              <w:top w:type="dxa" w:w="80"/>
              <w:left w:type="dxa" w:w="120"/>
              <w:bottom w:type="dxa" w:w="80"/>
              <w:right w:type="dxa" w:w="120"/>
            </w:tcMar>
          </w:tcPr>
          <w:p>
            <w:pPr>
              <w:bidi/>
              <w:jc w:val="center"/>
            </w:pPr>
            <w:r>
              <w:rPr>
                <w:sz w:val="21"/>
                <w:szCs w:val="21"/>
                <w:rtl/>
              </w:rPr>
              <w:t xml:space="preserve">✔ مؤكد بالكود</w:t>
            </w:r>
          </w:p>
        </w:tc>
        <w:tc>
          <w:tcPr>
            <w:tcW w:type="dxa" w:w="4200"/>
            <w:tcMar>
              <w:top w:type="dxa" w:w="80"/>
              <w:left w:type="dxa" w:w="120"/>
              <w:bottom w:type="dxa" w:w="80"/>
              <w:right w:type="dxa" w:w="120"/>
            </w:tcMar>
          </w:tcPr>
          <w:p>
            <w:pPr>
              <w:bidi/>
              <w:jc w:val="right"/>
            </w:pPr>
            <w:r>
              <w:rPr>
                <w:sz w:val="21"/>
                <w:szCs w:val="21"/>
                <w:rtl/>
              </w:rPr>
              <w:t xml:space="preserve">U-Net: Encoder/Decoder + Skip Connections</w:t>
            </w:r>
          </w:p>
        </w:tc>
      </w:tr>
      <w:tr>
        <w:tc>
          <w:tcPr>
            <w:tcW w:type="dxa" w:w="2450"/>
            <w:tcMar>
              <w:top w:type="dxa" w:w="80"/>
              <w:left w:type="dxa" w:w="120"/>
              <w:bottom w:type="dxa" w:w="80"/>
              <w:right w:type="dxa" w:w="120"/>
            </w:tcMar>
          </w:tcPr>
          <w:p>
            <w:pPr>
              <w:bidi/>
              <w:jc w:val="center"/>
            </w:pPr>
            <w:r>
              <w:rPr>
                <w:sz w:val="21"/>
                <w:szCs w:val="21"/>
                <w:rtl/>
              </w:rPr>
              <w:t xml:space="preserve">✔ متين من أول محاولة</w:t>
            </w:r>
          </w:p>
        </w:tc>
        <w:tc>
          <w:tcPr>
            <w:tcW w:type="dxa" w:w="2450"/>
            <w:tcMar>
              <w:top w:type="dxa" w:w="80"/>
              <w:left w:type="dxa" w:w="120"/>
              <w:bottom w:type="dxa" w:w="80"/>
              <w:right w:type="dxa" w:w="120"/>
            </w:tcMar>
          </w:tcPr>
          <w:p>
            <w:pPr>
              <w:bidi/>
              <w:jc w:val="center"/>
            </w:pPr>
            <w:r>
              <w:rPr>
                <w:sz w:val="21"/>
                <w:szCs w:val="21"/>
                <w:rtl/>
              </w:rPr>
              <w:t xml:space="preserve">✔ مؤكد — 1,440 ملف بنجاح</w:t>
            </w:r>
          </w:p>
        </w:tc>
        <w:tc>
          <w:tcPr>
            <w:tcW w:type="dxa" w:w="4200"/>
            <w:tcMar>
              <w:top w:type="dxa" w:w="80"/>
              <w:left w:type="dxa" w:w="120"/>
              <w:bottom w:type="dxa" w:w="80"/>
              <w:right w:type="dxa" w:w="120"/>
            </w:tcMar>
          </w:tcPr>
          <w:p>
            <w:pPr>
              <w:bidi/>
              <w:jc w:val="right"/>
            </w:pPr>
            <w:r>
              <w:rPr>
                <w:sz w:val="21"/>
                <w:szCs w:val="21"/>
                <w:rtl/>
              </w:rPr>
              <w:t xml:space="preserve">تحويل صيغ التسميات (VOC→YOLO)</w:t>
            </w:r>
          </w:p>
        </w:tc>
      </w:tr>
      <w:tr>
        <w:tc>
          <w:tcPr>
            <w:tcW w:type="dxa" w:w="2450"/>
            <w:tcMar>
              <w:top w:type="dxa" w:w="80"/>
              <w:left w:type="dxa" w:w="120"/>
              <w:bottom w:type="dxa" w:w="80"/>
              <w:right w:type="dxa" w:w="120"/>
            </w:tcMar>
          </w:tcPr>
          <w:p>
            <w:pPr>
              <w:bidi/>
              <w:jc w:val="center"/>
            </w:pPr>
            <w:r>
              <w:rPr>
                <w:sz w:val="21"/>
                <w:szCs w:val="21"/>
                <w:rtl/>
              </w:rPr>
              <w:t xml:space="preserve">✔ متين — تحليل صحيح لكل فئة</w:t>
            </w:r>
          </w:p>
        </w:tc>
        <w:tc>
          <w:tcPr>
            <w:tcW w:type="dxa" w:w="2450"/>
            <w:tcMar>
              <w:top w:type="dxa" w:w="80"/>
              <w:left w:type="dxa" w:w="120"/>
              <w:bottom w:type="dxa" w:w="80"/>
              <w:right w:type="dxa" w:w="120"/>
            </w:tcMar>
          </w:tcPr>
          <w:p>
            <w:pPr>
              <w:bidi/>
              <w:jc w:val="center"/>
            </w:pPr>
            <w:r>
              <w:rPr>
                <w:sz w:val="21"/>
                <w:szCs w:val="21"/>
                <w:rtl/>
              </w:rPr>
              <w:t xml:space="preserve">✔ مؤكد — mAP50=0.723</w:t>
            </w:r>
          </w:p>
        </w:tc>
        <w:tc>
          <w:tcPr>
            <w:tcW w:type="dxa" w:w="4200"/>
            <w:tcMar>
              <w:top w:type="dxa" w:w="80"/>
              <w:left w:type="dxa" w:w="120"/>
              <w:bottom w:type="dxa" w:w="80"/>
              <w:right w:type="dxa" w:w="120"/>
            </w:tcMar>
          </w:tcPr>
          <w:p>
            <w:pPr>
              <w:bidi/>
              <w:jc w:val="right"/>
            </w:pPr>
            <w:r>
              <w:rPr>
                <w:sz w:val="21"/>
                <w:szCs w:val="21"/>
                <w:rtl/>
              </w:rPr>
              <w:t xml:space="preserve">تدريب YOLOv8 على بيانات حقيقية (GPU)</w:t>
            </w:r>
          </w:p>
        </w:tc>
      </w:tr>
      <w:tr>
        <w:tc>
          <w:tcPr>
            <w:tcW w:type="dxa" w:w="2450"/>
            <w:tcMar>
              <w:top w:type="dxa" w:w="80"/>
              <w:left w:type="dxa" w:w="120"/>
              <w:bottom w:type="dxa" w:w="80"/>
              <w:right w:type="dxa" w:w="120"/>
            </w:tcMar>
          </w:tcPr>
          <w:p>
            <w:pPr>
              <w:bidi/>
              <w:jc w:val="center"/>
            </w:pPr>
            <w:r>
              <w:rPr>
                <w:sz w:val="21"/>
                <w:szCs w:val="21"/>
                <w:rtl/>
              </w:rPr>
              <w:t xml:space="preserve">✔ ممتاز — استنتاج مستقل شبه كامل</w:t>
            </w:r>
          </w:p>
        </w:tc>
        <w:tc>
          <w:tcPr>
            <w:tcW w:type="dxa" w:w="2450"/>
            <w:tcMar>
              <w:top w:type="dxa" w:w="80"/>
              <w:left w:type="dxa" w:w="120"/>
              <w:bottom w:type="dxa" w:w="80"/>
              <w:right w:type="dxa" w:w="120"/>
            </w:tcMar>
          </w:tcPr>
          <w:p>
            <w:pPr>
              <w:bidi/>
              <w:jc w:val="center"/>
            </w:pPr>
            <w:r>
              <w:rPr>
                <w:sz w:val="21"/>
                <w:szCs w:val="21"/>
                <w:rtl/>
              </w:rPr>
              <w:t xml:space="preserve">✔ مؤكد — اختبار فعلي على 4 صور</w:t>
            </w:r>
          </w:p>
        </w:tc>
        <w:tc>
          <w:tcPr>
            <w:tcW w:type="dxa" w:w="4200"/>
            <w:tcMar>
              <w:top w:type="dxa" w:w="80"/>
              <w:left w:type="dxa" w:w="120"/>
              <w:bottom w:type="dxa" w:w="80"/>
              <w:right w:type="dxa" w:w="120"/>
            </w:tcMar>
          </w:tcPr>
          <w:p>
            <w:pPr>
              <w:bidi/>
              <w:jc w:val="right"/>
            </w:pPr>
            <w:r>
              <w:rPr>
                <w:sz w:val="21"/>
                <w:szCs w:val="21"/>
                <w:rtl/>
              </w:rPr>
              <w:t xml:space="preserve">تشخيص Domain Shift على بيانات واقعية</w:t>
            </w:r>
          </w:p>
        </w:tc>
      </w:tr>
      <w:tr>
        <w:tc>
          <w:tcPr>
            <w:tcW w:type="dxa" w:w="2450"/>
            <w:tcMar>
              <w:top w:type="dxa" w:w="80"/>
              <w:left w:type="dxa" w:w="120"/>
              <w:bottom w:type="dxa" w:w="80"/>
              <w:right w:type="dxa" w:w="120"/>
            </w:tcMar>
          </w:tcPr>
          <w:p>
            <w:pPr>
              <w:bidi/>
              <w:jc w:val="center"/>
            </w:pPr>
            <w:r>
              <w:rPr>
                <w:sz w:val="21"/>
                <w:szCs w:val="21"/>
                <w:rtl/>
              </w:rPr>
              <w:t xml:space="preserve">✔ متين — فهم Leaderboard Overfitting</w:t>
            </w:r>
          </w:p>
        </w:tc>
        <w:tc>
          <w:tcPr>
            <w:tcW w:type="dxa" w:w="2450"/>
            <w:tcMar>
              <w:top w:type="dxa" w:w="80"/>
              <w:left w:type="dxa" w:w="120"/>
              <w:bottom w:type="dxa" w:w="80"/>
              <w:right w:type="dxa" w:w="120"/>
            </w:tcMar>
          </w:tcPr>
          <w:p>
            <w:pPr>
              <w:bidi/>
              <w:jc w:val="center"/>
            </w:pPr>
            <w:r>
              <w:rPr>
                <w:sz w:val="21"/>
                <w:szCs w:val="21"/>
                <w:rtl/>
              </w:rPr>
              <w:t xml:space="preserve">✔ مؤكد — Log Loss 0.09247 منشور</w:t>
            </w:r>
          </w:p>
        </w:tc>
        <w:tc>
          <w:tcPr>
            <w:tcW w:type="dxa" w:w="4200"/>
            <w:tcMar>
              <w:top w:type="dxa" w:w="80"/>
              <w:left w:type="dxa" w:w="120"/>
              <w:bottom w:type="dxa" w:w="80"/>
              <w:right w:type="dxa" w:w="120"/>
            </w:tcMar>
          </w:tcPr>
          <w:p>
            <w:pPr>
              <w:bidi/>
              <w:jc w:val="right"/>
            </w:pPr>
            <w:r>
              <w:rPr>
                <w:sz w:val="21"/>
                <w:szCs w:val="21"/>
                <w:rtl/>
              </w:rPr>
              <w:t xml:space="preserve">مسابقة Kaggle كاملة (تدريب→رفع→نتيجة)</w:t>
            </w:r>
          </w:p>
        </w:tc>
      </w:tr>
      <w:tr>
        <w:tc>
          <w:tcPr>
            <w:tcW w:type="dxa" w:w="2450"/>
            <w:tcMar>
              <w:top w:type="dxa" w:w="80"/>
              <w:left w:type="dxa" w:w="120"/>
              <w:bottom w:type="dxa" w:w="80"/>
              <w:right w:type="dxa" w:w="120"/>
            </w:tcMar>
          </w:tcPr>
          <w:p>
            <w:pPr>
              <w:bidi/>
              <w:jc w:val="center"/>
            </w:pPr>
            <w:r>
              <w:rPr>
                <w:sz w:val="21"/>
                <w:szCs w:val="21"/>
                <w:rtl/>
              </w:rPr>
              <w:t xml:space="preserve">⚠ خلط مصطلحي متكرر (Accuracy/Log Loss)</w:t>
            </w:r>
          </w:p>
        </w:tc>
        <w:tc>
          <w:tcPr>
            <w:tcW w:type="dxa" w:w="2450"/>
            <w:tcMar>
              <w:top w:type="dxa" w:w="80"/>
              <w:left w:type="dxa" w:w="120"/>
              <w:bottom w:type="dxa" w:w="80"/>
              <w:right w:type="dxa" w:w="120"/>
            </w:tcMar>
          </w:tcPr>
          <w:p>
            <w:pPr>
              <w:bidi/>
              <w:jc w:val="center"/>
            </w:pPr>
            <w:r>
              <w:rPr>
                <w:sz w:val="21"/>
                <w:szCs w:val="21"/>
                <w:rtl/>
              </w:rPr>
              <w:t xml:space="preserve">✔ مؤكد — نُشر على LinkedIn/GitHub</w:t>
            </w:r>
          </w:p>
        </w:tc>
        <w:tc>
          <w:tcPr>
            <w:tcW w:type="dxa" w:w="4200"/>
            <w:tcMar>
              <w:top w:type="dxa" w:w="80"/>
              <w:left w:type="dxa" w:w="120"/>
              <w:bottom w:type="dxa" w:w="80"/>
              <w:right w:type="dxa" w:w="120"/>
            </w:tcMar>
          </w:tcPr>
          <w:p>
            <w:pPr>
              <w:bidi/>
              <w:jc w:val="right"/>
            </w:pPr>
            <w:r>
              <w:rPr>
                <w:sz w:val="21"/>
                <w:szCs w:val="21"/>
                <w:rtl/>
              </w:rPr>
              <w:t xml:space="preserve">صياغة توظيفية دقيقة (Headline/About/CV)</w:t>
            </w:r>
          </w:p>
        </w:tc>
      </w:tr>
    </w:tbl>
    <w:p>
      <w:pPr>
        <w:bidi/>
        <w:spacing w:after="200"/>
      </w:pPr>
    </w:p>
    <w:p>
      <w:pPr>
        <w:pStyle w:val="Heading1"/>
        <w:pBdr>
          <w:bottom w:val="single" w:color="1A1A1A" w:sz="6"/>
        </w:pBdr>
        <w:bidi/>
        <w:spacing w:after="160" w:before="360"/>
        <w:jc w:val="right"/>
      </w:pPr>
      <w:r>
        <w:rPr>
          <w:b/>
          <w:bCs/>
          <w:color w:val="1A1A1A"/>
          <w:sz w:val="30"/>
          <w:szCs w:val="30"/>
          <w:rtl/>
        </w:rPr>
        <w:t xml:space="preserve">٤. الصعوبات والأعطال التي واجهت التنفيذ</w:t>
      </w:r>
    </w:p>
    <w:p>
      <w:pPr>
        <w:bidi/>
        <w:spacing w:after="120" w:line="300"/>
        <w:jc w:val="right"/>
      </w:pPr>
      <w:r>
        <w:rPr>
          <w:color w:val="1A1A1A"/>
          <w:sz w:val="22"/>
          <w:szCs w:val="22"/>
          <w:rtl/>
        </w:rPr>
        <w:t xml:space="preserve">أعلى تركيز لأعطال بيئة العمل منذ الأسبوع الأول، بسبب الانتقال لأدوات جديدة (Colab, Kaggle, Google Drive) لم تُستخدم سابقًا:</w:t>
      </w:r>
    </w:p>
    <w:p>
      <w:pPr>
        <w:pStyle w:val="ListParagraph"/>
        <w:numPr>
          <w:ilvl w:val="0"/>
          <w:numId w:val="2"/>
        </w:numPr>
        <w:bidi/>
        <w:spacing w:after="70"/>
        <w:jc w:val="right"/>
      </w:pPr>
      <w:r>
        <w:rPr>
          <w:color w:val="1A1A1A"/>
          <w:sz w:val="22"/>
          <w:szCs w:val="22"/>
          <w:rtl/>
        </w:rPr>
        <w:t xml:space="preserve">تداخل مسارات فك الضغط بـColab (NEU-DET/NEU-DET) بسبب تسمية مجلد الوجهة بنفس اسم الملف المضغوط.</w:t>
      </w:r>
    </w:p>
    <w:p>
      <w:pPr>
        <w:pStyle w:val="ListParagraph"/>
        <w:numPr>
          <w:ilvl w:val="0"/>
          <w:numId w:val="2"/>
        </w:numPr>
        <w:bidi/>
        <w:spacing w:after="70"/>
        <w:jc w:val="right"/>
      </w:pPr>
      <w:r>
        <w:rPr>
          <w:color w:val="1A1A1A"/>
          <w:sz w:val="22"/>
          <w:szCs w:val="22"/>
          <w:rtl/>
        </w:rPr>
        <w:t xml:space="preserve">فقدان نموذج مدرَّب بالكامل (best.pt) بسبب طبيعة /content المؤقتة بـColab وانقطاع الجلسة قبل التنزيل.</w:t>
      </w:r>
    </w:p>
    <w:p>
      <w:pPr>
        <w:pStyle w:val="ListParagraph"/>
        <w:numPr>
          <w:ilvl w:val="0"/>
          <w:numId w:val="2"/>
        </w:numPr>
        <w:bidi/>
        <w:spacing w:after="70"/>
        <w:jc w:val="right"/>
      </w:pPr>
      <w:r>
        <w:rPr>
          <w:color w:val="1A1A1A"/>
          <w:sz w:val="22"/>
          <w:szCs w:val="22"/>
          <w:rtl/>
        </w:rPr>
        <w:t xml:space="preserve">فشل Compress-Archive بـPowerShell في إنتاج ملف مضغوط متوافق (تحويل الفواصل لأجزاء من اسم الملف)، عولج بأداة ضغط بديلة (Send to Compressed folder).</w:t>
      </w:r>
    </w:p>
    <w:p>
      <w:pPr>
        <w:pStyle w:val="ListParagraph"/>
        <w:numPr>
          <w:ilvl w:val="0"/>
          <w:numId w:val="2"/>
        </w:numPr>
        <w:bidi/>
        <w:spacing w:after="70"/>
        <w:jc w:val="right"/>
      </w:pPr>
      <w:r>
        <w:rPr>
          <w:color w:val="1A1A1A"/>
          <w:sz w:val="22"/>
          <w:szCs w:val="22"/>
          <w:rtl/>
        </w:rPr>
        <w:t xml:space="preserve">فشل رفع ملف كبير (~550 ميجا) مباشرة عبر files.upload() بـColab، عولج بالتحويل الكامل لأسلوب Google Drive + drive.mount().</w:t>
      </w:r>
    </w:p>
    <w:p>
      <w:pPr>
        <w:pStyle w:val="ListParagraph"/>
        <w:numPr>
          <w:ilvl w:val="0"/>
          <w:numId w:val="2"/>
        </w:numPr>
        <w:bidi/>
        <w:spacing w:after="70"/>
        <w:jc w:val="right"/>
      </w:pPr>
      <w:r>
        <w:rPr>
          <w:color w:val="1A1A1A"/>
          <w:sz w:val="22"/>
          <w:szCs w:val="22"/>
          <w:rtl/>
        </w:rPr>
        <w:t xml:space="preserve">نسيان تفعيل GPU قبل بدء التدريب أدى لتشغيل استغرق 3 ساعات كاملة على CPU بدل دقائق — درس مكرر حول ترتيب خطوات إعداد أي جلسة Colab جديدة.</w:t>
      </w:r>
    </w:p>
    <w:p>
      <w:pPr>
        <w:pStyle w:val="ListParagraph"/>
        <w:numPr>
          <w:ilvl w:val="1"/>
          <w:numId w:val="2"/>
        </w:numPr>
        <w:bidi/>
        <w:spacing w:after="70"/>
        <w:jc w:val="right"/>
      </w:pPr>
      <w:r>
        <w:rPr>
          <w:color w:val="1A1A1A"/>
          <w:sz w:val="22"/>
          <w:szCs w:val="22"/>
          <w:rtl/>
        </w:rPr>
        <w:t xml:space="preserve">خلط متكرر بمصطلحات مقاييس الأداء عند صياغة المحتوى التوظيفي (استخدام 'accuracy' للإشارة إلى نتيجة Log Loss الفعلية) — يشير لضرورة مراجعة أي رقم/مصطلح بمقابل الكود الفعلي قبل نشره بمواد توظيفية.</w:t>
      </w:r>
    </w:p>
    <w:p>
      <w:pPr>
        <w:pStyle w:val="ListParagraph"/>
        <w:numPr>
          <w:ilvl w:val="0"/>
          <w:numId w:val="2"/>
        </w:numPr>
        <w:bidi/>
        <w:spacing w:after="70"/>
        <w:jc w:val="right"/>
      </w:pPr>
      <w:r>
        <w:rPr>
          <w:color w:val="1A1A1A"/>
          <w:sz w:val="22"/>
          <w:szCs w:val="22"/>
          <w:rtl/>
        </w:rPr>
        <w:t xml:space="preserve">تجاوز حد أحرف حقل Headline بـLinkedIn (220 حرفًا) بسبب الخلط بينه وبين حقل About (2600 حرفًا) — عولج بفهم الفرق بين الحقلين.</w:t>
      </w:r>
    </w:p>
    <w:p>
      <w:pPr>
        <w:pStyle w:val="Heading1"/>
        <w:pBdr>
          <w:bottom w:val="single" w:color="1A1A1A" w:sz="6"/>
        </w:pBdr>
        <w:bidi/>
        <w:spacing w:after="160" w:before="360"/>
        <w:jc w:val="right"/>
      </w:pPr>
      <w:r>
        <w:rPr>
          <w:b/>
          <w:bCs/>
          <w:color w:val="1A1A1A"/>
          <w:sz w:val="30"/>
          <w:szCs w:val="30"/>
          <w:rtl/>
        </w:rPr>
        <w:t xml:space="preserve">٥. التقييم (رأي صريح)</w:t>
      </w:r>
    </w:p>
    <w:p>
      <w:pPr>
        <w:bidi/>
        <w:spacing w:after="90"/>
        <w:jc w:val="right"/>
      </w:pPr>
      <w:r>
        <w:rPr>
          <w:b/>
          <w:bCs/>
          <w:color w:val="2E7D32"/>
          <w:sz w:val="22"/>
          <w:szCs w:val="22"/>
        </w:rPr>
        <w:t xml:space="preserve">● </w:t>
      </w:r>
      <w:r>
        <w:rPr>
          <w:b/>
          <w:bCs/>
          <w:color w:val="1A1A1A"/>
          <w:sz w:val="22"/>
          <w:szCs w:val="22"/>
          <w:rtl/>
        </w:rPr>
        <w:t xml:space="preserve">الجاهزية لسوق العمل — </w:t>
      </w:r>
      <w:r>
        <w:rPr>
          <w:color w:val="1A1A1A"/>
          <w:sz w:val="22"/>
          <w:szCs w:val="22"/>
          <w:rtl/>
        </w:rPr>
        <w:t xml:space="preserve">جاهز لتقديم طلبات فعلية — محفظة تضم مشروعًا واقعيًا كاملاً (بما في ذلك تحليل فشل حقيقي)، ومسابقة تنافسية موثّقة.</w:t>
      </w:r>
    </w:p>
    <w:p>
      <w:pPr>
        <w:bidi/>
        <w:spacing w:after="90"/>
        <w:jc w:val="right"/>
      </w:pPr>
      <w:r>
        <w:rPr>
          <w:b/>
          <w:bCs/>
          <w:color w:val="B8860B"/>
          <w:sz w:val="22"/>
          <w:szCs w:val="22"/>
        </w:rPr>
        <w:t xml:space="preserve">● </w:t>
      </w:r>
      <w:r>
        <w:rPr>
          <w:b/>
          <w:bCs/>
          <w:color w:val="1A1A1A"/>
          <w:sz w:val="22"/>
          <w:szCs w:val="22"/>
          <w:rtl/>
        </w:rPr>
        <w:t xml:space="preserve">جودة العادات البرمجية وبيئة العمل عبر أدوات جديدة — </w:t>
      </w:r>
      <w:r>
        <w:rPr>
          <w:color w:val="1A1A1A"/>
          <w:sz w:val="22"/>
          <w:szCs w:val="22"/>
          <w:rtl/>
        </w:rPr>
        <w:t xml:space="preserve">أضعف نقطة بهذه الفترة — سلسلة أعطال طويلة مع Colab/Kaggle، لكنها متوقعة تمامًا عند أول استخدام لأي أداة جديدة.</w:t>
      </w:r>
    </w:p>
    <w:p>
      <w:pPr>
        <w:bidi/>
        <w:spacing w:after="90"/>
        <w:jc w:val="right"/>
      </w:pPr>
      <w:r>
        <w:rPr>
          <w:b/>
          <w:bCs/>
          <w:color w:val="C62828"/>
          <w:sz w:val="22"/>
          <w:szCs w:val="22"/>
        </w:rPr>
        <w:t xml:space="preserve">● </w:t>
      </w:r>
      <w:r>
        <w:rPr>
          <w:b/>
          <w:bCs/>
          <w:color w:val="1A1A1A"/>
          <w:sz w:val="22"/>
          <w:szCs w:val="22"/>
          <w:rtl/>
        </w:rPr>
        <w:t xml:space="preserve">الدقة المصطلحية عند التوثيق والعرض — </w:t>
      </w:r>
      <w:r>
        <w:rPr>
          <w:color w:val="1A1A1A"/>
          <w:sz w:val="22"/>
          <w:szCs w:val="22"/>
          <w:rtl/>
        </w:rPr>
        <w:t xml:space="preserve">يحتاج انتباهًا مستمرًا — الميل لتضخيم أو خلط المصطلحات التقنية عند صياغة محتوى توظيفي يقلل المصداقية أكثر مما يزيدها.</w:t>
      </w:r>
    </w:p>
    <w:p>
      <w:pPr>
        <w:bidi/>
        <w:spacing w:after="120" w:line="300"/>
        <w:jc w:val="right"/>
      </w:pPr>
      <w:r>
        <w:rPr>
          <w:color w:val="1A1A1A"/>
          <w:sz w:val="22"/>
          <w:szCs w:val="22"/>
          <w:rtl/>
        </w:rPr>
        <w:t xml:space="preserve">تقييم ختامي شامل للمسار كامل (16 أسبوعًا): البداية (الأسبوع 1) تميّزت بأعطال بيئة عمل كثيفة (6 أعطال مسجَّلة) وتعلّم أساسي. بحلول الأسبوع 3، اختفت هذه الأعطال بالكامل، وتحسّن عمق الفهم المفاهيمي تدريجيًا حتى وصل لذروته بالأسبوع 5-9 (تفسيرات مستقلة دون تصحيح متكرر). عند الانتقال لأدوات جديدة كليًا (Colab، Kaggle، Google Drive) بالأسابيع 13-15، تكررت أعطال بيئة العمل بشكل طبيعي ومتوقع — نمط تعلّم أي أداة جديدة، لا تراجع في القدرة التقنية. النمط الأهم عبر المسار بأكمله: الانتقال التدريجي من اتباع تعليمات خطوة بخطوة إلى تشخيص مستقل لمشاكل حقيقية (اكتشاف Domain Shift بالأسبوع 13-14 هو أوضح مثال على هذا النضج).</w:t>
      </w:r>
    </w:p>
    <w:p>
      <w:pPr>
        <w:bidi/>
        <w:spacing w:after="120" w:line="300"/>
        <w:jc w:val="right"/>
      </w:pPr>
      <w:r>
        <w:rPr>
          <w:color w:val="1A1A1A"/>
          <w:sz w:val="22"/>
          <w:szCs w:val="22"/>
          <w:rtl/>
        </w:rPr>
        <w:t xml:space="preserve">التوصية النهائية: المسار مكتمل رسميًا وبمعيار مهني حقيقي. الخطوة التالية المنطقية خارج نطاق هذه الدورة: جمع بيانات فعلية إضافية من بيئة العمل الحقيقية للمستخدم، وتطبيق Fine-tuning (تقنية مُتقنة بالأسبوع 8-9) على النموذج الحالي لمعالجة مشكلة Domain Shift المكتشفة — تحويل مشروع Learning إلى منتج قابل للنشر الفعلي.</w:t>
      </w:r>
    </w:p>
    <w:p>
      <w:pPr>
        <w:pStyle w:val="Heading1"/>
        <w:pBdr>
          <w:bottom w:val="single" w:color="1A1A1A" w:sz="6"/>
        </w:pBdr>
        <w:bidi/>
        <w:spacing w:after="160" w:before="360"/>
        <w:jc w:val="right"/>
      </w:pPr>
      <w:r>
        <w:rPr>
          <w:b/>
          <w:bCs/>
          <w:color w:val="1A1A1A"/>
          <w:sz w:val="30"/>
          <w:szCs w:val="30"/>
          <w:rtl/>
        </w:rPr>
        <w:t xml:space="preserve">٦. الخلاصة النهائية للمسار</w:t>
      </w:r>
    </w:p>
    <w:p>
      <w:pPr>
        <w:bidi/>
        <w:spacing w:after="120" w:line="300"/>
        <w:jc w:val="right"/>
      </w:pPr>
      <w:r>
        <w:rPr>
          <w:color w:val="1A1A1A"/>
          <w:sz w:val="22"/>
          <w:szCs w:val="22"/>
          <w:rtl/>
        </w:rPr>
        <w:t xml:space="preserve">المسار الكامل (16 أسبوعًا) — حالة الإنجاز النهائية:</w:t>
      </w:r>
    </w:p>
    <w:p>
      <w:pPr>
        <w:pStyle w:val="ListParagraph"/>
        <w:numPr>
          <w:ilvl w:val="0"/>
          <w:numId w:val="2"/>
        </w:numPr>
        <w:bidi/>
        <w:spacing w:after="70"/>
        <w:jc w:val="right"/>
      </w:pPr>
      <w:r>
        <w:rPr>
          <w:color w:val="1A1A1A"/>
          <w:sz w:val="22"/>
          <w:szCs w:val="22"/>
          <w:rtl/>
        </w:rPr>
        <w:t xml:space="preserve">الأسبوع 1–3: الأساسيات الصورية (OpenCV) ← مكتملة ✅</w:t>
      </w:r>
    </w:p>
    <w:p>
      <w:pPr>
        <w:pStyle w:val="ListParagraph"/>
        <w:numPr>
          <w:ilvl w:val="0"/>
          <w:numId w:val="2"/>
        </w:numPr>
        <w:bidi/>
        <w:spacing w:after="70"/>
        <w:jc w:val="right"/>
      </w:pPr>
      <w:r>
        <w:rPr>
          <w:color w:val="1A1A1A"/>
          <w:sz w:val="22"/>
          <w:szCs w:val="22"/>
          <w:rtl/>
        </w:rPr>
        <w:t xml:space="preserve">الأسبوع 4–7: أساسيات التعلّم العميق (PyTorch, CNN) ← مكتملة ✅</w:t>
      </w:r>
    </w:p>
    <w:p>
      <w:pPr>
        <w:pStyle w:val="ListParagraph"/>
        <w:numPr>
          <w:ilvl w:val="0"/>
          <w:numId w:val="2"/>
        </w:numPr>
        <w:bidi/>
        <w:spacing w:after="70"/>
        <w:jc w:val="right"/>
      </w:pPr>
      <w:r>
        <w:rPr>
          <w:color w:val="1A1A1A"/>
          <w:sz w:val="22"/>
          <w:szCs w:val="22"/>
          <w:rtl/>
        </w:rPr>
        <w:t xml:space="preserve">الأسبوع 8–12: تطبيقات CV حقيقية (Transfer Learning, YOLO, Segmentation) ← مكتملة ✅</w:t>
      </w:r>
    </w:p>
    <w:p>
      <w:pPr>
        <w:pStyle w:val="ListParagraph"/>
        <w:numPr>
          <w:ilvl w:val="0"/>
          <w:numId w:val="2"/>
        </w:numPr>
        <w:bidi/>
        <w:spacing w:after="70"/>
        <w:jc w:val="right"/>
      </w:pPr>
      <w:r>
        <w:rPr>
          <w:color w:val="1A1A1A"/>
          <w:sz w:val="22"/>
          <w:szCs w:val="22"/>
          <w:rtl/>
        </w:rPr>
        <w:t xml:space="preserve">الأسبوع 13–16: مشروع End-to-End، Kaggle، المحفظة والتوظيف ← مكتملة ✅</w:t>
      </w:r>
    </w:p>
    <w:p>
      <w:pPr>
        <w:pStyle w:val="ListParagraph"/>
        <w:numPr>
          <w:ilvl w:val="0"/>
          <w:numId w:val="2"/>
        </w:numPr>
        <w:bidi/>
        <w:spacing w:after="70"/>
        <w:jc w:val="right"/>
      </w:pPr>
      <w:r>
        <w:rPr>
          <w:color w:val="1A1A1A"/>
          <w:sz w:val="22"/>
          <w:szCs w:val="22"/>
          <w:rtl/>
        </w:rPr>
        <w:t xml:space="preserve">الحالة: المسار منتهٍ بالكامل — من Python/NumPy الأساسي إلى نموذج CNN مُدرَّب، مسابقة Kaggle علنية، ومحفظة GitHub/LinkedIn جاهزة للعرض على أصحاب العمل.</w:t>
      </w:r>
    </w:p>
    <w:p>
      <w:pPr>
        <w:bidi/>
        <w:spacing w:before="300"/>
      </w:pPr>
    </w:p>
    <w:p>
      <w:pPr>
        <w:pBdr>
          <w:top w:val="single" w:color="CCCCCC" w:sz="4"/>
        </w:pBdr>
        <w:bidi/>
        <w:spacing w:before="200"/>
        <w:jc w:val="right"/>
      </w:pPr>
      <w:r>
        <w:rPr>
          <w:i/>
          <w:iCs/>
          <w:color w:val="555555"/>
          <w:sz w:val="18"/>
          <w:szCs w:val="18"/>
          <w:rtl/>
        </w:rPr>
        <w:t xml:space="preserve">نهاية تقرير الأسابيع 13-16 — نهاية المسار الكامل</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460" w:hanging="260"/>
      </w:pPr>
    </w:lvl>
    <w:lvl w:ilvl="1" w15:tentative="1">
      <w:start w:val="1"/>
      <w:numFmt w:val="bullet"/>
      <w:lvlText w:val="◦"/>
      <w:lvlJc w:val="right"/>
      <w:pPr>
        <w:bidi/>
        <w:ind w:righ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2026-08-30T15:36:44.101Z</dcterms:created>
  <dcterms:modified xsi:type="dcterms:W3CDTF">2026-08-30T15:36:44.121Z</dcterms:modified>
</cp:coreProperties>
</file>

<file path=docProps/custom.xml><?xml version="1.0" encoding="utf-8"?>
<Properties xmlns="http://schemas.openxmlformats.org/officeDocument/2006/custom-properties" xmlns:vt="http://schemas.openxmlformats.org/officeDocument/2006/docPropsVTypes"/>
</file>