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40"/>
        <w:jc w:val="right"/>
      </w:pPr>
      <w:r>
        <w:rPr>
          <w:color w:val="555555"/>
          <w:sz w:val="20"/>
          <w:szCs w:val="20"/>
          <w:rtl/>
        </w:rPr>
        <w:t xml:space="preserve">تقرير تقدّم أسبوعي</w:t>
      </w:r>
    </w:p>
    <w:p>
      <w:pPr>
        <w:bidi/>
        <w:spacing w:after="300"/>
        <w:jc w:val="right"/>
      </w:pPr>
      <w:r>
        <w:rPr>
          <w:b/>
          <w:bCs/>
          <w:color w:val="1A1A1A"/>
          <w:sz w:val="40"/>
          <w:szCs w:val="40"/>
          <w:rtl/>
        </w:rPr>
        <w:t xml:space="preserve">مسار هندسة الرؤية الحاسوبية التطبيقية</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6300"/>
        <w:gridCol w:w="2800"/>
      </w:tblGrid>
      <w:tr>
        <w:tc>
          <w:tcPr>
            <w:tcW w:type="dxa" w:w="6300"/>
            <w:tcMar>
              <w:top w:type="dxa" w:w="100"/>
              <w:left w:type="dxa" w:w="150"/>
              <w:bottom w:type="dxa" w:w="100"/>
              <w:right w:type="dxa" w:w="150"/>
            </w:tcMar>
          </w:tcPr>
          <w:p>
            <w:pPr>
              <w:bidi/>
              <w:jc w:val="right"/>
            </w:pPr>
            <w:r>
              <w:rPr>
                <w:sz w:val="21"/>
                <w:szCs w:val="21"/>
                <w:rtl/>
              </w:rPr>
              <w:t xml:space="preserve">المشرف على المسار (الدور: مدير تنفيذي / مشرف / مستشار)</w:t>
            </w:r>
          </w:p>
        </w:tc>
        <w:tc>
          <w:tcPr>
            <w:tcW w:type="dxa" w:w="2800"/>
            <w:shd w:fill="F2F2F2" w:val="clear"/>
            <w:tcMar>
              <w:top w:type="dxa" w:w="100"/>
              <w:left w:type="dxa" w:w="150"/>
              <w:bottom w:type="dxa" w:w="100"/>
              <w:right w:type="dxa" w:w="150"/>
            </w:tcMar>
          </w:tcPr>
          <w:p>
            <w:pPr>
              <w:bidi/>
              <w:jc w:val="right"/>
            </w:pPr>
            <w:r>
              <w:rPr>
                <w:b/>
                <w:bCs/>
                <w:sz w:val="21"/>
                <w:szCs w:val="21"/>
                <w:rtl/>
              </w:rPr>
              <w:t xml:space="preserve">الجهة</w:t>
            </w:r>
          </w:p>
        </w:tc>
      </w:tr>
      <w:tr>
        <w:tc>
          <w:tcPr>
            <w:tcW w:type="dxa" w:w="6300"/>
            <w:tcMar>
              <w:top w:type="dxa" w:w="100"/>
              <w:left w:type="dxa" w:w="150"/>
              <w:bottom w:type="dxa" w:w="100"/>
              <w:right w:type="dxa" w:w="150"/>
            </w:tcMar>
          </w:tcPr>
          <w:p>
            <w:pPr>
              <w:bidi/>
              <w:jc w:val="right"/>
            </w:pPr>
            <w:r>
              <w:rPr>
                <w:sz w:val="21"/>
                <w:szCs w:val="21"/>
                <w:rtl/>
              </w:rPr>
              <w:t xml:space="preserve">المتدرب — omori99100-dot</w:t>
            </w:r>
          </w:p>
        </w:tc>
        <w:tc>
          <w:tcPr>
            <w:tcW w:type="dxa" w:w="2800"/>
            <w:shd w:fill="F2F2F2" w:val="clear"/>
            <w:tcMar>
              <w:top w:type="dxa" w:w="100"/>
              <w:left w:type="dxa" w:w="150"/>
              <w:bottom w:type="dxa" w:w="100"/>
              <w:right w:type="dxa" w:w="150"/>
            </w:tcMar>
          </w:tcPr>
          <w:p>
            <w:pPr>
              <w:bidi/>
              <w:jc w:val="right"/>
            </w:pPr>
            <w:r>
              <w:rPr>
                <w:b/>
                <w:bCs/>
                <w:sz w:val="21"/>
                <w:szCs w:val="21"/>
                <w:rtl/>
              </w:rPr>
              <w:t xml:space="preserve">مقدَّم من</w:t>
            </w:r>
          </w:p>
        </w:tc>
      </w:tr>
      <w:tr>
        <w:tc>
          <w:tcPr>
            <w:tcW w:type="dxa" w:w="6300"/>
            <w:tcMar>
              <w:top w:type="dxa" w:w="100"/>
              <w:left w:type="dxa" w:w="150"/>
              <w:bottom w:type="dxa" w:w="100"/>
              <w:right w:type="dxa" w:w="150"/>
            </w:tcMar>
          </w:tcPr>
          <w:p>
            <w:pPr>
              <w:bidi/>
              <w:jc w:val="right"/>
            </w:pPr>
            <w:r>
              <w:rPr>
                <w:sz w:val="21"/>
                <w:szCs w:val="21"/>
                <w:rtl/>
              </w:rPr>
              <w:t xml:space="preserve">الأسبوع 4 — المرحلة 2: أساسيات الشبكات العصبية (NumPy، بدون PyTorch)</w:t>
            </w:r>
          </w:p>
        </w:tc>
        <w:tc>
          <w:tcPr>
            <w:tcW w:type="dxa" w:w="2800"/>
            <w:shd w:fill="F2F2F2" w:val="clear"/>
            <w:tcMar>
              <w:top w:type="dxa" w:w="100"/>
              <w:left w:type="dxa" w:w="150"/>
              <w:bottom w:type="dxa" w:w="100"/>
              <w:right w:type="dxa" w:w="150"/>
            </w:tcMar>
          </w:tcPr>
          <w:p>
            <w:pPr>
              <w:bidi/>
              <w:jc w:val="right"/>
            </w:pPr>
            <w:r>
              <w:rPr>
                <w:b/>
                <w:bCs/>
                <w:sz w:val="21"/>
                <w:szCs w:val="21"/>
                <w:rtl/>
              </w:rPr>
              <w:t xml:space="preserve">الفترة المشمولة</w:t>
            </w:r>
          </w:p>
        </w:tc>
      </w:tr>
      <w:tr>
        <w:tc>
          <w:tcPr>
            <w:tcW w:type="dxa" w:w="6300"/>
            <w:tcMar>
              <w:top w:type="dxa" w:w="100"/>
              <w:left w:type="dxa" w:w="150"/>
              <w:bottom w:type="dxa" w:w="100"/>
              <w:right w:type="dxa" w:w="150"/>
            </w:tcMar>
          </w:tcPr>
          <w:p>
            <w:pPr>
              <w:bidi/>
              <w:jc w:val="right"/>
            </w:pPr>
            <w:r>
              <w:rPr>
                <w:sz w:val="21"/>
                <w:szCs w:val="21"/>
                <w:rtl/>
              </w:rPr>
              <w:t xml:space="preserve">مكتمل ✅ — جاهز للانتقال إلى الأسبوع 5 (PyTorch)</w:t>
            </w:r>
          </w:p>
        </w:tc>
        <w:tc>
          <w:tcPr>
            <w:tcW w:type="dxa" w:w="2800"/>
            <w:shd w:fill="F2F2F2" w:val="clear"/>
            <w:tcMar>
              <w:top w:type="dxa" w:w="100"/>
              <w:left w:type="dxa" w:w="150"/>
              <w:bottom w:type="dxa" w:w="100"/>
              <w:right w:type="dxa" w:w="150"/>
            </w:tcMar>
          </w:tcPr>
          <w:p>
            <w:pPr>
              <w:bidi/>
              <w:jc w:val="right"/>
            </w:pPr>
            <w:r>
              <w:rPr>
                <w:b/>
                <w:bCs/>
                <w:sz w:val="21"/>
                <w:szCs w:val="21"/>
                <w:rtl/>
              </w:rPr>
              <w:t xml:space="preserve">الحالة العامة</w:t>
            </w:r>
          </w:p>
        </w:tc>
      </w:tr>
      <w:tr>
        <w:tc>
          <w:tcPr>
            <w:tcW w:type="dxa" w:w="6300"/>
            <w:tcMar>
              <w:top w:type="dxa" w:w="100"/>
              <w:left w:type="dxa" w:w="150"/>
              <w:bottom w:type="dxa" w:w="100"/>
              <w:right w:type="dxa" w:w="150"/>
            </w:tcMar>
          </w:tcPr>
          <w:p>
            <w:pPr>
              <w:bidi/>
              <w:jc w:val="right"/>
            </w:pPr>
            <w:r>
              <w:rPr>
                <w:sz w:val="21"/>
                <w:szCs w:val="21"/>
                <w:rtl/>
              </w:rPr>
              <w:t xml:space="preserve">github.com/omori99100-dot/cv-engineer-path</w:t>
            </w:r>
          </w:p>
        </w:tc>
        <w:tc>
          <w:tcPr>
            <w:tcW w:type="dxa" w:w="2800"/>
            <w:shd w:fill="F2F2F2" w:val="clear"/>
            <w:tcMar>
              <w:top w:type="dxa" w:w="100"/>
              <w:left w:type="dxa" w:w="150"/>
              <w:bottom w:type="dxa" w:w="100"/>
              <w:right w:type="dxa" w:w="150"/>
            </w:tcMar>
          </w:tcPr>
          <w:p>
            <w:pPr>
              <w:bidi/>
              <w:jc w:val="right"/>
            </w:pPr>
            <w:r>
              <w:rPr>
                <w:b/>
                <w:bCs/>
                <w:sz w:val="21"/>
                <w:szCs w:val="21"/>
                <w:rtl/>
              </w:rPr>
              <w:t xml:space="preserve">مستودع GitHub</w:t>
            </w:r>
          </w:p>
        </w:tc>
      </w:tr>
    </w:tbl>
    <w:p>
      <w:pPr>
        <w:spacing w:after="200"/>
      </w:pPr>
    </w:p>
    <w:p>
      <w:pPr>
        <w:pStyle w:val="Heading1"/>
        <w:pBdr>
          <w:bottom w:val="single" w:color="1A1A1A" w:sz="6"/>
        </w:pBdr>
        <w:bidi/>
        <w:spacing w:after="160" w:before="360"/>
        <w:jc w:val="right"/>
      </w:pPr>
      <w:r>
        <w:rPr>
          <w:b/>
          <w:bCs/>
          <w:color w:val="1A1A1A"/>
          <w:sz w:val="30"/>
          <w:szCs w:val="30"/>
          <w:rtl/>
        </w:rPr>
        <w:t xml:space="preserve">١. الملخص التنفيذي</w:t>
      </w:r>
    </w:p>
    <w:p>
      <w:pPr>
        <w:bidi/>
        <w:spacing w:after="120" w:line="300"/>
        <w:jc w:val="right"/>
      </w:pPr>
      <w:r>
        <w:rPr>
          <w:color w:val="1A1A1A"/>
          <w:sz w:val="22"/>
          <w:szCs w:val="22"/>
          <w:rtl/>
        </w:rPr>
        <w:t xml:space="preserve">أُنجزت خلال هذا الأسبوع أهداف الأسبوع الرابع — أول أسبوع بمرحلة التعلّم العميق (المرحلة 2)، وأُنجز بالكامل باستخدام NumPy الخام بدون أي مكتبة جاهزة، مطابقًا للخطة الأصلية القاضية بفهم الآلية الرياضية الداخلية قبل الانتقال لـ PyTorch. غطّى الأسبوع Forward Propagation (التنبؤ)، Backpropagation (التعلّم من الخطأ عبر Gradient Descent)، وبناء شبكة متعددة الطبقات قادرة على حل مشكلة XOR — مثال كلاسيكي يوضح حدود الشبكات ذات الطبقة الواحدة.</w:t>
      </w:r>
    </w:p>
    <w:p>
      <w:pPr>
        <w:bidi/>
        <w:spacing w:after="120" w:line="300"/>
        <w:jc w:val="right"/>
      </w:pPr>
      <w:r>
        <w:rPr>
          <w:color w:val="1A1A1A"/>
          <w:sz w:val="22"/>
          <w:szCs w:val="22"/>
          <w:rtl/>
        </w:rPr>
        <w:t xml:space="preserve">الأداء المفاهيمي جيد بشكل عام مع تحسّن ملحوظ بالتبرير الرياضي (تحليل رقمي دقيق لتأثير التربيع بدالة الخسارة)، لكن ظهر خلط بسيط بين وصف سلوك التدريب وتفسير السبب الجوهري لضرورة الطبقة المخفية — تم تصحيحه بمثال هندسي مباشر (الفصل الخطي مقابل غير الخطي).</w:t>
      </w:r>
    </w:p>
    <w:p>
      <w:pPr>
        <w:pStyle w:val="Heading1"/>
        <w:pBdr>
          <w:bottom w:val="single" w:color="1A1A1A" w:sz="6"/>
        </w:pBdr>
        <w:bidi/>
        <w:spacing w:after="160" w:before="360"/>
        <w:jc w:val="right"/>
      </w:pPr>
      <w:r>
        <w:rPr>
          <w:b/>
          <w:bCs/>
          <w:color w:val="1A1A1A"/>
          <w:sz w:val="30"/>
          <w:szCs w:val="30"/>
          <w:rtl/>
        </w:rPr>
        <w:t xml:space="preserve">٢. الأعمال المُنجزة</w:t>
      </w:r>
    </w:p>
    <w:p>
      <w:pPr>
        <w:pStyle w:val="Heading2"/>
        <w:bidi/>
        <w:spacing w:after="120" w:before="260"/>
        <w:jc w:val="right"/>
      </w:pPr>
      <w:r>
        <w:rPr>
          <w:b/>
          <w:bCs/>
          <w:color w:val="1A1A1A"/>
          <w:sz w:val="24"/>
          <w:szCs w:val="24"/>
          <w:rtl/>
        </w:rPr>
        <w:t xml:space="preserve">2.1 Forward Propagation (اليوم 1)</w:t>
      </w:r>
    </w:p>
    <w:p>
      <w:pPr>
        <w:pStyle w:val="ListParagraph"/>
        <w:numPr>
          <w:ilvl w:val="0"/>
          <w:numId w:val="2"/>
        </w:numPr>
        <w:bidi/>
        <w:spacing w:after="70"/>
        <w:jc w:val="right"/>
      </w:pPr>
      <w:r>
        <w:rPr>
          <w:color w:val="1A1A1A"/>
          <w:sz w:val="22"/>
          <w:szCs w:val="22"/>
          <w:rtl/>
        </w:rPr>
        <w:t xml:space="preserve">بناء وفهم Neuron واحد يدويًا: ضرب مدخلات بأوزان (Weighted Sum) + bias، ثم تمرير الناتج بدالة تفعيل Sigmoid.</w:t>
      </w:r>
    </w:p>
    <w:p>
      <w:pPr>
        <w:pStyle w:val="ListParagraph"/>
        <w:numPr>
          <w:ilvl w:val="0"/>
          <w:numId w:val="2"/>
        </w:numPr>
        <w:bidi/>
        <w:spacing w:after="70"/>
        <w:jc w:val="right"/>
      </w:pPr>
      <w:r>
        <w:rPr>
          <w:color w:val="1A1A1A"/>
          <w:sz w:val="22"/>
          <w:szCs w:val="22"/>
          <w:rtl/>
        </w:rPr>
        <w:t xml:space="preserve">ربط مبدأ عتبة القرار (0.5) بمفهوم Threshold من الأسبوع الأول (OpenCV) — نفس المنطق: قيمة فوق العتبة = قرار، تحتها = قرار معاكس.</w:t>
      </w:r>
    </w:p>
    <w:p>
      <w:pPr>
        <w:pStyle w:val="ListParagraph"/>
        <w:numPr>
          <w:ilvl w:val="0"/>
          <w:numId w:val="2"/>
        </w:numPr>
        <w:bidi/>
        <w:spacing w:after="70"/>
        <w:jc w:val="right"/>
      </w:pPr>
      <w:r>
        <w:rPr>
          <w:color w:val="1A1A1A"/>
          <w:sz w:val="22"/>
          <w:szCs w:val="22"/>
          <w:rtl/>
        </w:rPr>
        <w:t xml:space="preserve">مناقشة تصميمية حول أي اتجاه (قريب من 1 أو 0) يمثل أي قرار هندسي، وربطها بمبدأ عدم تماثل تكلفة الخطأ (تفويت عيب أخطر من إنذار كاذب).</w:t>
      </w:r>
    </w:p>
    <w:p>
      <w:pPr>
        <w:pStyle w:val="ListParagraph"/>
        <w:numPr>
          <w:ilvl w:val="0"/>
          <w:numId w:val="2"/>
        </w:numPr>
        <w:bidi/>
        <w:spacing w:after="70"/>
        <w:jc w:val="right"/>
      </w:pPr>
      <w:r>
        <w:rPr>
          <w:color w:val="1A1A1A"/>
          <w:sz w:val="22"/>
          <w:szCs w:val="22"/>
          <w:rtl/>
        </w:rPr>
        <w:t xml:space="preserve">تطبيق Mean Squared Error (MSE) كدالة خسارة، وتحليل رقمي دقيق يثبت أن التربيع يضخّم الأخطاء الكبيرة بشكل غير خطي (خطأ ضعف آخر ينتج Loss أربعة أضعاف، لا ضعفين).</w:t>
      </w:r>
    </w:p>
    <w:p>
      <w:pPr>
        <w:pStyle w:val="Heading2"/>
        <w:bidi/>
        <w:spacing w:after="120" w:before="260"/>
        <w:jc w:val="right"/>
      </w:pPr>
      <w:r>
        <w:rPr>
          <w:b/>
          <w:bCs/>
          <w:color w:val="1A1A1A"/>
          <w:sz w:val="24"/>
          <w:szCs w:val="24"/>
          <w:rtl/>
        </w:rPr>
        <w:t xml:space="preserve">2.2 Backpropagation (اليوم 2)</w:t>
      </w:r>
    </w:p>
    <w:p>
      <w:pPr>
        <w:pStyle w:val="ListParagraph"/>
        <w:numPr>
          <w:ilvl w:val="0"/>
          <w:numId w:val="2"/>
        </w:numPr>
        <w:bidi/>
        <w:spacing w:after="70"/>
        <w:jc w:val="right"/>
      </w:pPr>
      <w:r>
        <w:rPr>
          <w:color w:val="1A1A1A"/>
          <w:sz w:val="22"/>
          <w:szCs w:val="22"/>
          <w:rtl/>
        </w:rPr>
        <w:t xml:space="preserve">فهم Gradient كمقياس لاتجاه ومقدار تأثير تغيير وزن معين على الـ Loss، وتطبيق Chain Rule لحسابه يدويًا عبر طبقات متتالية.</w:t>
      </w:r>
    </w:p>
    <w:p>
      <w:pPr>
        <w:pStyle w:val="ListParagraph"/>
        <w:numPr>
          <w:ilvl w:val="0"/>
          <w:numId w:val="2"/>
        </w:numPr>
        <w:bidi/>
        <w:spacing w:after="70"/>
        <w:jc w:val="right"/>
      </w:pPr>
      <w:r>
        <w:rPr>
          <w:color w:val="1A1A1A"/>
          <w:sz w:val="22"/>
          <w:szCs w:val="22"/>
          <w:rtl/>
        </w:rPr>
        <w:t xml:space="preserve">بناء حلقة Gradient Descent كاملة (5 خطوات) على Neuron واحد، وتوثيق الانخفاض التدريجي للـ Loss (0.25 → 0.1568) مع اقتراب y_pred من y_true.</w:t>
      </w:r>
    </w:p>
    <w:p>
      <w:pPr>
        <w:pStyle w:val="ListParagraph"/>
        <w:numPr>
          <w:ilvl w:val="0"/>
          <w:numId w:val="2"/>
        </w:numPr>
        <w:bidi/>
        <w:spacing w:after="70"/>
        <w:jc w:val="right"/>
      </w:pPr>
      <w:r>
        <w:rPr>
          <w:color w:val="1A1A1A"/>
          <w:sz w:val="22"/>
          <w:szCs w:val="22"/>
          <w:rtl/>
        </w:rPr>
        <w:t xml:space="preserve">ملاحظة وتفسير تباطؤ معدل انخفاض الـ Loss عبر الخطوات — نتيجة طبيعية لتناقص حجم الـ Gradient كلما قل الخطأ.</w:t>
      </w:r>
    </w:p>
    <w:p>
      <w:pPr>
        <w:pStyle w:val="Heading2"/>
        <w:bidi/>
        <w:spacing w:after="120" w:before="260"/>
        <w:jc w:val="right"/>
      </w:pPr>
      <w:r>
        <w:rPr>
          <w:b/>
          <w:bCs/>
          <w:color w:val="1A1A1A"/>
          <w:sz w:val="24"/>
          <w:szCs w:val="24"/>
          <w:rtl/>
        </w:rPr>
        <w:t xml:space="preserve">2.3 شبكة متعددة الطبقات وحل XOR (اليوم 3)</w:t>
      </w:r>
    </w:p>
    <w:p>
      <w:pPr>
        <w:pStyle w:val="ListParagraph"/>
        <w:numPr>
          <w:ilvl w:val="0"/>
          <w:numId w:val="2"/>
        </w:numPr>
        <w:bidi/>
        <w:spacing w:after="70"/>
        <w:jc w:val="right"/>
      </w:pPr>
      <w:r>
        <w:rPr>
          <w:color w:val="1A1A1A"/>
          <w:sz w:val="22"/>
          <w:szCs w:val="22"/>
          <w:rtl/>
        </w:rPr>
        <w:t xml:space="preserve">بناء شبكة عصبية كاملة بطبقة مخفية (2 مدخل → 4 خلايا مخفية → 1 مخرج) بـ NumPy الخام بالكامل.</w:t>
      </w:r>
    </w:p>
    <w:p>
      <w:pPr>
        <w:pStyle w:val="ListParagraph"/>
        <w:numPr>
          <w:ilvl w:val="0"/>
          <w:numId w:val="2"/>
        </w:numPr>
        <w:bidi/>
        <w:spacing w:after="70"/>
        <w:jc w:val="right"/>
      </w:pPr>
      <w:r>
        <w:rPr>
          <w:color w:val="1A1A1A"/>
          <w:sz w:val="22"/>
          <w:szCs w:val="22"/>
          <w:rtl/>
        </w:rPr>
        <w:t xml:space="preserve">تدريب الشبكة 5000 epoch على مشكلة XOR، مع تحقق ناجح: الخسارة انخفضت من قيمة أولية إلى 0.0003، والتنبؤات النهائية مطابقة تقريبًا للقيم الصحيحة (0.0085 و0.9855 و0.9837 و0.0213 مقابل 0, 1, 1, 0).</w:t>
      </w:r>
    </w:p>
    <w:p>
      <w:pPr>
        <w:pStyle w:val="ListParagraph"/>
        <w:numPr>
          <w:ilvl w:val="0"/>
          <w:numId w:val="2"/>
        </w:numPr>
        <w:bidi/>
        <w:spacing w:after="70"/>
        <w:jc w:val="right"/>
      </w:pPr>
      <w:r>
        <w:rPr>
          <w:color w:val="1A1A1A"/>
          <w:sz w:val="22"/>
          <w:szCs w:val="22"/>
          <w:rtl/>
        </w:rPr>
        <w:t xml:space="preserve">فهم السبب الهندسي الجوهري لضرورة الطبقة المخفية: عجز خط مستقيم واحد (Neuron واحد) عن فصل بيانات XOR غير القابلة للفصل الخطي، مقابل قدرة الطبقة المخفية على تركيب عدة حدود قرار لتكوين فاصل معقد.</w:t>
      </w:r>
    </w:p>
    <w:p>
      <w:pPr>
        <w:pStyle w:val="ListParagraph"/>
        <w:numPr>
          <w:ilvl w:val="1"/>
          <w:numId w:val="2"/>
        </w:numPr>
        <w:bidi/>
        <w:spacing w:after="70"/>
        <w:jc w:val="right"/>
      </w:pPr>
      <w:r>
        <w:rPr>
          <w:color w:val="1A1A1A"/>
          <w:sz w:val="22"/>
          <w:szCs w:val="22"/>
          <w:rtl/>
        </w:rPr>
        <w:t xml:space="preserve">تصحيح خلط أولي بين وصف سلوك انخفاض Loss عبر الـ epochs وتفسير السبب الجوهري لضرورة الطبقة المخفية.</w:t>
      </w:r>
    </w:p>
    <w:p>
      <w:pPr>
        <w:pStyle w:val="Heading1"/>
        <w:pBdr>
          <w:bottom w:val="single" w:color="1A1A1A" w:sz="6"/>
        </w:pBdr>
        <w:bidi/>
        <w:spacing w:after="160" w:before="360"/>
        <w:jc w:val="right"/>
      </w:pPr>
      <w:r>
        <w:rPr>
          <w:b/>
          <w:bCs/>
          <w:color w:val="1A1A1A"/>
          <w:sz w:val="30"/>
          <w:szCs w:val="30"/>
          <w:rtl/>
        </w:rPr>
        <w:t xml:space="preserve">٣. مؤشرات الإنجاز</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450"/>
        <w:gridCol w:w="2450"/>
        <w:gridCol w:w="4200"/>
      </w:tblGrid>
      <w:tr>
        <w:trPr>
          <w:tblHeader/>
        </w:trPr>
        <w:tc>
          <w:tcPr>
            <w:tcW w:type="dxa" w:w="2450"/>
            <w:shd w:fill="1A1A1A" w:val="clear"/>
            <w:tcMar>
              <w:top w:type="dxa" w:w="90"/>
              <w:left w:type="dxa" w:w="120"/>
              <w:bottom w:type="dxa" w:w="90"/>
              <w:right w:type="dxa" w:w="120"/>
            </w:tcMar>
          </w:tcPr>
          <w:p>
            <w:pPr>
              <w:bidi/>
              <w:jc w:val="center"/>
            </w:pPr>
            <w:r>
              <w:rPr>
                <w:b/>
                <w:bCs/>
                <w:color w:val="FFFFFF"/>
                <w:sz w:val="21"/>
                <w:szCs w:val="21"/>
                <w:rtl/>
              </w:rPr>
              <w:t xml:space="preserve">الفهم المفاهيمي</w:t>
            </w:r>
          </w:p>
        </w:tc>
        <w:tc>
          <w:tcPr>
            <w:tcW w:type="dxa" w:w="2450"/>
            <w:shd w:fill="1A1A1A" w:val="clear"/>
            <w:tcMar>
              <w:top w:type="dxa" w:w="90"/>
              <w:left w:type="dxa" w:w="120"/>
              <w:bottom w:type="dxa" w:w="90"/>
              <w:right w:type="dxa" w:w="120"/>
            </w:tcMar>
          </w:tcPr>
          <w:p>
            <w:pPr>
              <w:bidi/>
              <w:jc w:val="center"/>
            </w:pPr>
            <w:r>
              <w:rPr>
                <w:b/>
                <w:bCs/>
                <w:color w:val="FFFFFF"/>
                <w:sz w:val="21"/>
                <w:szCs w:val="21"/>
                <w:rtl/>
              </w:rPr>
              <w:t xml:space="preserve">التنفيذ</w:t>
            </w:r>
          </w:p>
        </w:tc>
        <w:tc>
          <w:tcPr>
            <w:tcW w:type="dxa" w:w="4200"/>
            <w:shd w:fill="1A1A1A" w:val="clear"/>
            <w:tcMar>
              <w:top w:type="dxa" w:w="90"/>
              <w:left w:type="dxa" w:w="120"/>
              <w:bottom w:type="dxa" w:w="90"/>
              <w:right w:type="dxa" w:w="120"/>
            </w:tcMar>
          </w:tcPr>
          <w:p>
            <w:pPr>
              <w:bidi/>
              <w:jc w:val="right"/>
            </w:pPr>
            <w:r>
              <w:rPr>
                <w:b/>
                <w:bCs/>
                <w:color w:val="FFFFFF"/>
                <w:sz w:val="21"/>
                <w:szCs w:val="21"/>
                <w:rtl/>
              </w:rPr>
              <w:t xml:space="preserve">المهارة / المفهوم</w:t>
            </w:r>
          </w:p>
        </w:tc>
      </w:tr>
      <w:tr>
        <w:tc>
          <w:tcPr>
            <w:tcW w:type="dxa" w:w="2450"/>
            <w:tcMar>
              <w:top w:type="dxa" w:w="80"/>
              <w:left w:type="dxa" w:w="120"/>
              <w:bottom w:type="dxa" w:w="80"/>
              <w:right w:type="dxa" w:w="120"/>
            </w:tcMar>
          </w:tcPr>
          <w:p>
            <w:pPr>
              <w:bidi/>
              <w:jc w:val="center"/>
            </w:pPr>
            <w:r>
              <w:rPr>
                <w:sz w:val="21"/>
                <w:szCs w:val="21"/>
                <w:rtl/>
              </w:rPr>
              <w:t xml:space="preserve">✔ متين</w:t>
            </w:r>
          </w:p>
        </w:tc>
        <w:tc>
          <w:tcPr>
            <w:tcW w:type="dxa" w:w="2450"/>
            <w:tcMar>
              <w:top w:type="dxa" w:w="80"/>
              <w:left w:type="dxa" w:w="120"/>
              <w:bottom w:type="dxa" w:w="80"/>
              <w:right w:type="dxa" w:w="120"/>
            </w:tcMar>
          </w:tcPr>
          <w:p>
            <w:pPr>
              <w:bidi/>
              <w:jc w:val="center"/>
            </w:pPr>
            <w:r>
              <w:rPr>
                <w:sz w:val="21"/>
                <w:szCs w:val="21"/>
                <w:rtl/>
              </w:rPr>
              <w:t xml:space="preserve">✔ مؤكد بالكود</w:t>
            </w:r>
          </w:p>
        </w:tc>
        <w:tc>
          <w:tcPr>
            <w:tcW w:type="dxa" w:w="4200"/>
            <w:tcMar>
              <w:top w:type="dxa" w:w="80"/>
              <w:left w:type="dxa" w:w="120"/>
              <w:bottom w:type="dxa" w:w="80"/>
              <w:right w:type="dxa" w:w="120"/>
            </w:tcMar>
          </w:tcPr>
          <w:p>
            <w:pPr>
              <w:bidi/>
              <w:jc w:val="right"/>
            </w:pPr>
            <w:r>
              <w:rPr>
                <w:sz w:val="21"/>
                <w:szCs w:val="21"/>
                <w:rtl/>
              </w:rPr>
              <w:t xml:space="preserve">Forward Propagation (Weighted Sum + Sigmoid)</w:t>
            </w:r>
          </w:p>
        </w:tc>
      </w:tr>
      <w:tr>
        <w:tc>
          <w:tcPr>
            <w:tcW w:type="dxa" w:w="2450"/>
            <w:tcMar>
              <w:top w:type="dxa" w:w="80"/>
              <w:left w:type="dxa" w:w="120"/>
              <w:bottom w:type="dxa" w:w="80"/>
              <w:right w:type="dxa" w:w="120"/>
            </w:tcMar>
          </w:tcPr>
          <w:p>
            <w:pPr>
              <w:bidi/>
              <w:jc w:val="center"/>
            </w:pPr>
            <w:r>
              <w:rPr>
                <w:sz w:val="21"/>
                <w:szCs w:val="21"/>
                <w:rtl/>
              </w:rPr>
              <w:t xml:space="preserve">✔ متين — مؤكد بحساب رقمي دقيق</w:t>
            </w:r>
          </w:p>
        </w:tc>
        <w:tc>
          <w:tcPr>
            <w:tcW w:type="dxa" w:w="2450"/>
            <w:tcMar>
              <w:top w:type="dxa" w:w="80"/>
              <w:left w:type="dxa" w:w="120"/>
              <w:bottom w:type="dxa" w:w="80"/>
              <w:right w:type="dxa" w:w="120"/>
            </w:tcMar>
          </w:tcPr>
          <w:p>
            <w:pPr>
              <w:bidi/>
              <w:jc w:val="center"/>
            </w:pPr>
            <w:r>
              <w:rPr>
                <w:sz w:val="21"/>
                <w:szCs w:val="21"/>
                <w:rtl/>
              </w:rPr>
              <w:t xml:space="preserve">✔ مؤكد بالكود</w:t>
            </w:r>
          </w:p>
        </w:tc>
        <w:tc>
          <w:tcPr>
            <w:tcW w:type="dxa" w:w="4200"/>
            <w:tcMar>
              <w:top w:type="dxa" w:w="80"/>
              <w:left w:type="dxa" w:w="120"/>
              <w:bottom w:type="dxa" w:w="80"/>
              <w:right w:type="dxa" w:w="120"/>
            </w:tcMar>
          </w:tcPr>
          <w:p>
            <w:pPr>
              <w:bidi/>
              <w:jc w:val="right"/>
            </w:pPr>
            <w:r>
              <w:rPr>
                <w:sz w:val="21"/>
                <w:szCs w:val="21"/>
                <w:rtl/>
              </w:rPr>
              <w:t xml:space="preserve">MSE وتضخيم الأخطاء الكبيرة</w:t>
            </w:r>
          </w:p>
        </w:tc>
      </w:tr>
      <w:tr>
        <w:tc>
          <w:tcPr>
            <w:tcW w:type="dxa" w:w="2450"/>
            <w:tcMar>
              <w:top w:type="dxa" w:w="80"/>
              <w:left w:type="dxa" w:w="120"/>
              <w:bottom w:type="dxa" w:w="80"/>
              <w:right w:type="dxa" w:w="120"/>
            </w:tcMar>
          </w:tcPr>
          <w:p>
            <w:pPr>
              <w:bidi/>
              <w:jc w:val="center"/>
            </w:pPr>
            <w:r>
              <w:rPr>
                <w:sz w:val="21"/>
                <w:szCs w:val="21"/>
                <w:rtl/>
              </w:rPr>
              <w:t xml:space="preserve">✔ متين — نتيجة تدريجية موثقة</w:t>
            </w:r>
          </w:p>
        </w:tc>
        <w:tc>
          <w:tcPr>
            <w:tcW w:type="dxa" w:w="2450"/>
            <w:tcMar>
              <w:top w:type="dxa" w:w="80"/>
              <w:left w:type="dxa" w:w="120"/>
              <w:bottom w:type="dxa" w:w="80"/>
              <w:right w:type="dxa" w:w="120"/>
            </w:tcMar>
          </w:tcPr>
          <w:p>
            <w:pPr>
              <w:bidi/>
              <w:jc w:val="center"/>
            </w:pPr>
            <w:r>
              <w:rPr>
                <w:sz w:val="21"/>
                <w:szCs w:val="21"/>
                <w:rtl/>
              </w:rPr>
              <w:t xml:space="preserve">✔ مؤكد بالكود</w:t>
            </w:r>
          </w:p>
        </w:tc>
        <w:tc>
          <w:tcPr>
            <w:tcW w:type="dxa" w:w="4200"/>
            <w:tcMar>
              <w:top w:type="dxa" w:w="80"/>
              <w:left w:type="dxa" w:w="120"/>
              <w:bottom w:type="dxa" w:w="80"/>
              <w:right w:type="dxa" w:w="120"/>
            </w:tcMar>
          </w:tcPr>
          <w:p>
            <w:pPr>
              <w:bidi/>
              <w:jc w:val="right"/>
            </w:pPr>
            <w:r>
              <w:rPr>
                <w:sz w:val="21"/>
                <w:szCs w:val="21"/>
                <w:rtl/>
              </w:rPr>
              <w:t xml:space="preserve">Gradient + Chain Rule</w:t>
            </w:r>
          </w:p>
        </w:tc>
      </w:tr>
      <w:tr>
        <w:tc>
          <w:tcPr>
            <w:tcW w:type="dxa" w:w="2450"/>
            <w:tcMar>
              <w:top w:type="dxa" w:w="80"/>
              <w:left w:type="dxa" w:w="120"/>
              <w:bottom w:type="dxa" w:w="80"/>
              <w:right w:type="dxa" w:w="120"/>
            </w:tcMar>
          </w:tcPr>
          <w:p>
            <w:pPr>
              <w:bidi/>
              <w:jc w:val="center"/>
            </w:pPr>
            <w:r>
              <w:rPr>
                <w:sz w:val="21"/>
                <w:szCs w:val="21"/>
                <w:rtl/>
              </w:rPr>
              <w:t xml:space="preserve">✔ متين</w:t>
            </w:r>
          </w:p>
        </w:tc>
        <w:tc>
          <w:tcPr>
            <w:tcW w:type="dxa" w:w="2450"/>
            <w:tcMar>
              <w:top w:type="dxa" w:w="80"/>
              <w:left w:type="dxa" w:w="120"/>
              <w:bottom w:type="dxa" w:w="80"/>
              <w:right w:type="dxa" w:w="120"/>
            </w:tcMar>
          </w:tcPr>
          <w:p>
            <w:pPr>
              <w:bidi/>
              <w:jc w:val="center"/>
            </w:pPr>
            <w:r>
              <w:rPr>
                <w:sz w:val="21"/>
                <w:szCs w:val="21"/>
                <w:rtl/>
              </w:rPr>
              <w:t xml:space="preserve">✔ مؤكد — 5 خطوات موثقة</w:t>
            </w:r>
          </w:p>
        </w:tc>
        <w:tc>
          <w:tcPr>
            <w:tcW w:type="dxa" w:w="4200"/>
            <w:tcMar>
              <w:top w:type="dxa" w:w="80"/>
              <w:left w:type="dxa" w:w="120"/>
              <w:bottom w:type="dxa" w:w="80"/>
              <w:right w:type="dxa" w:w="120"/>
            </w:tcMar>
          </w:tcPr>
          <w:p>
            <w:pPr>
              <w:bidi/>
              <w:jc w:val="right"/>
            </w:pPr>
            <w:r>
              <w:rPr>
                <w:sz w:val="21"/>
                <w:szCs w:val="21"/>
                <w:rtl/>
              </w:rPr>
              <w:t xml:space="preserve">Gradient Descent (Neuron واحد)</w:t>
            </w:r>
          </w:p>
        </w:tc>
      </w:tr>
      <w:tr>
        <w:tc>
          <w:tcPr>
            <w:tcW w:type="dxa" w:w="2450"/>
            <w:tcMar>
              <w:top w:type="dxa" w:w="80"/>
              <w:left w:type="dxa" w:w="120"/>
              <w:bottom w:type="dxa" w:w="80"/>
              <w:right w:type="dxa" w:w="120"/>
            </w:tcMar>
          </w:tcPr>
          <w:p>
            <w:pPr>
              <w:bidi/>
              <w:jc w:val="center"/>
            </w:pPr>
            <w:r>
              <w:rPr>
                <w:sz w:val="21"/>
                <w:szCs w:val="21"/>
                <w:rtl/>
              </w:rPr>
              <w:t xml:space="preserve">⚠ تحقق بعد خلط أولي ثم صُحح</w:t>
            </w:r>
          </w:p>
        </w:tc>
        <w:tc>
          <w:tcPr>
            <w:tcW w:type="dxa" w:w="2450"/>
            <w:tcMar>
              <w:top w:type="dxa" w:w="80"/>
              <w:left w:type="dxa" w:w="120"/>
              <w:bottom w:type="dxa" w:w="80"/>
              <w:right w:type="dxa" w:w="120"/>
            </w:tcMar>
          </w:tcPr>
          <w:p>
            <w:pPr>
              <w:bidi/>
              <w:jc w:val="center"/>
            </w:pPr>
            <w:r>
              <w:rPr>
                <w:sz w:val="21"/>
                <w:szCs w:val="21"/>
                <w:rtl/>
              </w:rPr>
              <w:t xml:space="preserve">✔ مؤكد — تدريب 5000 epoch ناجح</w:t>
            </w:r>
          </w:p>
        </w:tc>
        <w:tc>
          <w:tcPr>
            <w:tcW w:type="dxa" w:w="4200"/>
            <w:tcMar>
              <w:top w:type="dxa" w:w="80"/>
              <w:left w:type="dxa" w:w="120"/>
              <w:bottom w:type="dxa" w:w="80"/>
              <w:right w:type="dxa" w:w="120"/>
            </w:tcMar>
          </w:tcPr>
          <w:p>
            <w:pPr>
              <w:bidi/>
              <w:jc w:val="right"/>
            </w:pPr>
            <w:r>
              <w:rPr>
                <w:sz w:val="21"/>
                <w:szCs w:val="21"/>
                <w:rtl/>
              </w:rPr>
              <w:t xml:space="preserve">شبكة متعددة الطبقات (XOR)</w:t>
            </w:r>
          </w:p>
        </w:tc>
      </w:tr>
      <w:tr>
        <w:tc>
          <w:tcPr>
            <w:tcW w:type="dxa" w:w="2450"/>
            <w:tcMar>
              <w:top w:type="dxa" w:w="80"/>
              <w:left w:type="dxa" w:w="120"/>
              <w:bottom w:type="dxa" w:w="80"/>
              <w:right w:type="dxa" w:w="120"/>
            </w:tcMar>
          </w:tcPr>
          <w:p>
            <w:pPr>
              <w:bidi/>
              <w:jc w:val="center"/>
            </w:pPr>
            <w:r>
              <w:rPr>
                <w:sz w:val="21"/>
                <w:szCs w:val="21"/>
                <w:rtl/>
              </w:rPr>
              <w:t xml:space="preserve">⚠ وصف سلوك بدل تفسير سبب — صُحح بمثال هندسي</w:t>
            </w:r>
          </w:p>
        </w:tc>
        <w:tc>
          <w:tcPr>
            <w:tcW w:type="dxa" w:w="2450"/>
            <w:tcMar>
              <w:top w:type="dxa" w:w="80"/>
              <w:left w:type="dxa" w:w="120"/>
              <w:bottom w:type="dxa" w:w="80"/>
              <w:right w:type="dxa" w:w="120"/>
            </w:tcMar>
          </w:tcPr>
          <w:p>
            <w:pPr>
              <w:bidi/>
              <w:jc w:val="center"/>
            </w:pPr>
            <w:r>
              <w:rPr>
                <w:sz w:val="21"/>
                <w:szCs w:val="21"/>
                <w:rtl/>
              </w:rPr>
              <w:t xml:space="preserve">✔ مؤكد بالنتيجة العملية</w:t>
            </w:r>
          </w:p>
        </w:tc>
        <w:tc>
          <w:tcPr>
            <w:tcW w:type="dxa" w:w="4200"/>
            <w:tcMar>
              <w:top w:type="dxa" w:w="80"/>
              <w:left w:type="dxa" w:w="120"/>
              <w:bottom w:type="dxa" w:w="80"/>
              <w:right w:type="dxa" w:w="120"/>
            </w:tcMar>
          </w:tcPr>
          <w:p>
            <w:pPr>
              <w:bidi/>
              <w:jc w:val="right"/>
            </w:pPr>
            <w:r>
              <w:rPr>
                <w:sz w:val="21"/>
                <w:szCs w:val="21"/>
                <w:rtl/>
              </w:rPr>
              <w:t xml:space="preserve">سبب ضرورة الطبقة المخفية</w:t>
            </w:r>
          </w:p>
        </w:tc>
      </w:tr>
    </w:tbl>
    <w:p>
      <w:pPr>
        <w:bidi/>
        <w:spacing w:after="200"/>
      </w:pPr>
    </w:p>
    <w:p>
      <w:pPr>
        <w:pStyle w:val="Heading1"/>
        <w:pBdr>
          <w:bottom w:val="single" w:color="1A1A1A" w:sz="6"/>
        </w:pBdr>
        <w:bidi/>
        <w:spacing w:after="160" w:before="360"/>
        <w:jc w:val="right"/>
      </w:pPr>
      <w:r>
        <w:rPr>
          <w:b/>
          <w:bCs/>
          <w:color w:val="1A1A1A"/>
          <w:sz w:val="30"/>
          <w:szCs w:val="30"/>
          <w:rtl/>
        </w:rPr>
        <w:t xml:space="preserve">٤. الصعوبات والأعطال التي واجهت التنفيذ</w:t>
      </w:r>
    </w:p>
    <w:p>
      <w:pPr>
        <w:bidi/>
        <w:spacing w:after="120" w:line="300"/>
        <w:jc w:val="right"/>
      </w:pPr>
      <w:r>
        <w:rPr>
          <w:color w:val="1A1A1A"/>
          <w:sz w:val="22"/>
          <w:szCs w:val="22"/>
          <w:rtl/>
        </w:rPr>
        <w:t xml:space="preserve">جميع الملاحظات التالية مفاهيمية بحتة هذا الأسبوع — لا توجد أعطال بيئة عمل (مسارات، تسمية ملفات، Git):</w:t>
      </w:r>
    </w:p>
    <w:p>
      <w:pPr>
        <w:pStyle w:val="ListParagraph"/>
        <w:numPr>
          <w:ilvl w:val="0"/>
          <w:numId w:val="2"/>
        </w:numPr>
        <w:bidi/>
        <w:spacing w:after="70"/>
        <w:jc w:val="right"/>
      </w:pPr>
      <w:r>
        <w:rPr>
          <w:color w:val="1A1A1A"/>
          <w:sz w:val="22"/>
          <w:szCs w:val="22"/>
          <w:rtl/>
        </w:rPr>
        <w:t xml:space="preserve">إجابة أولى ناقصة التبرير حول أي اتجاه (0 أو 1) يمثل أي قرار هندسي — قُدّم قرار سليم دون سبب تقني، ثم استُكمل بتوضيح مبدأ عدم تماثل تكلفة الخطأ.</w:t>
      </w:r>
    </w:p>
    <w:p>
      <w:pPr>
        <w:pStyle w:val="ListParagraph"/>
        <w:numPr>
          <w:ilvl w:val="0"/>
          <w:numId w:val="2"/>
        </w:numPr>
        <w:bidi/>
        <w:spacing w:after="70"/>
        <w:jc w:val="right"/>
      </w:pPr>
      <w:r>
        <w:rPr>
          <w:color w:val="1A1A1A"/>
          <w:sz w:val="22"/>
          <w:szCs w:val="22"/>
          <w:rtl/>
        </w:rPr>
        <w:t xml:space="preserve">وصف عام غير دقيق لسبب فائدة تربيع الخطأ بـ MSE ('لحساب معدل الخسارة') — عولج بتحليل رقمي مباشر (0.2 مقابل 0.4) أظهر التضخيم غير الخطي بدقة.</w:t>
      </w:r>
    </w:p>
    <w:p>
      <w:pPr>
        <w:pStyle w:val="ListParagraph"/>
        <w:numPr>
          <w:ilvl w:val="0"/>
          <w:numId w:val="2"/>
        </w:numPr>
        <w:bidi/>
        <w:spacing w:after="70"/>
        <w:jc w:val="right"/>
      </w:pPr>
      <w:r>
        <w:rPr>
          <w:color w:val="1A1A1A"/>
          <w:sz w:val="22"/>
          <w:szCs w:val="22"/>
          <w:rtl/>
        </w:rPr>
        <w:t xml:space="preserve">خلط بين وصف سلوك التدريب (تناقص Loss عبر epochs) وتفسير السبب الجوهري لضرورة الطبقة المخفية — صُحّح بمثال هندسي مباشر (الفصل الخطي غير الكافي لبيانات XOR).</w:t>
      </w:r>
    </w:p>
    <w:p>
      <w:pPr>
        <w:pStyle w:val="Heading1"/>
        <w:pBdr>
          <w:bottom w:val="single" w:color="1A1A1A" w:sz="6"/>
        </w:pBdr>
        <w:bidi/>
        <w:spacing w:after="160" w:before="360"/>
        <w:jc w:val="right"/>
      </w:pPr>
      <w:r>
        <w:rPr>
          <w:b/>
          <w:bCs/>
          <w:color w:val="1A1A1A"/>
          <w:sz w:val="30"/>
          <w:szCs w:val="30"/>
          <w:rtl/>
        </w:rPr>
        <w:t xml:space="preserve">٥. التقييم (رأي صريح)</w:t>
      </w:r>
    </w:p>
    <w:p>
      <w:pPr>
        <w:bidi/>
        <w:spacing w:after="90"/>
        <w:jc w:val="right"/>
      </w:pPr>
      <w:r>
        <w:rPr>
          <w:b/>
          <w:bCs/>
          <w:color w:val="2E7D32"/>
          <w:sz w:val="22"/>
          <w:szCs w:val="22"/>
        </w:rPr>
        <w:t xml:space="preserve">● </w:t>
      </w:r>
      <w:r>
        <w:rPr>
          <w:b/>
          <w:bCs/>
          <w:color w:val="1A1A1A"/>
          <w:sz w:val="22"/>
          <w:szCs w:val="22"/>
          <w:rtl/>
        </w:rPr>
        <w:t xml:space="preserve">الجاهزية التقنية للانتقال إلى الأسبوع 5 (PyTorch) — </w:t>
      </w:r>
      <w:r>
        <w:rPr>
          <w:color w:val="1A1A1A"/>
          <w:sz w:val="22"/>
          <w:szCs w:val="22"/>
          <w:rtl/>
        </w:rPr>
        <w:t xml:space="preserve">جاهز. الآلية الداخلية للشبكات العصبية مفهومة رياضيًا وعمليًا، لا كصندوق أسود.</w:t>
      </w:r>
    </w:p>
    <w:p>
      <w:pPr>
        <w:bidi/>
        <w:spacing w:after="90"/>
        <w:jc w:val="right"/>
      </w:pPr>
      <w:r>
        <w:rPr>
          <w:b/>
          <w:bCs/>
          <w:color w:val="2E7D32"/>
          <w:sz w:val="22"/>
          <w:szCs w:val="22"/>
        </w:rPr>
        <w:t xml:space="preserve">● </w:t>
      </w:r>
      <w:r>
        <w:rPr>
          <w:b/>
          <w:bCs/>
          <w:color w:val="1A1A1A"/>
          <w:sz w:val="22"/>
          <w:szCs w:val="22"/>
          <w:rtl/>
        </w:rPr>
        <w:t xml:space="preserve">جودة العادات البرمجية وبيئة العمل — </w:t>
      </w:r>
      <w:r>
        <w:rPr>
          <w:color w:val="1A1A1A"/>
          <w:sz w:val="22"/>
          <w:szCs w:val="22"/>
          <w:rtl/>
        </w:rPr>
        <w:t xml:space="preserve">ممتاز — أسبوع ثانٍ متتالٍ بلا أي عطل مسارات/تسمية/Git.</w:t>
      </w:r>
    </w:p>
    <w:p>
      <w:pPr>
        <w:bidi/>
        <w:spacing w:after="90"/>
        <w:jc w:val="right"/>
      </w:pPr>
      <w:r>
        <w:rPr>
          <w:b/>
          <w:bCs/>
          <w:color w:val="B8860B"/>
          <w:sz w:val="22"/>
          <w:szCs w:val="22"/>
        </w:rPr>
        <w:t xml:space="preserve">● </w:t>
      </w:r>
      <w:r>
        <w:rPr>
          <w:b/>
          <w:bCs/>
          <w:color w:val="1A1A1A"/>
          <w:sz w:val="22"/>
          <w:szCs w:val="22"/>
          <w:rtl/>
        </w:rPr>
        <w:t xml:space="preserve">نمط التبرير — </w:t>
      </w:r>
      <w:r>
        <w:rPr>
          <w:color w:val="1A1A1A"/>
          <w:sz w:val="22"/>
          <w:szCs w:val="22"/>
          <w:rtl/>
        </w:rPr>
        <w:t xml:space="preserve">خلط متكرر بين 'وصف ما حدث' و'تفسير لماذا حدث' — يحتاج انتباه أكبر مع تعقّد المفاهيم القادمة.</w:t>
      </w:r>
    </w:p>
    <w:p>
      <w:pPr>
        <w:bidi/>
        <w:spacing w:after="120" w:line="300"/>
        <w:jc w:val="right"/>
      </w:pPr>
      <w:r>
        <w:rPr>
          <w:color w:val="1A1A1A"/>
          <w:sz w:val="22"/>
          <w:szCs w:val="22"/>
          <w:rtl/>
        </w:rPr>
        <w:t xml:space="preserve">التوصية: الانتقال إلى الأسبوع 5 (PyTorch) مباشرة. مع بداية استخدام مكتبة جاهزة، الانتباه لتفسير الأسباب الجوهرية (لا فقط وصف النتائج) سيصبح أهم — لأن PyTorch يخفي كثيرًا من الخطوات الوسيطة التي بُنيت يدويًا هذا الأسبوع تحديدًا لتجنّب أن تتحول لصندوق أسود.</w:t>
      </w:r>
    </w:p>
    <w:p>
      <w:pPr>
        <w:pStyle w:val="Heading1"/>
        <w:pBdr>
          <w:bottom w:val="single" w:color="1A1A1A" w:sz="6"/>
        </w:pBdr>
        <w:bidi/>
        <w:spacing w:after="160" w:before="360"/>
        <w:jc w:val="right"/>
      </w:pPr>
      <w:r>
        <w:rPr>
          <w:b/>
          <w:bCs/>
          <w:color w:val="1A1A1A"/>
          <w:sz w:val="30"/>
          <w:szCs w:val="30"/>
          <w:rtl/>
        </w:rPr>
        <w:t xml:space="preserve">٦. تذكير بالخطة العامة</w:t>
      </w:r>
    </w:p>
    <w:p>
      <w:pPr>
        <w:bidi/>
        <w:spacing w:after="120" w:line="300"/>
        <w:jc w:val="right"/>
      </w:pPr>
      <w:r>
        <w:rPr>
          <w:color w:val="1A1A1A"/>
          <w:sz w:val="22"/>
          <w:szCs w:val="22"/>
          <w:rtl/>
        </w:rPr>
        <w:t xml:space="preserve">لمنع التشتت — موقع هذا الأسبوع ضمن المسار الكامل (16 أسبوعًا):</w:t>
      </w:r>
    </w:p>
    <w:p>
      <w:pPr>
        <w:pStyle w:val="ListParagraph"/>
        <w:numPr>
          <w:ilvl w:val="0"/>
          <w:numId w:val="2"/>
        </w:numPr>
        <w:bidi/>
        <w:spacing w:after="70"/>
        <w:jc w:val="right"/>
      </w:pPr>
      <w:r>
        <w:rPr>
          <w:color w:val="1A1A1A"/>
          <w:sz w:val="22"/>
          <w:szCs w:val="22"/>
          <w:rtl/>
        </w:rPr>
        <w:t xml:space="preserve">الأسبوع 1–3: الأساسيات الصورية (OpenCV) ← مكتملة بالكامل ✅.</w:t>
      </w:r>
    </w:p>
    <w:p>
      <w:pPr>
        <w:pStyle w:val="ListParagraph"/>
        <w:numPr>
          <w:ilvl w:val="0"/>
          <w:numId w:val="2"/>
        </w:numPr>
        <w:bidi/>
        <w:spacing w:after="70"/>
        <w:jc w:val="right"/>
      </w:pPr>
      <w:r>
        <w:rPr>
          <w:color w:val="1A1A1A"/>
          <w:sz w:val="22"/>
          <w:szCs w:val="22"/>
          <w:rtl/>
        </w:rPr>
        <w:t xml:space="preserve">الأسبوع 4–7: أساسيات التعلّم العميق (PyTorch, CNN) ← الأسبوع 4 مكتمل ✅، الأسبوع 5 (PyTorch) التالي.</w:t>
      </w:r>
    </w:p>
    <w:p>
      <w:pPr>
        <w:pStyle w:val="ListParagraph"/>
        <w:numPr>
          <w:ilvl w:val="0"/>
          <w:numId w:val="2"/>
        </w:numPr>
        <w:bidi/>
        <w:spacing w:after="70"/>
        <w:jc w:val="right"/>
      </w:pPr>
      <w:r>
        <w:rPr>
          <w:color w:val="1A1A1A"/>
          <w:sz w:val="22"/>
          <w:szCs w:val="22"/>
          <w:rtl/>
        </w:rPr>
        <w:t xml:space="preserve">الأسبوع 8–12: تطبيقات CV حقيقية (Classification, Detection/YOLO, Segmentation).</w:t>
      </w:r>
    </w:p>
    <w:p>
      <w:pPr>
        <w:pStyle w:val="ListParagraph"/>
        <w:numPr>
          <w:ilvl w:val="0"/>
          <w:numId w:val="2"/>
        </w:numPr>
        <w:bidi/>
        <w:spacing w:after="70"/>
        <w:jc w:val="right"/>
      </w:pPr>
      <w:r>
        <w:rPr>
          <w:color w:val="1A1A1A"/>
          <w:sz w:val="22"/>
          <w:szCs w:val="22"/>
          <w:rtl/>
        </w:rPr>
        <w:t xml:space="preserve">الأسبوع 13–16: مشروع End-to-End، Kaggle، تجهيز المحفظة والتوظيف.</w:t>
      </w:r>
    </w:p>
    <w:p>
      <w:pPr>
        <w:bidi/>
        <w:spacing w:before="300"/>
      </w:pPr>
    </w:p>
    <w:p>
      <w:pPr>
        <w:pBdr>
          <w:top w:val="single" w:color="CCCCCC" w:sz="4"/>
        </w:pBdr>
        <w:bidi/>
        <w:spacing w:before="200"/>
        <w:jc w:val="right"/>
      </w:pPr>
      <w:r>
        <w:rPr>
          <w:i/>
          <w:iCs/>
          <w:color w:val="555555"/>
          <w:sz w:val="18"/>
          <w:szCs w:val="18"/>
          <w:rtl/>
        </w:rPr>
        <w:t xml:space="preserve">نهاية تقرير الأسبوع 4</w:t>
      </w:r>
    </w:p>
    <w:sectPr>
      <w:pgSz w:w="12240" w:h="15840" w:orient="portrait"/>
      <w:pgMar w:top="10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bidi/>
        <w:ind w:right="460" w:hanging="260"/>
      </w:pPr>
    </w:lvl>
    <w:lvl w:ilvl="1" w15:tentative="1">
      <w:start w:val="1"/>
      <w:numFmt w:val="bullet"/>
      <w:lvlText w:val="◦"/>
      <w:lvlJc w:val="right"/>
      <w:pPr>
        <w:bidi/>
        <w:ind w:right="8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2026-08-20T12:15:10.144Z</dcterms:created>
  <dcterms:modified xsi:type="dcterms:W3CDTF">2026-08-20T12:15:10.159Z</dcterms:modified>
</cp:coreProperties>
</file>

<file path=docProps/custom.xml><?xml version="1.0" encoding="utf-8"?>
<Properties xmlns="http://schemas.openxmlformats.org/officeDocument/2006/custom-properties" xmlns:vt="http://schemas.openxmlformats.org/officeDocument/2006/docPropsVTypes"/>
</file>