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504"/>
            <w:shd w:val="clear" w:color="auto" w:fill="1F3864"/>
          </w:tcPr>
          <w:p>
            <w:pPr>
              <w:spacing w:before="200" w:after="8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Vridhi Financial Research</w:t>
            </w:r>
          </w:p>
          <w:p>
            <w:pPr>
              <w:spacing w:after="200"/>
              <w:jc w:val="center"/>
            </w:pPr>
            <w:r>
              <w:rPr>
                <w:rFonts w:ascii="Calibri" w:hAnsi="Calibri"/>
                <w:color w:val="B4C8E6"/>
                <w:sz w:val="20"/>
              </w:rPr>
              <w:t>Investment Education Series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7F7F7F"/>
          <w:sz w:val="18"/>
        </w:rPr>
        <w:t>REPORT 04 OF 10</w:t>
      </w:r>
    </w:p>
    <w:p>
      <w:pPr>
        <w:spacing w:before="120"/>
        <w:jc w:val="center"/>
      </w:pPr>
      <w:r>
        <w:rPr>
          <w:rFonts w:ascii="Calibri" w:hAnsi="Calibri"/>
          <w:b/>
          <w:color w:val="1F3864"/>
          <w:sz w:val="52"/>
        </w:rPr>
        <w:t>The Power of Compounding</w:t>
      </w:r>
    </w:p>
    <w:p>
      <w:pPr>
        <w:spacing w:after="160"/>
        <w:jc w:val="center"/>
      </w:pPr>
      <w:r>
        <w:rPr>
          <w:rFonts w:ascii="Calibri" w:hAnsi="Calibri"/>
          <w:i/>
          <w:color w:val="2E75B6"/>
          <w:sz w:val="24"/>
        </w:rPr>
        <w:t>How Time Transforms Small Investments into Large Wealth</w:t>
      </w:r>
    </w:p>
    <w:p>
      <w:pPr>
        <w:spacing w:before="40" w:after="40"/>
        <w:pBdr>
          <w:bottom w:val="single" w:sz="6" w:space="1" w:color="2E75B6"/>
        </w:pBdr>
      </w:pPr>
    </w:p>
    <w:p/>
    <w:p>
      <w:pPr>
        <w:spacing w:before="200"/>
      </w:pPr>
      <w:r>
        <w:rPr>
          <w:rFonts w:ascii="Calibri" w:hAnsi="Calibri"/>
          <w:b/>
          <w:color w:val="2E75B6"/>
          <w:sz w:val="28"/>
        </w:rPr>
        <w:t>What Is Compounding?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after="120" w:before="40"/>
      </w:pPr>
      <w:r>
        <w:rPr>
          <w:rFonts w:ascii="Calibri" w:hAnsi="Calibri"/>
          <w:i w:val="0"/>
          <w:color w:val="2C2C2C"/>
          <w:sz w:val="22"/>
        </w:rPr>
        <w:t>Compounding occurs when investment earnings — dividends, interest, or capital gains — are reinvested to generate their own earnings over time. Albert Einstein allegedly called compound interest the 'eighth wonder of the world,' highlighting its remarkable wealth-building capacity.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3FB"/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color w:val="1F3864"/>
                <w:sz w:val="20"/>
              </w:rPr>
              <w:t>KEY POINTS</w:t>
            </w:r>
          </w:p>
          <w:p>
            <w:pPr>
              <w:spacing w:after="60"/>
            </w:pPr>
            <w:r>
              <w:rPr>
                <w:rFonts w:ascii="Calibri" w:hAnsi="Calibri"/>
                <w:color w:val="1F3864"/>
                <w:sz w:val="20"/>
              </w:rPr>
              <w:t xml:space="preserve">  • Start investing as early as possible to maximize compounding time</w:t>
            </w:r>
          </w:p>
          <w:p>
            <w:pPr>
              <w:spacing w:after="60"/>
            </w:pPr>
            <w:r>
              <w:rPr>
                <w:rFonts w:ascii="Calibri" w:hAnsi="Calibri"/>
                <w:color w:val="1F3864"/>
                <w:sz w:val="20"/>
              </w:rPr>
              <w:t xml:space="preserve">  • Even small, regular contributions grow dramatically over decades</w:t>
            </w:r>
          </w:p>
          <w:p>
            <w:pPr>
              <w:spacing w:after="60"/>
            </w:pPr>
            <w:r>
              <w:rPr>
                <w:rFonts w:ascii="Calibri" w:hAnsi="Calibri"/>
                <w:color w:val="1F3864"/>
                <w:sz w:val="20"/>
              </w:rPr>
              <w:t xml:space="preserve">  • Reinvesting dividends and interest accelerates growth significantly</w:t>
            </w:r>
          </w:p>
          <w:p>
            <w:pPr>
              <w:spacing w:after="80"/>
            </w:pPr>
          </w:p>
        </w:tc>
      </w:tr>
    </w:tbl>
    <w:p/>
    <w:p/>
    <w:p>
      <w:pPr>
        <w:spacing w:before="200"/>
      </w:pPr>
      <w:r>
        <w:rPr>
          <w:rFonts w:ascii="Calibri" w:hAnsi="Calibri"/>
          <w:b/>
          <w:color w:val="2E75B6"/>
          <w:sz w:val="28"/>
        </w:rPr>
        <w:t>The Rule of 72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after="120" w:before="40"/>
      </w:pPr>
      <w:r>
        <w:rPr>
          <w:rFonts w:ascii="Calibri" w:hAnsi="Calibri"/>
          <w:i w:val="0"/>
          <w:color w:val="2C2C2C"/>
          <w:sz w:val="22"/>
        </w:rPr>
        <w:t>The Rule of 72 is a simple shortcut to estimate how long an investment takes to double. Divide 72 by the annual return rate. At 8% annual return, an investment doubles in approximately 9 years (72 ÷ 8 = 9). At 6%, it takes 12 years.</w:t>
      </w:r>
    </w:p>
    <w:p>
      <w:pPr>
        <w:pStyle w:val="ListBullet"/>
        <w:spacing w:after="80"/>
      </w:pPr>
      <w:r>
        <w:rPr>
          <w:rFonts w:ascii="Calibri" w:hAnsi="Calibri"/>
          <w:color w:val="2C2C2C"/>
          <w:sz w:val="22"/>
        </w:rPr>
        <w:t>6% annual return → doubles every 12 years</w:t>
      </w:r>
    </w:p>
    <w:p>
      <w:pPr>
        <w:pStyle w:val="ListBullet"/>
        <w:spacing w:after="80"/>
      </w:pPr>
      <w:r>
        <w:rPr>
          <w:rFonts w:ascii="Calibri" w:hAnsi="Calibri"/>
          <w:color w:val="2C2C2C"/>
          <w:sz w:val="22"/>
        </w:rPr>
        <w:t>8% annual return → doubles every 9 years</w:t>
      </w:r>
    </w:p>
    <w:p>
      <w:pPr>
        <w:pStyle w:val="ListBullet"/>
        <w:spacing w:after="80"/>
      </w:pPr>
      <w:r>
        <w:rPr>
          <w:rFonts w:ascii="Calibri" w:hAnsi="Calibri"/>
          <w:color w:val="2C2C2C"/>
          <w:sz w:val="22"/>
        </w:rPr>
        <w:t>10% annual return → doubles every 7.2 years</w:t>
      </w:r>
    </w:p>
    <w:p>
      <w:pPr>
        <w:pStyle w:val="ListBullet"/>
        <w:spacing w:after="80"/>
      </w:pPr>
      <w:r>
        <w:rPr>
          <w:rFonts w:ascii="Calibri" w:hAnsi="Calibri"/>
          <w:color w:val="2C2C2C"/>
          <w:sz w:val="22"/>
        </w:rPr>
        <w:t>12% annual return → doubles every 6 years</w:t>
      </w:r>
    </w:p>
    <w:p/>
    <w:p>
      <w:pPr>
        <w:spacing w:before="200"/>
      </w:pPr>
      <w:r>
        <w:rPr>
          <w:rFonts w:ascii="Calibri" w:hAnsi="Calibri"/>
          <w:b/>
          <w:color w:val="2E75B6"/>
          <w:sz w:val="28"/>
        </w:rPr>
        <w:t>Time Is the Most Valuable Asset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after="120" w:before="40"/>
      </w:pPr>
      <w:r>
        <w:rPr>
          <w:rFonts w:ascii="Calibri" w:hAnsi="Calibri"/>
          <w:i w:val="0"/>
          <w:color w:val="2C2C2C"/>
          <w:sz w:val="22"/>
        </w:rPr>
        <w:t>An investor who starts at age 25 and invests ₹5,000 per month at 10% annual return will have significantly more wealth at 60 than someone who starts at 35 with the same monthly investment. The extra 10 years of compounding creates a gap that larger contributions later cannot easily close.</w:t>
      </w:r>
    </w:p>
    <w:p>
      <w:pPr>
        <w:spacing w:after="120" w:before="40"/>
      </w:pPr>
      <w:r>
        <w:rPr>
          <w:rFonts w:ascii="Calibri" w:hAnsi="Calibri"/>
          <w:i w:val="0"/>
          <w:color w:val="2C2C2C"/>
          <w:sz w:val="22"/>
        </w:rPr>
        <w:t>Fees also compound in reverse — a 1% annual fee on a ₹10 lakh portfolio over 30 years can erode lakhs in potential wealth, making low-cost index funds highly attractive for long-term investors.</w:t>
      </w:r>
    </w:p>
    <w:p/>
    <w:p>
      <w:pPr>
        <w:spacing w:before="40" w:after="40"/>
        <w:pBdr>
          <w:bottom w:val="single" w:sz="6" w:space="1" w:color="2E75B6"/>
        </w:pBdr>
      </w:pPr>
    </w:p>
    <w:p>
      <w:pPr>
        <w:spacing w:before="160"/>
        <w:jc w:val="center"/>
      </w:pPr>
      <w:r>
        <w:rPr>
          <w:rFonts w:ascii="Calibri" w:hAnsi="Calibri"/>
          <w:i/>
          <w:color w:val="7F7F7F"/>
          <w:sz w:val="18"/>
        </w:rPr>
        <w:t>Source of Information: Vridhi Financial Search  |  Vridhi Financial Research  |  2025</w:t>
      </w:r>
    </w:p>
    <w:p>
      <w:pPr>
        <w:jc w:val="center"/>
      </w:pPr>
      <w:r>
        <w:rPr>
          <w:rFonts w:ascii="Calibri" w:hAnsi="Calibri"/>
          <w:i/>
          <w:color w:val="AAAAAA"/>
          <w:sz w:val="16"/>
        </w:rPr>
        <w:t>This report is for educational purposes only and does not constitute financial advice.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