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9504"/>
            <w:shd w:val="clear" w:color="auto" w:fill="1F3864"/>
          </w:tcPr>
          <w:p>
            <w:pPr>
              <w:spacing w:before="200" w:after="80"/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Vridhi Financial Research</w:t>
            </w:r>
          </w:p>
          <w:p>
            <w:pPr>
              <w:spacing w:after="200"/>
              <w:jc w:val="center"/>
            </w:pPr>
            <w:r>
              <w:rPr>
                <w:rFonts w:ascii="Calibri" w:hAnsi="Calibri"/>
                <w:color w:val="B4C8E6"/>
                <w:sz w:val="20"/>
              </w:rPr>
              <w:t>Investment Education Series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color w:val="7F7F7F"/>
          <w:sz w:val="18"/>
        </w:rPr>
        <w:t>REPORT 05 OF 10</w:t>
      </w:r>
    </w:p>
    <w:p>
      <w:pPr>
        <w:spacing w:before="120"/>
        <w:jc w:val="center"/>
      </w:pPr>
      <w:r>
        <w:rPr>
          <w:rFonts w:ascii="Calibri" w:hAnsi="Calibri"/>
          <w:b/>
          <w:color w:val="1F3864"/>
          <w:sz w:val="52"/>
        </w:rPr>
        <w:t>Stock Market Basics</w:t>
      </w:r>
    </w:p>
    <w:p>
      <w:pPr>
        <w:spacing w:after="160"/>
        <w:jc w:val="center"/>
      </w:pPr>
      <w:r>
        <w:rPr>
          <w:rFonts w:ascii="Calibri" w:hAnsi="Calibri"/>
          <w:i/>
          <w:color w:val="2E75B6"/>
          <w:sz w:val="24"/>
        </w:rPr>
        <w:t>Understanding Equities, Markets, and How Stocks Work</w:t>
      </w:r>
    </w:p>
    <w:p>
      <w:pPr>
        <w:spacing w:before="40" w:after="40"/>
        <w:pBdr>
          <w:bottom w:val="single" w:sz="6" w:space="1" w:color="2E75B6"/>
        </w:pBdr>
      </w:pPr>
    </w:p>
    <w:p/>
    <w:p>
      <w:pPr>
        <w:spacing w:before="200"/>
      </w:pPr>
      <w:r>
        <w:rPr>
          <w:rFonts w:ascii="Calibri" w:hAnsi="Calibri"/>
          <w:b/>
          <w:color w:val="2E75B6"/>
          <w:sz w:val="28"/>
        </w:rPr>
        <w:t>What Is the Stock Market?</w:t>
      </w:r>
    </w:p>
    <w:p>
      <w:pPr>
        <w:spacing w:before="40" w:after="40"/>
        <w:pBdr>
          <w:bottom w:val="single" w:sz="6" w:space="1" w:color="AAAAAA"/>
        </w:pBdr>
      </w:pPr>
    </w:p>
    <w:p>
      <w:pPr>
        <w:spacing w:after="120" w:before="40"/>
      </w:pPr>
      <w:r>
        <w:rPr>
          <w:rFonts w:ascii="Calibri" w:hAnsi="Calibri"/>
          <w:i w:val="0"/>
          <w:color w:val="2C2C2C"/>
          <w:sz w:val="22"/>
        </w:rPr>
        <w:t>The stock market is a marketplace where buyers and sellers trade shares of publicly listed companies. It provides companies a way to raise capital and gives investors an opportunity to participate in corporate growth and profits.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EBF3FB"/>
          </w:tcPr>
          <w:p>
            <w:pPr>
              <w:spacing w:before="120" w:after="40"/>
            </w:pPr>
            <w:r>
              <w:rPr>
                <w:rFonts w:ascii="Calibri" w:hAnsi="Calibri"/>
                <w:b/>
                <w:color w:val="1F3864"/>
                <w:sz w:val="20"/>
              </w:rPr>
              <w:t>KEY POINTS</w:t>
            </w:r>
          </w:p>
          <w:p>
            <w:pPr>
              <w:spacing w:after="60"/>
            </w:pPr>
            <w:r>
              <w:rPr>
                <w:rFonts w:ascii="Calibri" w:hAnsi="Calibri"/>
                <w:color w:val="1F3864"/>
                <w:sz w:val="20"/>
              </w:rPr>
              <w:t xml:space="preserve">  • Stock markets in India include NSE (National Stock Exchange) and BSE (Bombay Stock Exchange)</w:t>
            </w:r>
          </w:p>
          <w:p>
            <w:pPr>
              <w:spacing w:after="60"/>
            </w:pPr>
            <w:r>
              <w:rPr>
                <w:rFonts w:ascii="Calibri" w:hAnsi="Calibri"/>
                <w:color w:val="1F3864"/>
                <w:sz w:val="20"/>
              </w:rPr>
              <w:t xml:space="preserve">  • The Sensex and Nifty 50 are India's primary market benchmarks</w:t>
            </w:r>
          </w:p>
          <w:p>
            <w:pPr>
              <w:spacing w:after="60"/>
            </w:pPr>
            <w:r>
              <w:rPr>
                <w:rFonts w:ascii="Calibri" w:hAnsi="Calibri"/>
                <w:color w:val="1F3864"/>
                <w:sz w:val="20"/>
              </w:rPr>
              <w:t xml:space="preserve">  • Shares represent fractional ownership in a company</w:t>
            </w:r>
          </w:p>
          <w:p>
            <w:pPr>
              <w:spacing w:after="80"/>
            </w:pPr>
          </w:p>
        </w:tc>
      </w:tr>
    </w:tbl>
    <w:p/>
    <w:p/>
    <w:p>
      <w:pPr>
        <w:spacing w:before="200"/>
      </w:pPr>
      <w:r>
        <w:rPr>
          <w:rFonts w:ascii="Calibri" w:hAnsi="Calibri"/>
          <w:b/>
          <w:color w:val="2E75B6"/>
          <w:sz w:val="28"/>
        </w:rPr>
        <w:t>Key Stock Market Metrics</w:t>
      </w:r>
    </w:p>
    <w:p>
      <w:pPr>
        <w:spacing w:before="40" w:after="40"/>
        <w:pBdr>
          <w:bottom w:val="single" w:sz="6" w:space="1" w:color="AAAAAA"/>
        </w:pBdr>
      </w:pPr>
    </w:p>
    <w:p>
      <w:pPr>
        <w:pStyle w:val="ListBullet"/>
        <w:spacing w:after="80"/>
      </w:pPr>
      <w:r>
        <w:rPr>
          <w:rFonts w:ascii="Calibri" w:hAnsi="Calibri"/>
          <w:color w:val="2C2C2C"/>
          <w:sz w:val="22"/>
        </w:rPr>
        <w:t>P/E Ratio (Price-to-Earnings): How much investors pay per rupee of earnings. A high P/E may indicate overvaluation or high growth expectations.</w:t>
      </w:r>
    </w:p>
    <w:p>
      <w:pPr>
        <w:pStyle w:val="ListBullet"/>
        <w:spacing w:after="80"/>
      </w:pPr>
      <w:r>
        <w:rPr>
          <w:rFonts w:ascii="Calibri" w:hAnsi="Calibri"/>
          <w:color w:val="2C2C2C"/>
          <w:sz w:val="22"/>
        </w:rPr>
        <w:t>EPS (Earnings Per Share): Company profit divided by total shares outstanding. Higher EPS signals better profitability.</w:t>
      </w:r>
    </w:p>
    <w:p>
      <w:pPr>
        <w:pStyle w:val="ListBullet"/>
        <w:spacing w:after="80"/>
      </w:pPr>
      <w:r>
        <w:rPr>
          <w:rFonts w:ascii="Calibri" w:hAnsi="Calibri"/>
          <w:color w:val="2C2C2C"/>
          <w:sz w:val="22"/>
        </w:rPr>
        <w:t>Market Capitalization: Total market value of all outstanding shares (Price × Shares). Classifies companies as large-cap, mid-cap, or small-cap.</w:t>
      </w:r>
    </w:p>
    <w:p>
      <w:pPr>
        <w:pStyle w:val="ListBullet"/>
        <w:spacing w:after="80"/>
      </w:pPr>
      <w:r>
        <w:rPr>
          <w:rFonts w:ascii="Calibri" w:hAnsi="Calibri"/>
          <w:color w:val="2C2C2C"/>
          <w:sz w:val="22"/>
        </w:rPr>
        <w:t>Dividend Yield: Annual dividends paid per share divided by the share price. Indicates income generation capacity.</w:t>
      </w:r>
    </w:p>
    <w:p>
      <w:pPr>
        <w:pStyle w:val="ListBullet"/>
        <w:spacing w:after="80"/>
      </w:pPr>
      <w:r>
        <w:rPr>
          <w:rFonts w:ascii="Calibri" w:hAnsi="Calibri"/>
          <w:color w:val="2C2C2C"/>
          <w:sz w:val="22"/>
        </w:rPr>
        <w:t>Book Value: Net assets of a company per share. P/B ratio compares price to book value.</w:t>
      </w:r>
    </w:p>
    <w:p/>
    <w:p>
      <w:pPr>
        <w:spacing w:before="200"/>
      </w:pPr>
      <w:r>
        <w:rPr>
          <w:rFonts w:ascii="Calibri" w:hAnsi="Calibri"/>
          <w:b/>
          <w:color w:val="2E75B6"/>
          <w:sz w:val="28"/>
        </w:rPr>
        <w:t>Growth vs. Value Investing</w:t>
      </w:r>
    </w:p>
    <w:p>
      <w:pPr>
        <w:spacing w:before="40" w:after="40"/>
        <w:pBdr>
          <w:bottom w:val="single" w:sz="6" w:space="1" w:color="AAAAAA"/>
        </w:pBdr>
      </w:pPr>
    </w:p>
    <w:p>
      <w:pPr>
        <w:spacing w:after="120" w:before="40"/>
      </w:pPr>
      <w:r>
        <w:rPr>
          <w:rFonts w:ascii="Calibri" w:hAnsi="Calibri"/>
          <w:i w:val="0"/>
          <w:color w:val="2C2C2C"/>
          <w:sz w:val="22"/>
        </w:rPr>
        <w:t>Growth investors seek companies with high earnings growth potential, often accepting high P/E ratios for future upside. Technology and consumer sectors often attract growth investors. Value investors look for underpriced stocks trading below their intrinsic value, seeking a 'margin of safety.'</w:t>
      </w:r>
    </w:p>
    <w:p>
      <w:pPr>
        <w:spacing w:after="120" w:before="40"/>
      </w:pPr>
      <w:r>
        <w:rPr>
          <w:rFonts w:ascii="Calibri" w:hAnsi="Calibri"/>
          <w:i w:val="0"/>
          <w:color w:val="2C2C2C"/>
          <w:sz w:val="22"/>
        </w:rPr>
        <w:t>Both approaches have merit depending on market cycles. Many successful investors blend both styles, seeking growing companies at reasonable prices — sometimes called GARP (Growth at a Reasonable Price) investing.</w:t>
      </w:r>
    </w:p>
    <w:p/>
    <w:p>
      <w:pPr>
        <w:spacing w:before="40" w:after="40"/>
        <w:pBdr>
          <w:bottom w:val="single" w:sz="6" w:space="1" w:color="2E75B6"/>
        </w:pBdr>
      </w:pPr>
    </w:p>
    <w:p>
      <w:pPr>
        <w:spacing w:before="160"/>
        <w:jc w:val="center"/>
      </w:pPr>
      <w:r>
        <w:rPr>
          <w:rFonts w:ascii="Calibri" w:hAnsi="Calibri"/>
          <w:i/>
          <w:color w:val="7F7F7F"/>
          <w:sz w:val="18"/>
        </w:rPr>
        <w:t>Source of Information: Vridhi Financial Search  |  Vridhi Financial Research  |  2025</w:t>
      </w:r>
    </w:p>
    <w:p>
      <w:pPr>
        <w:jc w:val="center"/>
      </w:pPr>
      <w:r>
        <w:rPr>
          <w:rFonts w:ascii="Calibri" w:hAnsi="Calibri"/>
          <w:i/>
          <w:color w:val="AAAAAA"/>
          <w:sz w:val="16"/>
        </w:rPr>
        <w:t>This report is for educational purposes only and does not constitute financial advice.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