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784"/>
      </w:tblGrid>
      <w:tr>
        <w:tc>
          <w:tcPr>
            <w:tcW w:type="dxa" w:w="9504"/>
            <w:shd w:val="clear" w:color="auto" w:fill="1F3864"/>
          </w:tcPr>
          <w:p>
            <w:pPr>
              <w:spacing w:before="200" w:after="80"/>
              <w:jc w:val="center"/>
            </w:pPr>
            <w:r>
              <w:rPr>
                <w:rFonts w:ascii="Calibri" w:hAnsi="Calibri"/>
                <w:b/>
                <w:color w:val="FFFFFF"/>
                <w:sz w:val="26"/>
              </w:rPr>
              <w:t>Vridhi Financial Research</w:t>
            </w:r>
          </w:p>
          <w:p>
            <w:pPr>
              <w:spacing w:after="200"/>
              <w:jc w:val="center"/>
            </w:pPr>
            <w:r>
              <w:rPr>
                <w:rFonts w:ascii="Calibri" w:hAnsi="Calibri"/>
                <w:color w:val="B4C8E6"/>
                <w:sz w:val="20"/>
              </w:rPr>
              <w:t>Investment Education Series</w:t>
            </w:r>
          </w:p>
        </w:tc>
      </w:tr>
    </w:tbl>
    <w:p/>
    <w:p>
      <w:pPr>
        <w:jc w:val="center"/>
      </w:pPr>
      <w:r>
        <w:rPr>
          <w:rFonts w:ascii="Calibri" w:hAnsi="Calibri"/>
          <w:b/>
          <w:color w:val="7F7F7F"/>
          <w:sz w:val="18"/>
        </w:rPr>
        <w:t>REPORT 07 OF 10</w:t>
      </w:r>
    </w:p>
    <w:p>
      <w:pPr>
        <w:spacing w:before="120"/>
        <w:jc w:val="center"/>
      </w:pPr>
      <w:r>
        <w:rPr>
          <w:rFonts w:ascii="Calibri" w:hAnsi="Calibri"/>
          <w:b/>
          <w:color w:val="1F3864"/>
          <w:sz w:val="52"/>
        </w:rPr>
        <w:t>Tax-Aware Investing</w:t>
      </w:r>
    </w:p>
    <w:p>
      <w:pPr>
        <w:spacing w:after="160"/>
        <w:jc w:val="center"/>
      </w:pPr>
      <w:r>
        <w:rPr>
          <w:rFonts w:ascii="Calibri" w:hAnsi="Calibri"/>
          <w:i/>
          <w:color w:val="2E75B6"/>
          <w:sz w:val="24"/>
        </w:rPr>
        <w:t>Minimizing Tax Liability to Maximize Net Returns</w:t>
      </w:r>
    </w:p>
    <w:p>
      <w:pPr>
        <w:spacing w:before="40" w:after="40"/>
        <w:pBdr>
          <w:bottom w:val="single" w:sz="6" w:space="1" w:color="2E75B6"/>
        </w:pBdr>
      </w:pPr>
    </w:p>
    <w:p/>
    <w:p>
      <w:pPr>
        <w:spacing w:before="200"/>
      </w:pPr>
      <w:r>
        <w:rPr>
          <w:rFonts w:ascii="Calibri" w:hAnsi="Calibri"/>
          <w:b/>
          <w:color w:val="2E75B6"/>
          <w:sz w:val="28"/>
        </w:rPr>
        <w:t>Why Tax Awareness Matters</w:t>
      </w:r>
    </w:p>
    <w:p>
      <w:pPr>
        <w:spacing w:before="40" w:after="40"/>
        <w:pBdr>
          <w:bottom w:val="single" w:sz="6" w:space="1" w:color="AAAAAA"/>
        </w:pBdr>
      </w:pPr>
    </w:p>
    <w:p>
      <w:pPr>
        <w:spacing w:after="120" w:before="40"/>
      </w:pPr>
      <w:r>
        <w:rPr>
          <w:rFonts w:ascii="Calibri" w:hAnsi="Calibri"/>
          <w:i w:val="0"/>
          <w:color w:val="2C2C2C"/>
          <w:sz w:val="22"/>
        </w:rPr>
        <w:t>Taxes can significantly erode investment returns over time. Understanding how investment income is taxed allows investors to make smarter decisions about which accounts to use, when to sell, and how to structure their portfolios for maximum after-tax wealth.</w:t>
      </w:r>
    </w:p>
    <w:tbl>
      <w:tblPr>
        <w:tblW w:type="auto" w:w="0"/>
        <w:jc w:val="center"/>
        <w:tblLook w:firstColumn="1" w:firstRow="1" w:lastColumn="0" w:lastRow="0" w:noHBand="0" w:noVBand="1" w:val="04A0"/>
      </w:tblPr>
      <w:tblGrid>
        <w:gridCol w:w="8784"/>
      </w:tblGrid>
      <w:tr>
        <w:tc>
          <w:tcPr>
            <w:tcW w:type="dxa" w:w="8784"/>
            <w:shd w:val="clear" w:color="auto" w:fill="EBF3FB"/>
          </w:tcPr>
          <w:p>
            <w:pPr>
              <w:spacing w:before="120" w:after="40"/>
            </w:pPr>
            <w:r>
              <w:rPr>
                <w:rFonts w:ascii="Calibri" w:hAnsi="Calibri"/>
                <w:b/>
                <w:color w:val="1F3864"/>
                <w:sz w:val="20"/>
              </w:rPr>
              <w:t>KEY POINTS</w:t>
            </w:r>
          </w:p>
          <w:p>
            <w:pPr>
              <w:spacing w:after="60"/>
            </w:pPr>
            <w:r>
              <w:rPr>
                <w:rFonts w:ascii="Calibri" w:hAnsi="Calibri"/>
                <w:color w:val="1F3864"/>
                <w:sz w:val="20"/>
              </w:rPr>
              <w:t xml:space="preserve">  • Tax-efficient investing can add 0.5–1.5% in annual after-tax returns</w:t>
            </w:r>
          </w:p>
          <w:p>
            <w:pPr>
              <w:spacing w:after="60"/>
            </w:pPr>
            <w:r>
              <w:rPr>
                <w:rFonts w:ascii="Calibri" w:hAnsi="Calibri"/>
                <w:color w:val="1F3864"/>
                <w:sz w:val="20"/>
              </w:rPr>
              <w:t xml:space="preserve">  • The timing of selling assets matters as much as what you sell</w:t>
            </w:r>
          </w:p>
          <w:p>
            <w:pPr>
              <w:spacing w:after="60"/>
            </w:pPr>
            <w:r>
              <w:rPr>
                <w:rFonts w:ascii="Calibri" w:hAnsi="Calibri"/>
                <w:color w:val="1F3864"/>
                <w:sz w:val="20"/>
              </w:rPr>
              <w:t xml:space="preserve">  • Tax-advantaged accounts should be maximized before taxable accounts</w:t>
            </w:r>
          </w:p>
          <w:p>
            <w:pPr>
              <w:spacing w:after="80"/>
            </w:pPr>
          </w:p>
        </w:tc>
      </w:tr>
    </w:tbl>
    <w:p/>
    <w:p/>
    <w:p>
      <w:pPr>
        <w:spacing w:before="200"/>
      </w:pPr>
      <w:r>
        <w:rPr>
          <w:rFonts w:ascii="Calibri" w:hAnsi="Calibri"/>
          <w:b/>
          <w:color w:val="2E75B6"/>
          <w:sz w:val="28"/>
        </w:rPr>
        <w:t>Key Tax Concepts for Investors</w:t>
      </w:r>
    </w:p>
    <w:p>
      <w:pPr>
        <w:spacing w:before="40" w:after="40"/>
        <w:pBdr>
          <w:bottom w:val="single" w:sz="6" w:space="1" w:color="AAAAAA"/>
        </w:pBdr>
      </w:pPr>
    </w:p>
    <w:p>
      <w:pPr>
        <w:pStyle w:val="ListBullet"/>
        <w:spacing w:after="80"/>
      </w:pPr>
      <w:r>
        <w:rPr>
          <w:rFonts w:ascii="Calibri" w:hAnsi="Calibri"/>
          <w:color w:val="2C2C2C"/>
          <w:sz w:val="22"/>
        </w:rPr>
        <w:t>Short-Term Capital Gains (STCG): Profits from assets held less than 1 year; taxed at higher ordinary income rates (15% on equity in India under STCG).</w:t>
      </w:r>
    </w:p>
    <w:p>
      <w:pPr>
        <w:pStyle w:val="ListBullet"/>
        <w:spacing w:after="80"/>
      </w:pPr>
      <w:r>
        <w:rPr>
          <w:rFonts w:ascii="Calibri" w:hAnsi="Calibri"/>
          <w:color w:val="2C2C2C"/>
          <w:sz w:val="22"/>
        </w:rPr>
        <w:t>Long-Term Capital Gains (LTCG): Profits from assets held more than 1 year; taxed at lower rates (10% above ₹1 lakh threshold for equity in India).</w:t>
      </w:r>
    </w:p>
    <w:p>
      <w:pPr>
        <w:pStyle w:val="ListBullet"/>
        <w:spacing w:after="80"/>
      </w:pPr>
      <w:r>
        <w:rPr>
          <w:rFonts w:ascii="Calibri" w:hAnsi="Calibri"/>
          <w:color w:val="2C2C2C"/>
          <w:sz w:val="22"/>
        </w:rPr>
        <w:t>Dividend Income: Taxable as per individual's income tax slab in India after 2020 amendments.</w:t>
      </w:r>
    </w:p>
    <w:p>
      <w:pPr>
        <w:pStyle w:val="ListBullet"/>
        <w:spacing w:after="80"/>
      </w:pPr>
      <w:r>
        <w:rPr>
          <w:rFonts w:ascii="Calibri" w:hAnsi="Calibri"/>
          <w:color w:val="2C2C2C"/>
          <w:sz w:val="22"/>
        </w:rPr>
        <w:t>Tax-Loss Harvesting: Selling losing positions to offset capital gains elsewhere in the portfolio.</w:t>
      </w:r>
    </w:p>
    <w:p>
      <w:pPr>
        <w:pStyle w:val="ListBullet"/>
        <w:spacing w:after="80"/>
      </w:pPr>
      <w:r>
        <w:rPr>
          <w:rFonts w:ascii="Calibri" w:hAnsi="Calibri"/>
          <w:color w:val="2C2C2C"/>
          <w:sz w:val="22"/>
        </w:rPr>
        <w:t>Tax-Advantaged Accounts: ELSS funds (80C deduction), PPF, NPS, EPF — all provide tax benefits.</w:t>
      </w:r>
    </w:p>
    <w:p/>
    <w:p>
      <w:pPr>
        <w:spacing w:before="200"/>
      </w:pPr>
      <w:r>
        <w:rPr>
          <w:rFonts w:ascii="Calibri" w:hAnsi="Calibri"/>
          <w:b/>
          <w:color w:val="2E75B6"/>
          <w:sz w:val="28"/>
        </w:rPr>
        <w:t>Practical Tax Planning Strategies</w:t>
      </w:r>
    </w:p>
    <w:p>
      <w:pPr>
        <w:spacing w:before="40" w:after="40"/>
        <w:pBdr>
          <w:bottom w:val="single" w:sz="6" w:space="1" w:color="AAAAAA"/>
        </w:pBdr>
      </w:pPr>
    </w:p>
    <w:p>
      <w:pPr>
        <w:spacing w:after="120" w:before="40"/>
      </w:pPr>
      <w:r>
        <w:rPr>
          <w:rFonts w:ascii="Calibri" w:hAnsi="Calibri"/>
          <w:i w:val="0"/>
          <w:color w:val="2C2C2C"/>
          <w:sz w:val="22"/>
        </w:rPr>
        <w:t>Hold equity investments for at least one year to qualify for lower LTCG rates. Use ELSS (Equity Linked Savings Scheme) funds for the dual benefit of market-linked returns and Section 80C deductions of up to ₹1.5 lakh annually.</w:t>
      </w:r>
    </w:p>
    <w:p>
      <w:pPr>
        <w:spacing w:after="120" w:before="40"/>
      </w:pPr>
      <w:r>
        <w:rPr>
          <w:rFonts w:ascii="Calibri" w:hAnsi="Calibri"/>
          <w:i w:val="0"/>
          <w:color w:val="2C2C2C"/>
          <w:sz w:val="22"/>
        </w:rPr>
        <w:t>Tax-loss harvesting near the end of the financial year (before March 31) can offset gains realized during the year. However, beware of the wash-sale concept — repurchasing the same or substantially identical investment too quickly may nullify the tax benefit.</w:t>
      </w:r>
    </w:p>
    <w:p/>
    <w:p>
      <w:pPr>
        <w:spacing w:before="40" w:after="40"/>
        <w:pBdr>
          <w:bottom w:val="single" w:sz="6" w:space="1" w:color="2E75B6"/>
        </w:pBdr>
      </w:pPr>
    </w:p>
    <w:p>
      <w:pPr>
        <w:spacing w:before="160"/>
        <w:jc w:val="center"/>
      </w:pPr>
      <w:r>
        <w:rPr>
          <w:rFonts w:ascii="Calibri" w:hAnsi="Calibri"/>
          <w:i/>
          <w:color w:val="7F7F7F"/>
          <w:sz w:val="18"/>
        </w:rPr>
        <w:t>Source of Information: Vridhi Financial Search  |  Vridhi Financial Research  |  2025</w:t>
      </w:r>
    </w:p>
    <w:p>
      <w:pPr>
        <w:jc w:val="center"/>
      </w:pPr>
      <w:r>
        <w:rPr>
          <w:rFonts w:ascii="Calibri" w:hAnsi="Calibri"/>
          <w:i/>
          <w:color w:val="AAAAAA"/>
          <w:sz w:val="16"/>
        </w:rPr>
        <w:t>This report is for educational purposes only and does not constitute financial advice.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