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E46" w:rsidRDefault="00204655">
      <w:r w:rsidRPr="00204655">
        <w:drawing>
          <wp:inline distT="0" distB="0" distL="0" distR="0" wp14:anchorId="6A00E146" wp14:editId="0214138D">
            <wp:extent cx="4959350" cy="88925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Logique globale du modèle</w:t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plateforme se rémunère sur deux leviers : l'abonnement mensuel/annuel (revenu fixe) et la commission sur chaque commande (revenu variable). Les paliers de volume récompensent les entreprises les plus actives en réduisant </w:t>
      </w:r>
      <w:bookmarkStart w:id="0" w:name="_GoBack"/>
      <w:bookmarkEnd w:id="0"/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automatiquement la commission, ce qui les incite à vendre davantage sur la plateforme.</w:t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3 plans</w:t>
      </w:r>
    </w:p>
    <w:p w:rsidR="00204655" w:rsidRPr="00204655" w:rsidRDefault="00204655" w:rsidP="002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Starter</w:t>
      </w:r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pour les petites entreprises qui débutent. Catalogue limité, commission plus élevée, idéal pour tester.</w:t>
      </w:r>
    </w:p>
    <w:p w:rsidR="00204655" w:rsidRPr="00204655" w:rsidRDefault="00204655" w:rsidP="002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</w:t>
      </w:r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(recommandé) — le plan cœur de marché. Le badge "Partenaire vérifié" est un vrai différenciateur visible par les clients dans le catalogue.</w:t>
      </w:r>
    </w:p>
    <w:p w:rsidR="00204655" w:rsidRPr="00204655" w:rsidRDefault="00204655" w:rsidP="002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Premium</w:t>
      </w:r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pour les grandes enseignes avec un volume important, produits illimités et commission réduite au maximum.</w:t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système de paliers (la vraie valeur)</w:t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>Dès 50 commandes/mois, la commission baisse automatiquement de 1%. À 100 commandes, l'entreprise gagne un mois à moitié prix. Si elle maintient 50 commandes/mois pendant 3 mois consécutifs, elle monte de plan gratuitement. Cela crée une boucle vertueuse qui fidélise les partenaires.</w:t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Conditions importantes à intégrer dans le contrat</w:t>
      </w:r>
    </w:p>
    <w:p w:rsidR="00204655" w:rsidRPr="00204655" w:rsidRDefault="00204655" w:rsidP="0020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taux d'annulation élevé (&gt;10%) et les mauvaises notes clients (&lt;3/5) </w:t>
      </w:r>
      <w:proofErr w:type="gramStart"/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>déclenchent</w:t>
      </w:r>
      <w:proofErr w:type="gramEnd"/>
      <w:r w:rsidRPr="00204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pénalités ou une révision de contrat, ce qui est cohérent avec le rôle de contrôle de l'admin décrit dans le cahier des charges.</w:t>
      </w:r>
    </w:p>
    <w:p w:rsidR="00204655" w:rsidRDefault="00204655" w:rsidP="00204655">
      <w:pPr>
        <w:pStyle w:val="font-claude-response-body"/>
      </w:pPr>
    </w:p>
    <w:p w:rsidR="00204655" w:rsidRDefault="00204655" w:rsidP="00204655">
      <w:pPr>
        <w:pStyle w:val="font-claude-response-body"/>
      </w:pPr>
      <w:r>
        <w:t>Voilà les offres adaptées au marché tunisien. Quelques points importants sur les choix faits :</w:t>
      </w:r>
    </w:p>
    <w:p w:rsidR="00204655" w:rsidRDefault="00204655" w:rsidP="00204655">
      <w:pPr>
        <w:pStyle w:val="font-claude-response-body"/>
      </w:pPr>
      <w:r>
        <w:rPr>
          <w:rStyle w:val="lev"/>
        </w:rPr>
        <w:t>Pourquoi ces tarifs en TND ?</w:t>
      </w:r>
      <w:r>
        <w:t xml:space="preserve"> Le plan Starter à 149 TND/mois est accessible pour une PME tunisienne (environ 45€), le Pro à 349 TND cible les entreprises moyennes actives, et le Premium à 790 TND s'adresse aux grandes enseignes avec un volume important. Ces fourchettes sont cohérentes avec ce que pratiquent des plateformes locales comme </w:t>
      </w:r>
      <w:proofErr w:type="spellStart"/>
      <w:r>
        <w:t>Tayara</w:t>
      </w:r>
      <w:proofErr w:type="spellEnd"/>
      <w:r>
        <w:t xml:space="preserve"> ou </w:t>
      </w:r>
      <w:proofErr w:type="spellStart"/>
      <w:r>
        <w:t>Jumia</w:t>
      </w:r>
      <w:proofErr w:type="spellEnd"/>
      <w:r>
        <w:t xml:space="preserve"> Tunisie.</w:t>
      </w:r>
    </w:p>
    <w:p w:rsidR="00204655" w:rsidRDefault="00204655" w:rsidP="00204655">
      <w:pPr>
        <w:pStyle w:val="font-claude-response-body"/>
      </w:pPr>
      <w:r>
        <w:rPr>
          <w:rStyle w:val="lev"/>
        </w:rPr>
        <w:t>Paiements adaptés à la Tunisie</w:t>
      </w:r>
      <w:r>
        <w:t xml:space="preserve"> J'ai intégré </w:t>
      </w:r>
      <w:proofErr w:type="spellStart"/>
      <w:r>
        <w:t>Konnect</w:t>
      </w:r>
      <w:proofErr w:type="spellEnd"/>
      <w:r>
        <w:t xml:space="preserve"> et </w:t>
      </w:r>
      <w:proofErr w:type="spellStart"/>
      <w:r>
        <w:t>Paymee</w:t>
      </w:r>
      <w:proofErr w:type="spellEnd"/>
      <w:r>
        <w:t xml:space="preserve"> (les deux principaux acteurs du paiement en ligne en Tunisie), plus le virement bancaire et le chèque qui restent très utilisés par les entreprises tunisiennes, notamment les PME.</w:t>
      </w:r>
    </w:p>
    <w:p w:rsidR="00204655" w:rsidRDefault="00204655" w:rsidP="00204655">
      <w:pPr>
        <w:pStyle w:val="font-claude-response-body"/>
      </w:pPr>
      <w:r>
        <w:rPr>
          <w:rStyle w:val="lev"/>
        </w:rPr>
        <w:t>Frais d'entrée</w:t>
      </w:r>
      <w:r>
        <w:t xml:space="preserve"> Ajout d'un frais de dossier unique (50 TND Starter, 100 TND Pro, offert Premium) — courant dans le marché tunisien pour filtrer les partenaires sérieux et couvrir les coûts d'activation.</w:t>
      </w:r>
    </w:p>
    <w:p w:rsidR="00204655" w:rsidRDefault="00204655" w:rsidP="00204655">
      <w:pPr>
        <w:pStyle w:val="font-claude-response-body"/>
      </w:pPr>
      <w:r>
        <w:rPr>
          <w:rStyle w:val="lev"/>
        </w:rPr>
        <w:t>Parrainage entreprise</w:t>
      </w:r>
      <w:r>
        <w:t xml:space="preserve"> Un bonus spécifique a été ajouté : si une entreprise partenaire recommande une autre, elle gagne un mois offert. C'est un levier de croissance très efficace dans le tissu économique tunisien où le bouche-à-oreille joue un rôle clé.</w:t>
      </w:r>
    </w:p>
    <w:p w:rsidR="00204655" w:rsidRDefault="00204655"/>
    <w:sectPr w:rsidR="002046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C3538"/>
    <w:multiLevelType w:val="multilevel"/>
    <w:tmpl w:val="AAC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C6"/>
    <w:rsid w:val="00091E46"/>
    <w:rsid w:val="00204655"/>
    <w:rsid w:val="008C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BFBE"/>
  <w15:chartTrackingRefBased/>
  <w15:docId w15:val="{68AFDD72-36C4-4292-800C-FAF92C25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0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046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1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PC-SASSI</dc:creator>
  <cp:keywords/>
  <dc:description/>
  <cp:lastModifiedBy>PC-SASSI</cp:lastModifiedBy>
  <cp:revision>2</cp:revision>
  <dcterms:created xsi:type="dcterms:W3CDTF">2026-06-11T09:18:00Z</dcterms:created>
  <dcterms:modified xsi:type="dcterms:W3CDTF">2026-06-11T09:19:00Z</dcterms:modified>
</cp:coreProperties>
</file>