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bidi/>
        <w:jc w:val="center"/>
        <w:spacing w:after="260"/>
      </w:pPr>
      <w:r>
        <w:rPr>
          <w:b/>
          <w:rtl/>
          <w:sz w:val="32"/>
          <w:szCs w:val="32"/>
        </w:rPr>
        <w:t>דו״ח התקדמות – שימוש במחשב המקבילי של הרשות לחדשנות</w:t>
      </w:r>
    </w:p>
    <w:p>
      <w:pPr>
        <w:bidi/>
        <w:jc w:val="right"/>
      </w:pPr>
      <w:r>
        <w:rPr>
          <w:b/>
          <w:rtl/>
        </w:rPr>
        <w:t>שם הפרויקט: </w:t>
      </w:r>
      <w:r>
        <w:t>Unsupervised Hallucination Detection in Large Language Models Using Spectral Fusion.</w:t>
      </w:r>
    </w:p>
    <w:p>
      <w:pPr>
        <w:bidi/>
        <w:jc w:val="right"/>
      </w:pPr>
      <w:r>
        <w:rPr>
          <w:b/>
          <w:rtl/>
        </w:rPr>
        <w:t>תיאור הפרויקט: </w:t>
      </w:r>
      <w:r>
        <w:rPr>
          <w:rtl/>
        </w:rPr>
        <w:t>במסגרת הפרויקט מפותחת שיטה בלתי־מונחית לזיהוי תשובות שגויות או בלתי מבוססות של מודלי שפה. השיטה משלבת מדדים המופקים בזמן יצירת התשובה — ובהם הסתברויות טוקנים, אנטרופיה ומדדי אנרגיה — באמצעות U-PCR ‏(Unsupervised Principal Component Regression), שיטת היתוך ספקטרלית הפועלת ללא תוויות. העבודה כוללת פיתוח והערכה של זיהוי הזיות ברמת התשובה במשימות מתמטיקה, שאלות ותשובות ו-RAG.</w:t>
      </w:r>
    </w:p>
    <w:p>
      <w:pPr>
        <w:bidi/>
        <w:jc w:val="right"/>
      </w:pPr>
      <w:r>
        <w:rPr>
          <w:b/>
          <w:rtl/>
        </w:rPr>
        <w:t>משאבי החישוב: </w:t>
      </w:r>
      <w:r>
        <w:rPr>
          <w:rtl/>
        </w:rPr>
        <w:t>התקבלה גישה למחשב AIRCC הכולל עד 8 מאיצי NVIDIA B200, עם כ-192GB זיכרון GPU לכל מאיץ, מכסה של 5,760 שעות-GPU ו-10TB אחסון. עבודות ההסקה הופעלו במקביל, בדרך כלל על מאיץ B200 אחד לכל עבודה ובחלונות זמן של עד 8 שעות. ברשומות הפרויקט מתועדות לפחות 71 עבודות חישוב מלאות, שבמסגרתן הופקו ועובדו 82,142 תשובות של מודלי שפה, על פני 22 מודלים ו-17 מאגרי נתונים. המשאבים אפשרו להריץ מודלים בהיקף של עד 72 מיליארד פרמטרים ולשמור לכל טוקן הסתברויות, מדדי אנטרופיה ואנרגיה לצורך ניתוח השוואתי רחב.</w:t>
      </w:r>
    </w:p>
    <w:p>
      <w:pPr>
        <w:bidi/>
        <w:jc w:val="right"/>
      </w:pPr>
      <w:r>
        <w:rPr>
          <w:b/>
          <w:rtl/>
        </w:rPr>
        <w:t>תוצרים ופרסומים: </w:t>
      </w:r>
      <w:r>
        <w:rPr>
          <w:rtl/>
        </w:rPr>
        <w:t>נבנתה תשתית ניסויית מלאה, בוצעו ניסויי שחזור והשוואה רחבים, ופותחה משפחת שיטות המבוססת על U-PCR להמשך הערכה. בשלב זה טרם התקבל פרסום מדעי המבוסס על העבודה; התוצאות נמצאות בתהליך גיבוש לעבודת התזה ולמאמר עתידי.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  <w:rtl/>
      </w:rPr>
    </w:rPrDefault>
    <w:pPrDefault>
      <w:pPr>
        <w:bidi/>
        <w:jc w:val="right"/>
        <w:spacing w:after="160" w:line="30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דו״ח התקדמות – שימוש במחשב המקבילי</dc:title>
  <dc:creator>Omri Segev</dc:creator>
  <cp:lastModifiedBy>Omri Segev</cp:lastModifiedBy>
  <dcterms:created xsi:type="dcterms:W3CDTF">2026-08-09T00:00:00Z</dcterms:created>
  <dcterms:modified xsi:type="dcterms:W3CDTF">2026-08-09T00:00:00Z</dcterms:modified>
</cp:coreProperties>
</file>