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41773" w14:textId="77777777" w:rsidR="00DD5918" w:rsidRPr="00F16704" w:rsidRDefault="00DD5918" w:rsidP="00F16704">
      <w:pPr>
        <w:spacing w:after="80"/>
        <w:jc w:val="center"/>
        <w:rPr>
          <w:rFonts w:ascii="Calibri" w:hAnsi="Calibri" w:cs="Calibri"/>
        </w:rPr>
      </w:pPr>
      <w:r>
        <w:rPr>
          <w:rFonts w:ascii="Calibri" w:hAnsi="Calibri" w:cs="Calibri" w:hint="cs"/>
          <w:b/>
          <w:bCs/>
          <w:color w:val="1F4E78"/>
          <w:sz w:val="40"/>
          <w:szCs w:val="40"/>
          <w:rtl/>
        </w:rPr>
        <w:t xml:space="preserve">פרק הטבות מס </w:t>
      </w:r>
      <w:r>
        <w:rPr>
          <w:rFonts w:ascii="Calibri" w:hAnsi="Calibri" w:cs="Calibri"/>
          <w:b/>
          <w:bCs/>
          <w:color w:val="1F4E78"/>
          <w:sz w:val="40"/>
          <w:szCs w:val="40"/>
        </w:rPr>
        <w:t>–</w:t>
      </w:r>
      <w:r>
        <w:rPr>
          <w:rFonts w:ascii="Calibri" w:hAnsi="Calibri" w:cs="Calibri" w:hint="cs"/>
          <w:b/>
          <w:bCs/>
          <w:color w:val="1F4E78"/>
          <w:sz w:val="40"/>
          <w:szCs w:val="40"/>
          <w:rtl/>
        </w:rPr>
        <w:t xml:space="preserve"> פחת מואץ</w:t>
      </w:r>
    </w:p>
    <w:p w14:paraId="542458DD" w14:textId="77777777" w:rsidR="00DD5918" w:rsidRPr="00354650" w:rsidRDefault="00DD5918" w:rsidP="00065A07">
      <w:pPr>
        <w:pStyle w:val="1"/>
        <w:numPr>
          <w:ilvl w:val="0"/>
          <w:numId w:val="21"/>
        </w:numPr>
        <w:bidi/>
        <w:spacing w:before="400" w:after="200"/>
        <w:rPr>
          <w:rFonts w:ascii="Calibri" w:hAnsi="Calibri" w:cs="Calibri"/>
          <w:b/>
          <w:color w:val="1F4E78"/>
          <w:sz w:val="30"/>
        </w:rPr>
      </w:pPr>
      <w:r>
        <w:rPr>
          <w:rFonts w:ascii="Calibri" w:hAnsi="Calibri" w:cs="Calibri"/>
          <w:b/>
          <w:bCs/>
          <w:color w:val="1F4E78"/>
          <w:sz w:val="30"/>
          <w:szCs w:val="30"/>
          <w:rtl/>
        </w:rPr>
        <w:t>רקע ומדיניות</w:t>
      </w:r>
    </w:p>
    <w:p w14:paraId="1171F812" w14:textId="77777777" w:rsidR="00DD5918" w:rsidRPr="000B44C6" w:rsidRDefault="00DD5918" w:rsidP="00C578A0">
      <w:pPr>
        <w:spacing w:after="200"/>
        <w:jc w:val="both"/>
        <w:rPr>
          <w:rFonts w:ascii="Calibri" w:hAnsi="Calibri" w:cs="Calibri"/>
          <w:sz w:val="24"/>
          <w:szCs w:val="24"/>
        </w:rPr>
      </w:pPr>
      <w:r>
        <w:rPr>
          <w:rFonts w:ascii="Calibri" w:hAnsi="Calibri" w:cs="Calibri"/>
          <w:sz w:val="24"/>
          <w:szCs w:val="24"/>
          <w:rtl/>
        </w:rPr>
        <w:t xml:space="preserve">התוכנית הלאומית להתייעלות אנרגטית כוללת שלושה מנגנוני תמריץ לאימוץ </w:t>
      </w:r>
      <w:r>
        <w:rPr>
          <w:rFonts w:ascii="Calibri" w:hAnsi="Calibri" w:cs="Calibri" w:hint="cs"/>
          <w:sz w:val="24"/>
          <w:szCs w:val="24"/>
          <w:rtl/>
        </w:rPr>
        <w:t>השקעות להתייעלות באנרגיה בסקטור התעשייה</w:t>
      </w:r>
      <w:r>
        <w:rPr>
          <w:rFonts w:ascii="Calibri" w:hAnsi="Calibri" w:cs="Calibri"/>
          <w:sz w:val="24"/>
          <w:szCs w:val="24"/>
          <w:rtl/>
        </w:rPr>
        <w:t>: תוכנית מענקים, קרן הלוואות והטבת מס באמצעות פחת מואץ. בשונה משני המנגנונים האחרים, הטבת מס אינה מחייבת הקמת מנגנון חדש</w:t>
      </w:r>
      <w:r>
        <w:rPr>
          <w:rFonts w:ascii="Calibri" w:hAnsi="Calibri" w:cs="Calibri" w:hint="cs"/>
          <w:sz w:val="24"/>
          <w:szCs w:val="24"/>
          <w:rtl/>
        </w:rPr>
        <w:t>, כדוגמת הקמת קרן ההלוואות בערבות המדינה. במקום זאת, הטבת המס</w:t>
      </w:r>
      <w:r>
        <w:rPr>
          <w:rFonts w:ascii="Calibri" w:hAnsi="Calibri" w:cs="Calibri"/>
          <w:sz w:val="24"/>
          <w:szCs w:val="24"/>
          <w:rtl/>
        </w:rPr>
        <w:t xml:space="preserve"> נשענת על תשתית חקיקתית שקיימת במשק הישראל</w:t>
      </w:r>
      <w:r>
        <w:rPr>
          <w:rFonts w:ascii="Calibri" w:hAnsi="Calibri" w:cs="Calibri" w:hint="cs"/>
          <w:sz w:val="24"/>
          <w:szCs w:val="24"/>
          <w:rtl/>
        </w:rPr>
        <w:t>י.</w:t>
      </w:r>
    </w:p>
    <w:p w14:paraId="5C467F96" w14:textId="77777777" w:rsidR="00DD5918" w:rsidRPr="00354650" w:rsidRDefault="00DD5918" w:rsidP="00065A07">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t>החוק לעידוד השקעות הון</w:t>
      </w:r>
    </w:p>
    <w:p w14:paraId="17998E69" w14:textId="77777777" w:rsidR="00DD5918" w:rsidRPr="000B44C6" w:rsidRDefault="00DD5918" w:rsidP="00C578A0">
      <w:pPr>
        <w:spacing w:after="200"/>
        <w:jc w:val="both"/>
        <w:rPr>
          <w:rFonts w:ascii="Calibri" w:hAnsi="Calibri" w:cs="Calibri"/>
          <w:sz w:val="24"/>
          <w:szCs w:val="24"/>
        </w:rPr>
      </w:pPr>
      <w:r>
        <w:rPr>
          <w:rFonts w:ascii="Calibri" w:hAnsi="Calibri" w:cs="Calibri"/>
          <w:sz w:val="24"/>
          <w:szCs w:val="24"/>
          <w:rtl/>
        </w:rPr>
        <w:t>החוק לעידוד השקעות הון, התשי"ט-1959, נחקק כדי לעודד השקעות הון בתעשייה הישראלית, לקדם פעילות כלכלית בפריפריה ולחזק את מעמדה התחרותי של ישראל מול מדינות אחרות. החוק החליף חוק קודם משנת 1950, ומאז חקיקתו עבר תיקונים רבים ששינו את שמות המסלולים ואת תנאי הזכאות שלהם.</w:t>
      </w:r>
    </w:p>
    <w:p w14:paraId="78F921B7" w14:textId="77777777" w:rsidR="00DD5918" w:rsidRPr="000B44C6" w:rsidRDefault="00DD5918" w:rsidP="00C578A0">
      <w:pPr>
        <w:spacing w:after="200"/>
        <w:jc w:val="both"/>
        <w:rPr>
          <w:rFonts w:ascii="Calibri" w:hAnsi="Calibri" w:cs="Calibri"/>
          <w:sz w:val="24"/>
          <w:szCs w:val="24"/>
        </w:rPr>
      </w:pPr>
      <w:r>
        <w:rPr>
          <w:rFonts w:ascii="Calibri" w:hAnsi="Calibri" w:cs="Calibri"/>
          <w:sz w:val="24"/>
          <w:szCs w:val="24"/>
          <w:rtl/>
        </w:rPr>
        <w:t>המסלול המקורי שהחוק הגדיר הוא מפעל מאושר: מעמד שהוענק למפעל לאחר אישור מוקדם של מרכז ההשקעות, אשר הקנה שילוב של מענקי השקעה והטבות מס. עם השנים הורחבה מערכת המסלולים: תיקון 60 (2005) הוסיף את מסלול המפעל המוטב, שהתבסס על הצהרה עצמית ללא צורך באישור מוקדם, ותיקון 68 (2011) הוסיף את מסלול המפעל המועדף, המבוסס על שיעורי מס חברות מופחתים הנקבעים לפי אזור פיתוח. כיום מסדיר החוק כמה קטגוריות במקביל, ובהן מפעל מאושר, מפעל מוטב, מפעל מועדף, מפעל מועדף מיוחד ומפעל טכנולוגי מועדף.</w:t>
      </w:r>
    </w:p>
    <w:p w14:paraId="088F65F1" w14:textId="77777777" w:rsidR="00DD5918" w:rsidRPr="00354650" w:rsidRDefault="00DD5918" w:rsidP="00C206EA">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t>הוראות הפחת המואץ בחוק</w:t>
      </w:r>
    </w:p>
    <w:p w14:paraId="004676CB" w14:textId="77777777" w:rsidR="00DD5918" w:rsidRPr="000B44C6" w:rsidRDefault="00DD5918" w:rsidP="00C578A0">
      <w:pPr>
        <w:spacing w:after="200"/>
        <w:jc w:val="both"/>
        <w:rPr>
          <w:rFonts w:ascii="Calibri" w:hAnsi="Calibri" w:cs="Calibri"/>
          <w:sz w:val="24"/>
          <w:szCs w:val="24"/>
        </w:rPr>
      </w:pPr>
      <w:r>
        <w:rPr>
          <w:rFonts w:ascii="Calibri" w:hAnsi="Calibri" w:cs="Calibri"/>
          <w:sz w:val="24"/>
          <w:szCs w:val="24"/>
          <w:rtl/>
        </w:rPr>
        <w:t>לצד הטבות המס במישור שיעור המס, החוק כולל הוראות פחת מואץ ייעודיות. מפעל מאושר זכאי לנכות פחת על מכונות וציוד בשיעור של 200% מהמכסה הקבועה בתקנות מס הכנסה, ועל מבנים בשיעור של 400% מאותה מכסה. במקרים שבהם הוכח לפקיד השומה כי במפעל נגרם בלאי בלתי רגיל של מכונות או ציוד, בשל הפעלתם במשמרות נוספות או בתנאים קשים במיוחד, רשאי פקיד השומה להתיר ניכוי פחת בשיעור של 250%.</w:t>
      </w:r>
    </w:p>
    <w:p w14:paraId="2A47EB9E" w14:textId="77777777" w:rsidR="00DD5918" w:rsidRPr="000B44C6" w:rsidRDefault="00DD5918" w:rsidP="00C578A0">
      <w:pPr>
        <w:spacing w:after="200"/>
        <w:jc w:val="both"/>
        <w:rPr>
          <w:rFonts w:ascii="Calibri" w:hAnsi="Calibri" w:cs="Calibri"/>
          <w:sz w:val="24"/>
          <w:szCs w:val="24"/>
        </w:rPr>
      </w:pPr>
      <w:r>
        <w:rPr>
          <w:rFonts w:ascii="Calibri" w:hAnsi="Calibri" w:cs="Calibri"/>
          <w:sz w:val="24"/>
          <w:szCs w:val="24"/>
          <w:rtl/>
        </w:rPr>
        <w:t>לשלוש הוראות אלו יש חשיבות ישירה לתכנון ההטבה המוצעת</w:t>
      </w:r>
      <w:r>
        <w:rPr>
          <w:rFonts w:ascii="Calibri" w:hAnsi="Calibri" w:cs="Calibri" w:hint="cs"/>
          <w:sz w:val="24"/>
          <w:szCs w:val="24"/>
          <w:rtl/>
        </w:rPr>
        <w:t xml:space="preserve"> עבור התייעלות באנרגיה</w:t>
      </w:r>
      <w:r>
        <w:rPr>
          <w:rFonts w:ascii="Calibri" w:hAnsi="Calibri" w:cs="Calibri"/>
          <w:sz w:val="24"/>
          <w:szCs w:val="24"/>
          <w:rtl/>
        </w:rPr>
        <w:t>. ראשית, הן מוכיחות שעקרון הפחת המואץ כבר מעוגן בדין הישראלי ואינו דורש חקיקה מנגנונית חדשה. שנית, המבנה שלהן, מכפיל המוחל על מכסת הפחת הרגילה, זהה במהותו למבנה שנבחן במודל הכלכלי של פרק זה, ולמבנה המיושם בקפריסין (הרחבה בסעיף 3). שלישית, הן מדגימות שהמחוקק הישראלי כבר עשה שימוש בהבחנה בין סוגי נכסים ובין תנאי הפעלה שונים לצורך קביעת שיעור ההטבה.</w:t>
      </w:r>
    </w:p>
    <w:p w14:paraId="2426C3C6" w14:textId="77777777" w:rsidR="00DD5918" w:rsidRPr="000B44C6" w:rsidRDefault="00DD5918" w:rsidP="00C578A0">
      <w:pPr>
        <w:spacing w:after="200"/>
        <w:jc w:val="both"/>
        <w:rPr>
          <w:rFonts w:ascii="Calibri" w:hAnsi="Calibri" w:cs="Calibri"/>
          <w:sz w:val="24"/>
          <w:szCs w:val="24"/>
        </w:rPr>
      </w:pPr>
      <w:r>
        <w:rPr>
          <w:rFonts w:ascii="Calibri" w:hAnsi="Calibri" w:cs="Calibri"/>
          <w:sz w:val="24"/>
          <w:szCs w:val="24"/>
          <w:rtl/>
        </w:rPr>
        <w:t xml:space="preserve">עם זאת, קיים הבדל מהותי בין ההטבה הקיימת לבין ההטבה הנבחנת כאן: תנאי הזכאות בחוק לעידוד השקעות הון נגזרים ממאפייני המפעל, תחום פעילותו, מיקומו הגאוגרפי, ומעמדו התחרותי בייצוא, ולא מביצועיו האנרגטיים של הציוד הנרכש. ההטבה הנבחנת בפרק זה מתמקדת בציוד עצמו ובחיסכון האנרגטי שהוא מייצר, בדומה למנגנונים שנסקרו בסעיף 3. </w:t>
      </w:r>
    </w:p>
    <w:p w14:paraId="7E314DB4" w14:textId="77777777" w:rsidR="00DD5918" w:rsidRPr="00354650" w:rsidRDefault="00DD5918" w:rsidP="00C206EA">
      <w:pPr>
        <w:pStyle w:val="1"/>
        <w:numPr>
          <w:ilvl w:val="0"/>
          <w:numId w:val="21"/>
        </w:numPr>
        <w:bidi/>
        <w:spacing w:before="400" w:after="200"/>
        <w:rPr>
          <w:rFonts w:ascii="Calibri" w:hAnsi="Calibri" w:cs="Calibri"/>
          <w:b/>
          <w:color w:val="1F4E78"/>
          <w:sz w:val="30"/>
        </w:rPr>
      </w:pPr>
      <w:r>
        <w:rPr>
          <w:rFonts w:ascii="Calibri" w:hAnsi="Calibri" w:cs="Calibri"/>
          <w:b/>
          <w:bCs/>
          <w:color w:val="1F4E78"/>
          <w:sz w:val="30"/>
          <w:szCs w:val="30"/>
          <w:rtl/>
        </w:rPr>
        <w:t>אופן פעולת המנגנון</w:t>
      </w:r>
    </w:p>
    <w:p w14:paraId="447EFD3C" w14:textId="77777777" w:rsidR="00DD5918" w:rsidRPr="00354650" w:rsidRDefault="00DD5918" w:rsidP="00C206EA">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t>המנגנון</w:t>
      </w:r>
    </w:p>
    <w:p w14:paraId="56C5B09A" w14:textId="77777777" w:rsidR="00DD5918" w:rsidRPr="000B44C6" w:rsidRDefault="00DD5918" w:rsidP="00D07BCF">
      <w:pPr>
        <w:spacing w:after="200"/>
        <w:jc w:val="both"/>
        <w:rPr>
          <w:rFonts w:ascii="Calibri" w:hAnsi="Calibri" w:cs="Calibri"/>
          <w:sz w:val="24"/>
          <w:szCs w:val="24"/>
        </w:rPr>
      </w:pPr>
      <w:r>
        <w:rPr>
          <w:rFonts w:ascii="Calibri" w:hAnsi="Calibri" w:cs="Calibri"/>
          <w:sz w:val="24"/>
          <w:szCs w:val="24"/>
          <w:rtl/>
        </w:rPr>
        <w:t>ההטבה פועלת באמצעות מכפיל המוחל על מכסת הפחת השנתית הרגילה של הציוד. לדוגמה, מכפיל 2 מאפשר ניכוי של 20% משווי הציוד בכל שנה על פני 5 שנים, במקום לוח פחת רגיל של 10% לשנה על פני 10 שנים. סך הניכוי לאורך חיי הנכס אינו משתנה: מלוא עלות הציוד מנוכה בשני המקרים, אך עיתוי הניכוי מוקדם באופן משמעותי.</w:t>
      </w:r>
    </w:p>
    <w:p w14:paraId="7914DA8F" w14:textId="77777777" w:rsidR="00DD5918" w:rsidRPr="00354650" w:rsidRDefault="00DD5918" w:rsidP="00C206EA">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t>מדוע ההטבה משנה את כדאיות ההשקעה</w:t>
      </w:r>
    </w:p>
    <w:p w14:paraId="30119F41" w14:textId="77777777" w:rsidR="00DD5918" w:rsidRPr="000B44C6" w:rsidRDefault="00DD5918" w:rsidP="00D07BCF">
      <w:pPr>
        <w:spacing w:after="200"/>
        <w:jc w:val="both"/>
        <w:rPr>
          <w:rFonts w:ascii="Calibri" w:hAnsi="Calibri" w:cs="Calibri"/>
          <w:sz w:val="24"/>
          <w:szCs w:val="24"/>
        </w:rPr>
      </w:pPr>
      <w:r>
        <w:rPr>
          <w:rFonts w:ascii="Calibri" w:hAnsi="Calibri" w:cs="Calibri"/>
          <w:sz w:val="24"/>
          <w:szCs w:val="24"/>
          <w:rtl/>
        </w:rPr>
        <w:lastRenderedPageBreak/>
        <w:t>החסם המרכזי לאימוץ ציוד יעיל אנרגטית בסקטור התעשייה אינו היעדר כדאיות כלכלית לאורך חיי הציוד, אלא עיתוי התזרים. פרויקט התייעלות אנרגטית מאופיין בהוצאה הונית מלאה מראש, שאותה מחזירים בהדרגה באמצעות חיסכון בעלויות האנרגיה לאורך שנים. גם כאשר סך החיסכון עולה על ההשקעה, ההוצאה המיידית מתחרה בשימושים חלופיים בהון של המפעל: הרחבת קווי ייצור, רכישת חומרי גלם, או השקעות המשפיעות ישירות על ההכנסה.</w:t>
      </w:r>
    </w:p>
    <w:p w14:paraId="2F174B78" w14:textId="65FB12B7" w:rsidR="00DD5918" w:rsidRPr="000B44C6" w:rsidRDefault="00DD5918" w:rsidP="00D07BCF">
      <w:pPr>
        <w:spacing w:after="200"/>
        <w:jc w:val="both"/>
        <w:rPr>
          <w:rFonts w:ascii="Calibri" w:hAnsi="Calibri" w:cs="Calibri"/>
          <w:sz w:val="24"/>
          <w:szCs w:val="24"/>
        </w:rPr>
      </w:pPr>
      <w:r>
        <w:rPr>
          <w:rFonts w:ascii="Calibri" w:hAnsi="Calibri" w:cs="Calibri"/>
          <w:sz w:val="24"/>
          <w:szCs w:val="24"/>
          <w:rtl/>
        </w:rPr>
        <w:t>בפועל, חברות תעשייתיות אינן מאשרות השקעות התייעלות על בסיס שווי נוכחי נקי לאורך 20 שנה, אלא על בסיס תקופת החזר פנימית קצרה</w:t>
      </w:r>
      <w:r>
        <w:rPr>
          <w:rFonts w:ascii="Calibri" w:hAnsi="Calibri" w:cs="Calibri" w:hint="cs"/>
          <w:sz w:val="24"/>
          <w:szCs w:val="24"/>
          <w:rtl/>
        </w:rPr>
        <w:t xml:space="preserve">. </w:t>
      </w:r>
      <w:r>
        <w:rPr>
          <w:rFonts w:ascii="Calibri" w:hAnsi="Calibri" w:cs="Calibri"/>
          <w:sz w:val="24"/>
          <w:szCs w:val="24"/>
          <w:rtl/>
        </w:rPr>
        <w:t>השקעה שתקופת ההחזר שלה חורגת מסף זה נדחית, גם כאשר היא כדאית כלכלית בראייה ארוכת טווח. זהו הפער שההטבה נועדה לגשר עליו.</w:t>
      </w:r>
    </w:p>
    <w:p w14:paraId="2BB6FFAE" w14:textId="6C09E094" w:rsidR="00DD5918" w:rsidRPr="000B44C6" w:rsidRDefault="00DD5918" w:rsidP="00D07BCF">
      <w:pPr>
        <w:spacing w:after="200"/>
        <w:jc w:val="both"/>
        <w:rPr>
          <w:rFonts w:ascii="Calibri" w:hAnsi="Calibri" w:cs="Calibri"/>
          <w:sz w:val="24"/>
          <w:szCs w:val="24"/>
        </w:rPr>
      </w:pPr>
      <w:r>
        <w:rPr>
          <w:rFonts w:ascii="Calibri" w:hAnsi="Calibri" w:cs="Calibri" w:hint="cs"/>
          <w:sz w:val="24"/>
          <w:szCs w:val="24"/>
          <w:rtl/>
        </w:rPr>
        <w:t>הפח</w:t>
      </w:r>
      <w:r>
        <w:rPr>
          <w:rFonts w:ascii="Calibri" w:hAnsi="Calibri" w:cs="Calibri"/>
          <w:sz w:val="24"/>
          <w:szCs w:val="24"/>
          <w:rtl/>
        </w:rPr>
        <w:t>ת המואץ פועל על הפער הזה בשלוש דרכים:</w:t>
      </w:r>
    </w:p>
    <w:p w14:paraId="267B7BD2" w14:textId="52C7DA30" w:rsidR="00DD5918" w:rsidRPr="00E12B09" w:rsidRDefault="00DD5918" w:rsidP="00E12B09">
      <w:pPr>
        <w:pStyle w:val="a7"/>
        <w:numPr>
          <w:ilvl w:val="0"/>
          <w:numId w:val="17"/>
        </w:numPr>
        <w:bidi/>
        <w:spacing w:after="200"/>
        <w:jc w:val="both"/>
        <w:rPr>
          <w:rFonts w:ascii="Calibri" w:hAnsi="Calibri" w:cs="Calibri"/>
          <w:sz w:val="24"/>
          <w:szCs w:val="24"/>
        </w:rPr>
      </w:pPr>
      <w:r>
        <w:rPr>
          <w:rFonts w:ascii="Calibri" w:hAnsi="Calibri" w:cs="Calibri"/>
          <w:sz w:val="24"/>
          <w:szCs w:val="24"/>
          <w:rtl/>
        </w:rPr>
        <w:t>קיצור תקופת ההחזר</w:t>
      </w:r>
      <w:r>
        <w:rPr>
          <w:rFonts w:ascii="Calibri" w:hAnsi="Calibri" w:cs="Calibri" w:hint="cs"/>
          <w:sz w:val="24"/>
          <w:szCs w:val="24"/>
        </w:rPr>
        <w:t>:</w:t>
      </w:r>
      <w:r>
        <w:rPr>
          <w:rFonts w:ascii="Calibri" w:hAnsi="Calibri" w:cs="Calibri"/>
          <w:sz w:val="24"/>
          <w:szCs w:val="24"/>
          <w:rtl/>
        </w:rPr>
        <w:t xml:space="preserve"> הקדמת הניכוי מגדילה את תזרים המזומנים בשנים הראשונות, </w:t>
      </w:r>
      <w:r>
        <w:rPr>
          <w:rFonts w:ascii="Calibri" w:hAnsi="Calibri" w:cs="Calibri" w:hint="cs"/>
          <w:sz w:val="24"/>
          <w:szCs w:val="24"/>
          <w:rtl/>
        </w:rPr>
        <w:t xml:space="preserve">ובכך משפרת את זמן החזר ההשקעה</w:t>
      </w:r>
      <w:r>
        <w:rPr>
          <w:rFonts w:ascii="Calibri" w:hAnsi="Calibri" w:cs="Calibri"/>
          <w:sz w:val="24"/>
          <w:szCs w:val="24"/>
          <w:rtl/>
        </w:rPr>
        <w:t xml:space="preserve">. פרויקט שתקופת ההחזר שלו חרגה מהסף הפנימי </w:t>
      </w:r>
      <w:r>
        <w:rPr>
          <w:rFonts w:ascii="Calibri" w:hAnsi="Calibri" w:cs="Calibri" w:hint="cs"/>
          <w:sz w:val="24"/>
          <w:szCs w:val="24"/>
          <w:rtl/>
        </w:rPr>
        <w:t xml:space="preserve">של החברה לקבלת החלטה על השקעה, </w:t>
      </w:r>
      <w:r>
        <w:rPr>
          <w:rFonts w:ascii="Calibri" w:hAnsi="Calibri" w:cs="Calibri"/>
          <w:sz w:val="24"/>
          <w:szCs w:val="24"/>
          <w:rtl/>
        </w:rPr>
        <w:t>עשוי לעבור אותו בזכות ההטבה, וכך להפוך מהשקעה שנדחית להשקעה שמאושרת.</w:t>
      </w:r>
    </w:p>
    <w:p w14:paraId="6A49F74F" w14:textId="77777777" w:rsidR="00DD5918" w:rsidRPr="00E12B09" w:rsidRDefault="00DD5918" w:rsidP="00E12B09">
      <w:pPr>
        <w:pStyle w:val="a7"/>
        <w:numPr>
          <w:ilvl w:val="0"/>
          <w:numId w:val="17"/>
        </w:numPr>
        <w:bidi/>
        <w:spacing w:after="200"/>
        <w:jc w:val="both"/>
        <w:rPr>
          <w:rFonts w:ascii="Calibri" w:hAnsi="Calibri" w:cs="Calibri"/>
          <w:sz w:val="24"/>
          <w:szCs w:val="24"/>
        </w:rPr>
      </w:pPr>
      <w:r>
        <w:rPr>
          <w:rFonts w:ascii="Calibri" w:hAnsi="Calibri" w:cs="Calibri"/>
          <w:sz w:val="24"/>
          <w:szCs w:val="24"/>
          <w:rtl/>
        </w:rPr>
        <w:t>שיפור השווי הנוכחי הנקי</w:t>
      </w:r>
      <w:r>
        <w:rPr>
          <w:rFonts w:ascii="Calibri" w:hAnsi="Calibri" w:cs="Calibri" w:hint="cs"/>
          <w:sz w:val="24"/>
          <w:szCs w:val="24"/>
        </w:rPr>
        <w:t>:</w:t>
      </w:r>
      <w:r>
        <w:rPr>
          <w:rFonts w:ascii="Calibri" w:hAnsi="Calibri" w:cs="Calibri"/>
          <w:sz w:val="24"/>
          <w:szCs w:val="24"/>
          <w:rtl/>
        </w:rPr>
        <w:t xml:space="preserve"> מאחר שהחיסכון במס מתקבל מוקדם יותר, ערכו המהוון גבוה יותר. ההשפעה גדלה ככל ששיעור ההיוון של המפעל גבוה יותר: ההטבה חזקה במיוחד עבור מפעלים המתמודדים עם עלות הון גבוהה או מגבלות אשראי.</w:t>
      </w:r>
    </w:p>
    <w:p w14:paraId="32A1919A" w14:textId="77777777" w:rsidR="00DD5918" w:rsidRPr="00E12B09" w:rsidRDefault="00DD5918" w:rsidP="00E12B09">
      <w:pPr>
        <w:pStyle w:val="a7"/>
        <w:numPr>
          <w:ilvl w:val="0"/>
          <w:numId w:val="17"/>
        </w:numPr>
        <w:bidi/>
        <w:spacing w:after="200"/>
        <w:jc w:val="both"/>
        <w:rPr>
          <w:rFonts w:ascii="Calibri" w:hAnsi="Calibri" w:cs="Calibri"/>
          <w:sz w:val="24"/>
          <w:szCs w:val="24"/>
        </w:rPr>
      </w:pPr>
      <w:r>
        <w:rPr>
          <w:rFonts w:ascii="Calibri" w:hAnsi="Calibri" w:cs="Calibri"/>
          <w:sz w:val="24"/>
          <w:szCs w:val="24"/>
          <w:rtl/>
        </w:rPr>
        <w:t>הפחתת הסיכון הנתפס</w:t>
      </w:r>
      <w:r>
        <w:rPr>
          <w:rFonts w:ascii="Calibri" w:hAnsi="Calibri" w:cs="Calibri" w:hint="cs"/>
          <w:sz w:val="24"/>
          <w:szCs w:val="24"/>
        </w:rPr>
        <w:t>:</w:t>
      </w:r>
      <w:r>
        <w:rPr>
          <w:rFonts w:ascii="Calibri" w:hAnsi="Calibri" w:cs="Calibri"/>
          <w:sz w:val="24"/>
          <w:szCs w:val="24"/>
          <w:rtl/>
        </w:rPr>
        <w:t xml:space="preserve"> החזר מהיר יותר של ההשקעה מקטין את החשיפה של המפעל לאי-ודאות לגבי מחירי האנרגיה העתידיים ולגבי המשך פעילות קו הייצור</w:t>
      </w:r>
      <w:r>
        <w:rPr>
          <w:rFonts w:ascii="Calibri" w:hAnsi="Calibri" w:cs="Calibri" w:hint="cs"/>
          <w:sz w:val="24"/>
          <w:szCs w:val="24"/>
          <w:rtl/>
        </w:rPr>
        <w:t xml:space="preserve"> במפעל</w:t>
      </w:r>
      <w:r>
        <w:rPr>
          <w:rFonts w:ascii="Calibri" w:hAnsi="Calibri" w:cs="Calibri"/>
          <w:sz w:val="24"/>
          <w:szCs w:val="24"/>
          <w:rtl/>
        </w:rPr>
        <w:t xml:space="preserve"> שבו הותקן הציוד.</w:t>
      </w:r>
    </w:p>
    <w:p w14:paraId="7B5B9D1B" w14:textId="77777777" w:rsidR="00DD5918" w:rsidRPr="00354650" w:rsidRDefault="00DD5918" w:rsidP="00065A07">
      <w:pPr>
        <w:pStyle w:val="21"/>
        <w:numPr>
          <w:ilvl w:val="1"/>
          <w:numId w:val="21"/>
        </w:numPr>
        <w:bidi/>
        <w:rPr>
          <w:rFonts w:ascii="Calibri" w:hAnsi="Calibri" w:cs="Calibri"/>
          <w:b/>
          <w:bCs/>
          <w:color w:val="1F4E78"/>
          <w:sz w:val="24"/>
          <w:szCs w:val="24"/>
        </w:rPr>
      </w:pPr>
      <w:r>
        <w:rPr>
          <w:rFonts w:ascii="Calibri" w:hAnsi="Calibri" w:cs="Calibri" w:hint="cs"/>
          <w:b/>
          <w:bCs/>
          <w:color w:val="1F4E78"/>
          <w:sz w:val="24"/>
          <w:szCs w:val="24"/>
          <w:rtl/>
        </w:rPr>
        <w:t>עלות התוכנית עבור המדינה</w:t>
      </w:r>
    </w:p>
    <w:p w14:paraId="04A6FEB0" w14:textId="2D5155C5" w:rsidR="00DD5918" w:rsidRPr="000B44C6" w:rsidRDefault="00DD5918" w:rsidP="00D07BCF">
      <w:pPr>
        <w:spacing w:after="200"/>
        <w:jc w:val="both"/>
        <w:rPr>
          <w:rFonts w:ascii="Calibri" w:hAnsi="Calibri" w:cs="Calibri"/>
          <w:sz w:val="24"/>
          <w:szCs w:val="24"/>
        </w:rPr>
      </w:pPr>
      <w:r>
        <w:rPr>
          <w:rFonts w:ascii="Calibri" w:hAnsi="Calibri" w:cs="Calibri"/>
          <w:sz w:val="24"/>
          <w:szCs w:val="24"/>
          <w:rtl/>
        </w:rPr>
        <w:t xml:space="preserve">בשונה ממענק, שהוא העברה תקציבית ישירה, </w:t>
      </w:r>
      <w:r>
        <w:rPr>
          <w:rFonts w:ascii="Calibri" w:hAnsi="Calibri" w:cs="Calibri" w:hint="cs"/>
          <w:sz w:val="24"/>
          <w:szCs w:val="24"/>
          <w:rtl/>
        </w:rPr>
        <w:t>עלות ה</w:t>
      </w:r>
      <w:r>
        <w:rPr>
          <w:rFonts w:ascii="Calibri" w:hAnsi="Calibri" w:cs="Calibri"/>
          <w:sz w:val="24"/>
          <w:szCs w:val="24"/>
          <w:rtl/>
        </w:rPr>
        <w:t xml:space="preserve">פחת </w:t>
      </w:r>
      <w:r>
        <w:rPr>
          <w:rFonts w:ascii="Calibri" w:hAnsi="Calibri" w:cs="Calibri" w:hint="cs"/>
          <w:sz w:val="24"/>
          <w:szCs w:val="24"/>
          <w:rtl/>
        </w:rPr>
        <w:t>ה</w:t>
      </w:r>
      <w:r>
        <w:rPr>
          <w:rFonts w:ascii="Calibri" w:hAnsi="Calibri" w:cs="Calibri"/>
          <w:sz w:val="24"/>
          <w:szCs w:val="24"/>
          <w:rtl/>
        </w:rPr>
        <w:t xml:space="preserve">מואץ </w:t>
      </w:r>
      <w:r>
        <w:rPr>
          <w:rFonts w:ascii="Calibri" w:hAnsi="Calibri" w:cs="Calibri" w:hint="cs"/>
          <w:sz w:val="24"/>
          <w:szCs w:val="24"/>
          <w:rtl/>
        </w:rPr>
        <w:t xml:space="preserve">עבור המדינה תלויה בניצולו ומתבטאת בתקבולי המיסים מהתעשייה. מכיוון שהסכום אותו </w:t>
      </w:r>
      <w:r>
        <w:rPr>
          <w:rFonts w:ascii="Calibri" w:hAnsi="Calibri" w:cs="Calibri"/>
          <w:sz w:val="24"/>
          <w:szCs w:val="24"/>
          <w:rtl/>
        </w:rPr>
        <w:t xml:space="preserve">החברה מנכה מעלות הציוד </w:t>
      </w:r>
      <w:r>
        <w:rPr>
          <w:rFonts w:ascii="Calibri" w:hAnsi="Calibri" w:cs="Calibri" w:hint="cs"/>
          <w:sz w:val="24"/>
          <w:szCs w:val="24"/>
          <w:rtl/>
        </w:rPr>
        <w:t>לא משתנה</w:t>
      </w:r>
      <w:r>
        <w:rPr>
          <w:rFonts w:ascii="Calibri" w:hAnsi="Calibri" w:cs="Calibri"/>
          <w:sz w:val="24"/>
          <w:szCs w:val="24"/>
          <w:rtl/>
        </w:rPr>
        <w:t xml:space="preserve">, העלות למדינה </w:t>
      </w:r>
      <w:r>
        <w:rPr>
          <w:rFonts w:ascii="Calibri" w:hAnsi="Calibri" w:cs="Calibri" w:hint="cs"/>
          <w:sz w:val="24"/>
          <w:szCs w:val="24"/>
          <w:rtl/>
        </w:rPr>
        <w:t xml:space="preserve">מתבטא </w:t>
      </w:r>
      <w:r>
        <w:rPr>
          <w:rFonts w:ascii="Calibri" w:hAnsi="Calibri" w:cs="Calibri"/>
          <w:sz w:val="24"/>
          <w:szCs w:val="24"/>
          <w:rtl/>
        </w:rPr>
        <w:t>בערך הזמן של גביית המס במועד מאוחר יותר.</w:t>
      </w:r>
      <w:r>
        <w:rPr>
          <w:rFonts w:ascii="Calibri" w:hAnsi="Calibri" w:cs="Calibri" w:hint="cs"/>
          <w:sz w:val="24"/>
          <w:szCs w:val="24"/>
          <w:rtl/>
        </w:rPr>
        <w:t xml:space="preserve"> בשל כך, עלות תוכנית הטבת המס צפויה להיות נמוכה באופן משמעותי מעלות תוכנית המענקים.</w:t>
      </w:r>
      <w:r>
        <w:rPr>
          <w:rFonts w:ascii="Calibri" w:hAnsi="Calibri" w:cs="Calibri"/>
          <w:sz w:val="24"/>
          <w:szCs w:val="24"/>
        </w:rPr>
        <w:t xml:space="preserve"> </w:t>
      </w:r>
    </w:p>
    <w:p w14:paraId="15854C61" w14:textId="77777777" w:rsidR="00DD5918" w:rsidRPr="00354650" w:rsidRDefault="00DD5918" w:rsidP="00065A07">
      <w:pPr>
        <w:pStyle w:val="1"/>
        <w:numPr>
          <w:ilvl w:val="0"/>
          <w:numId w:val="21"/>
        </w:numPr>
        <w:bidi/>
        <w:spacing w:before="400" w:after="200"/>
        <w:rPr>
          <w:rFonts w:ascii="Calibri" w:hAnsi="Calibri" w:cs="Calibri"/>
          <w:b/>
          <w:bCs/>
          <w:color w:val="1F4E78"/>
          <w:sz w:val="30"/>
          <w:szCs w:val="30"/>
        </w:rPr>
      </w:pPr>
      <w:r>
        <w:rPr>
          <w:rFonts w:ascii="Calibri" w:hAnsi="Calibri" w:cs="Calibri"/>
          <w:b/>
          <w:bCs/>
          <w:color w:val="1F4E78"/>
          <w:sz w:val="30"/>
          <w:szCs w:val="30"/>
          <w:rtl/>
        </w:rPr>
        <w:t>סקירה בינלאומית</w:t>
      </w:r>
    </w:p>
    <w:p w14:paraId="35CFDFAF" w14:textId="02FEC9B5" w:rsidR="00DD5918" w:rsidRPr="000B44C6" w:rsidRDefault="00DD5918" w:rsidP="00456621">
      <w:pPr>
        <w:spacing w:after="200"/>
        <w:jc w:val="both"/>
        <w:rPr>
          <w:rFonts w:ascii="Calibri" w:hAnsi="Calibri" w:cs="Calibri"/>
          <w:sz w:val="24"/>
          <w:szCs w:val="24"/>
        </w:rPr>
      </w:pPr>
      <w:r>
        <w:rPr>
          <w:rFonts w:ascii="Calibri" w:hAnsi="Calibri" w:cs="Calibri"/>
          <w:sz w:val="24"/>
          <w:szCs w:val="24"/>
          <w:rtl/>
        </w:rPr>
        <w:t>ניתן לזהות שלושה מנגנוני מס מרכזיים לעידוד השקעות בהתייעלות אנרגטית</w:t>
      </w:r>
      <w:r>
        <w:rPr>
          <w:rFonts w:ascii="Calibri" w:hAnsi="Calibri" w:cs="Calibri" w:hint="cs"/>
          <w:sz w:val="24"/>
          <w:szCs w:val="24"/>
          <w:rtl/>
        </w:rPr>
        <w:t xml:space="preserve"> במדינות שנסקרו</w:t>
      </w:r>
      <w:r>
        <w:rPr>
          <w:rFonts w:ascii="Calibri" w:hAnsi="Calibri" w:cs="Calibri"/>
          <w:sz w:val="24"/>
          <w:szCs w:val="24"/>
          <w:rtl/>
        </w:rPr>
        <w:t>: פחת מואץ</w:t>
      </w:r>
      <w:r>
        <w:rPr>
          <w:rFonts w:ascii="Calibri" w:hAnsi="Calibri" w:cs="Calibri" w:hint="cs"/>
          <w:sz w:val="24"/>
          <w:szCs w:val="24"/>
          <w:rtl/>
        </w:rPr>
        <w:t xml:space="preserve">, </w:t>
      </w:r>
      <w:r>
        <w:rPr>
          <w:rFonts w:ascii="Calibri" w:hAnsi="Calibri" w:cs="Calibri"/>
          <w:sz w:val="24"/>
          <w:szCs w:val="24"/>
          <w:rtl/>
        </w:rPr>
        <w:t>זיכוי מס, שהוא הפחתה ישירה של חבות המס, וניכוי מס, שהוא הפחתת הרווח החייב</w:t>
      </w:r>
      <w:r>
        <w:rPr>
          <w:rFonts w:ascii="Calibri" w:hAnsi="Calibri" w:cs="Calibri" w:hint="cs"/>
          <w:sz w:val="24"/>
          <w:szCs w:val="24"/>
        </w:rPr>
        <w:t xml:space="preserve">. </w:t>
      </w:r>
      <w:r>
        <w:rPr>
          <w:rFonts w:ascii="Calibri" w:hAnsi="Calibri" w:cs="Calibri"/>
          <w:sz w:val="24"/>
          <w:szCs w:val="24"/>
          <w:rtl/>
        </w:rPr>
        <w:t>סקירה זו מתמקדת בפחת מואץ, משום שהוא נפוץ במדינות שנסקרו, משתלב בדיווח המס השוטף ללא צורך במנגנוני הקצאה תקציביים, מותאם במיוחד להשקעות הוניות בציוד, וכאמור בסעיף 1, כבר קיים בתשתית החקיקתית הישראלית.</w:t>
      </w:r>
    </w:p>
    <w:p w14:paraId="02C50A21" w14:textId="77777777" w:rsidR="00DD5918" w:rsidRPr="000B44C6" w:rsidRDefault="00DD5918" w:rsidP="00470CC4">
      <w:pPr>
        <w:spacing w:after="200"/>
        <w:jc w:val="both"/>
        <w:rPr>
          <w:rFonts w:ascii="Calibri" w:hAnsi="Calibri" w:cs="Calibri"/>
          <w:sz w:val="24"/>
          <w:szCs w:val="24"/>
        </w:rPr>
      </w:pPr>
      <w:r>
        <w:rPr>
          <w:rFonts w:ascii="Calibri" w:hAnsi="Calibri" w:cs="Calibri"/>
          <w:sz w:val="24"/>
          <w:szCs w:val="24"/>
          <w:rtl/>
        </w:rPr>
        <w:t>חמש המדינות שנבחרו (אירלנד, קנדה, סינגפור, ספרד וקפריסין) מפעילות מנגנוני מס המכוונים במוצהר להתייעלות אנרגטית, להבדיל מהטבות סקטוריאליות רוחביות. כל מדינה נבחנה לפי חמישה פרמטרים קבועים:</w:t>
      </w:r>
    </w:p>
    <w:p w14:paraId="5C224763" w14:textId="77777777" w:rsidR="00DD5918" w:rsidRPr="00E12B09" w:rsidRDefault="00DD5918" w:rsidP="00E12B09">
      <w:pPr>
        <w:pStyle w:val="afffe"/>
        <w:keepNext/>
        <w:rPr>
          <w:rFonts w:ascii="Calibri" w:hAnsi="Calibri" w:cs="Calibri"/>
        </w:rPr>
      </w:pPr>
      <w:r>
        <w:rPr>
          <w:rFonts w:ascii="Calibri" w:hAnsi="Calibri" w:cs="Calibri"/>
          <w:rtl/>
        </w:rPr>
        <w:t xml:space="preserve">טבלה </w:t>
        <w:fldChar w:fldCharType="begin"/>
        <w:instrText xml:space="preserve"> SEQ טבלה \* ARABIC </w:instrText>
        <w:fldChar w:fldCharType="separate"/>
      </w:r>
      <w:r>
        <w:rPr>
          <w:rFonts w:ascii="Calibri" w:hAnsi="Calibri" w:cs="Calibri"/>
          <w:noProof/>
        </w:rPr>
        <w:t>1</w:t>
      </w:r>
      <w:r>
        <w:rPr>
          <w:rFonts w:ascii="Calibri" w:hAnsi="Calibri" w:cs="Calibri"/>
          <w:rtl/>
        </w:rPr>
        <w:fldChar w:fldCharType="end"/>
        <w:t xml:space="preserve"> - סקירה בינלאומית</w:t>
      </w:r>
    </w:p>
    <w:tbl>
      <w:tblPr>
        <w:tblStyle w:val="afffffc"/>
        <w:bidiVisual/>
        <w:tblW w:w="0" w:type="auto"/>
        <w:tblLook w:val="04A0" w:firstRow="1" w:lastRow="0" w:firstColumn="1" w:lastColumn="0" w:noHBand="0" w:noVBand="1"/>
      </w:tblPr>
      <w:tblGrid>
        <w:gridCol w:w="1502"/>
        <w:gridCol w:w="1502"/>
        <w:gridCol w:w="1503"/>
        <w:gridCol w:w="1503"/>
        <w:gridCol w:w="1503"/>
        <w:gridCol w:w="1503"/>
      </w:tblGrid>
      <w:tr w:rsidR="00DD5918" w14:paraId="4EE05285" w14:textId="77777777" w:rsidTr="00E12B09">
        <w:trPr>
          <w:tblHeader/>
        </w:trPr>
        <w:tc>
          <w:tcPr>
            <w:tcW w:w="1502" w:type="dxa"/>
            <w:vAlign w:val="center"/>
          </w:tcPr>
          <w:p w14:paraId="2A199209" w14:textId="77777777" w:rsidR="00DD5918" w:rsidRPr="006E51F5" w:rsidRDefault="00DD5918" w:rsidP="006E51F5">
            <w:pPr>
              <w:jc w:val="center"/>
              <w:rPr>
                <w:rFonts w:ascii="Calibri" w:hAnsi="Calibri" w:cs="Calibri"/>
                <w:b/>
                <w:bCs/>
                <w:sz w:val="24"/>
                <w:szCs w:val="24"/>
              </w:rPr>
            </w:pPr>
            <w:r>
              <w:rPr>
                <w:rFonts w:ascii="Calibri" w:hAnsi="Calibri" w:cs="Calibri" w:hint="cs"/>
                <w:b/>
                <w:bCs/>
                <w:sz w:val="24"/>
                <w:szCs w:val="24"/>
                <w:rtl/>
              </w:rPr>
              <w:t>פרמטר</w:t>
            </w:r>
          </w:p>
        </w:tc>
        <w:tc>
          <w:tcPr>
            <w:tcW w:w="1502" w:type="dxa"/>
            <w:vAlign w:val="center"/>
          </w:tcPr>
          <w:p w14:paraId="3204316C" w14:textId="77777777" w:rsidR="00DD5918" w:rsidRPr="006E51F5" w:rsidRDefault="00DD5918" w:rsidP="006E51F5">
            <w:pPr>
              <w:jc w:val="center"/>
              <w:rPr>
                <w:rFonts w:ascii="Calibri" w:hAnsi="Calibri" w:cs="Calibri"/>
                <w:b/>
                <w:bCs/>
                <w:sz w:val="24"/>
                <w:szCs w:val="24"/>
              </w:rPr>
            </w:pPr>
            <w:r>
              <w:rPr>
                <w:rFonts w:ascii="Calibri" w:hAnsi="Calibri" w:cs="Calibri" w:hint="cs"/>
                <w:b/>
                <w:bCs/>
                <w:sz w:val="24"/>
                <w:szCs w:val="24"/>
                <w:rtl/>
              </w:rPr>
              <w:t>אירלנד</w:t>
            </w:r>
          </w:p>
        </w:tc>
        <w:tc>
          <w:tcPr>
            <w:tcW w:w="1503" w:type="dxa"/>
            <w:vAlign w:val="center"/>
          </w:tcPr>
          <w:p w14:paraId="65E8C104" w14:textId="77777777" w:rsidR="00DD5918" w:rsidRPr="006E51F5" w:rsidRDefault="00DD5918" w:rsidP="006E51F5">
            <w:pPr>
              <w:jc w:val="center"/>
              <w:rPr>
                <w:rFonts w:ascii="Calibri" w:hAnsi="Calibri" w:cs="Calibri"/>
                <w:b/>
                <w:bCs/>
                <w:sz w:val="24"/>
                <w:szCs w:val="24"/>
              </w:rPr>
            </w:pPr>
            <w:r>
              <w:rPr>
                <w:rFonts w:ascii="Calibri" w:hAnsi="Calibri" w:cs="Calibri" w:hint="cs"/>
                <w:b/>
                <w:bCs/>
                <w:sz w:val="24"/>
                <w:szCs w:val="24"/>
                <w:rtl/>
              </w:rPr>
              <w:t>קנדה</w:t>
            </w:r>
          </w:p>
        </w:tc>
        <w:tc>
          <w:tcPr>
            <w:tcW w:w="1503" w:type="dxa"/>
            <w:vAlign w:val="center"/>
          </w:tcPr>
          <w:p w14:paraId="2D41ACEB" w14:textId="77777777" w:rsidR="00DD5918" w:rsidRPr="006E51F5" w:rsidRDefault="00DD5918" w:rsidP="006E51F5">
            <w:pPr>
              <w:jc w:val="center"/>
              <w:rPr>
                <w:rFonts w:ascii="Calibri" w:hAnsi="Calibri" w:cs="Calibri"/>
                <w:b/>
                <w:bCs/>
                <w:sz w:val="24"/>
                <w:szCs w:val="24"/>
              </w:rPr>
            </w:pPr>
            <w:r>
              <w:rPr>
                <w:rFonts w:ascii="Calibri" w:hAnsi="Calibri" w:cs="Calibri" w:hint="cs"/>
                <w:b/>
                <w:bCs/>
                <w:sz w:val="24"/>
                <w:szCs w:val="24"/>
                <w:rtl/>
              </w:rPr>
              <w:t>סינגפור</w:t>
            </w:r>
          </w:p>
        </w:tc>
        <w:tc>
          <w:tcPr>
            <w:tcW w:w="1503" w:type="dxa"/>
            <w:vAlign w:val="center"/>
          </w:tcPr>
          <w:p w14:paraId="4B936D84" w14:textId="77777777" w:rsidR="00DD5918" w:rsidRPr="006E51F5" w:rsidRDefault="00DD5918" w:rsidP="006E51F5">
            <w:pPr>
              <w:jc w:val="center"/>
              <w:rPr>
                <w:rFonts w:ascii="Calibri" w:hAnsi="Calibri" w:cs="Calibri"/>
                <w:b/>
                <w:bCs/>
                <w:sz w:val="24"/>
                <w:szCs w:val="24"/>
              </w:rPr>
            </w:pPr>
            <w:r>
              <w:rPr>
                <w:rFonts w:ascii="Calibri" w:hAnsi="Calibri" w:cs="Calibri" w:hint="cs"/>
                <w:b/>
                <w:bCs/>
                <w:sz w:val="24"/>
                <w:szCs w:val="24"/>
                <w:rtl/>
              </w:rPr>
              <w:t>ספרד</w:t>
            </w:r>
          </w:p>
        </w:tc>
        <w:tc>
          <w:tcPr>
            <w:tcW w:w="1503" w:type="dxa"/>
            <w:vAlign w:val="center"/>
          </w:tcPr>
          <w:p w14:paraId="71DD38FE" w14:textId="77777777" w:rsidR="00DD5918" w:rsidRPr="006E51F5" w:rsidRDefault="00DD5918" w:rsidP="006E51F5">
            <w:pPr>
              <w:jc w:val="center"/>
              <w:rPr>
                <w:rFonts w:ascii="Calibri" w:hAnsi="Calibri" w:cs="Calibri"/>
                <w:b/>
                <w:bCs/>
                <w:sz w:val="24"/>
                <w:szCs w:val="24"/>
              </w:rPr>
            </w:pPr>
            <w:r>
              <w:rPr>
                <w:rFonts w:ascii="Calibri" w:hAnsi="Calibri" w:cs="Calibri" w:hint="cs"/>
                <w:b/>
                <w:bCs/>
                <w:sz w:val="24"/>
                <w:szCs w:val="24"/>
                <w:rtl/>
              </w:rPr>
              <w:t>קפריסין</w:t>
            </w:r>
          </w:p>
        </w:tc>
      </w:tr>
      <w:tr w:rsidR="00DD5918" w14:paraId="66D1DB1F" w14:textId="77777777" w:rsidTr="00134A0B">
        <w:tc>
          <w:tcPr>
            <w:tcW w:w="1502" w:type="dxa"/>
            <w:vAlign w:val="center"/>
          </w:tcPr>
          <w:p w14:paraId="0ECAA80A" w14:textId="77777777" w:rsidR="00DD5918" w:rsidRPr="006E51F5" w:rsidRDefault="00DD5918" w:rsidP="006E51F5">
            <w:pPr>
              <w:jc w:val="center"/>
              <w:rPr>
                <w:rFonts w:ascii="Calibri" w:hAnsi="Calibri" w:cs="Calibri"/>
                <w:b/>
                <w:bCs/>
                <w:sz w:val="24"/>
                <w:szCs w:val="24"/>
              </w:rPr>
            </w:pPr>
            <w:r>
              <w:rPr>
                <w:rFonts w:ascii="Calibri" w:hAnsi="Calibri" w:cs="Calibri" w:hint="cs"/>
                <w:b/>
                <w:bCs/>
                <w:sz w:val="24"/>
                <w:szCs w:val="24"/>
                <w:rtl/>
              </w:rPr>
              <w:t>תוקף חוקי</w:t>
            </w:r>
          </w:p>
        </w:tc>
        <w:tc>
          <w:tcPr>
            <w:tcW w:w="1502" w:type="dxa"/>
            <w:vAlign w:val="center"/>
          </w:tcPr>
          <w:p w14:paraId="0F9D3471" w14:textId="77777777" w:rsidR="00DD5918" w:rsidRDefault="00DD5918" w:rsidP="006E51F5">
            <w:pPr>
              <w:jc w:val="center"/>
              <w:rPr>
                <w:rFonts w:ascii="Calibri" w:hAnsi="Calibri" w:cs="Calibri"/>
                <w:sz w:val="24"/>
                <w:szCs w:val="24"/>
              </w:rPr>
            </w:pPr>
            <w:r>
              <w:rPr>
                <w:rFonts w:ascii="Calibri" w:hAnsi="Calibri" w:cs="Calibri" w:hint="cs"/>
                <w:sz w:val="24"/>
                <w:szCs w:val="24"/>
                <w:rtl/>
              </w:rPr>
              <w:t>מ-2008, מחודש מדי כמה שנים. כיום עד 2030</w:t>
            </w:r>
          </w:p>
        </w:tc>
        <w:tc>
          <w:tcPr>
            <w:tcW w:w="1503" w:type="dxa"/>
            <w:vAlign w:val="center"/>
          </w:tcPr>
          <w:p w14:paraId="1CF19E5B" w14:textId="77777777" w:rsidR="00DD5918" w:rsidRDefault="00DD5918" w:rsidP="006E51F5">
            <w:pPr>
              <w:jc w:val="center"/>
              <w:rPr>
                <w:rFonts w:ascii="Calibri" w:hAnsi="Calibri" w:cs="Calibri"/>
                <w:sz w:val="24"/>
                <w:szCs w:val="24"/>
              </w:rPr>
            </w:pPr>
            <w:r>
              <w:rPr>
                <w:rFonts w:ascii="Calibri" w:hAnsi="Calibri" w:cs="Calibri" w:hint="cs"/>
                <w:sz w:val="24"/>
                <w:szCs w:val="24"/>
              </w:rPr>
              <w:t>2018-2028</w:t>
            </w:r>
          </w:p>
        </w:tc>
        <w:tc>
          <w:tcPr>
            <w:tcW w:w="1503" w:type="dxa"/>
            <w:vAlign w:val="center"/>
          </w:tcPr>
          <w:p w14:paraId="7C54D196" w14:textId="77777777" w:rsidR="00DD5918" w:rsidRDefault="00DD5918" w:rsidP="006E51F5">
            <w:pPr>
              <w:jc w:val="center"/>
              <w:rPr>
                <w:rFonts w:ascii="Calibri" w:hAnsi="Calibri" w:cs="Calibri"/>
                <w:sz w:val="24"/>
                <w:szCs w:val="24"/>
              </w:rPr>
            </w:pPr>
            <w:r>
              <w:rPr>
                <w:rFonts w:ascii="Calibri" w:hAnsi="Calibri" w:cs="Calibri" w:hint="cs"/>
                <w:sz w:val="24"/>
                <w:szCs w:val="24"/>
              </w:rPr>
              <w:t>1996-2017</w:t>
            </w:r>
          </w:p>
        </w:tc>
        <w:tc>
          <w:tcPr>
            <w:tcW w:w="1503" w:type="dxa"/>
            <w:vAlign w:val="center"/>
          </w:tcPr>
          <w:p w14:paraId="5CF96119" w14:textId="77777777" w:rsidR="00DD5918" w:rsidRDefault="00DD5918" w:rsidP="006E51F5">
            <w:pPr>
              <w:jc w:val="center"/>
              <w:rPr>
                <w:rFonts w:ascii="Calibri" w:hAnsi="Calibri" w:cs="Calibri"/>
                <w:sz w:val="24"/>
                <w:szCs w:val="24"/>
              </w:rPr>
            </w:pPr>
            <w:r>
              <w:rPr>
                <w:rFonts w:ascii="Calibri" w:hAnsi="Calibri" w:cs="Calibri" w:hint="cs"/>
                <w:sz w:val="24"/>
                <w:szCs w:val="24"/>
              </w:rPr>
              <w:t>2023-2024</w:t>
            </w:r>
          </w:p>
        </w:tc>
        <w:tc>
          <w:tcPr>
            <w:tcW w:w="1503" w:type="dxa"/>
            <w:vAlign w:val="center"/>
          </w:tcPr>
          <w:p w14:paraId="660EF4CA" w14:textId="77777777" w:rsidR="00DD5918" w:rsidRDefault="00DD5918" w:rsidP="006E51F5">
            <w:pPr>
              <w:jc w:val="center"/>
              <w:rPr>
                <w:rFonts w:ascii="Calibri" w:hAnsi="Calibri" w:cs="Calibri"/>
                <w:sz w:val="24"/>
                <w:szCs w:val="24"/>
              </w:rPr>
            </w:pPr>
            <w:r>
              <w:rPr>
                <w:rFonts w:ascii="Calibri" w:hAnsi="Calibri" w:cs="Calibri" w:hint="cs"/>
                <w:sz w:val="24"/>
                <w:szCs w:val="24"/>
              </w:rPr>
              <w:t>2023-2026</w:t>
            </w:r>
          </w:p>
        </w:tc>
      </w:tr>
      <w:tr w:rsidR="00DD5918" w14:paraId="4A6C428D" w14:textId="77777777" w:rsidTr="00134A0B">
        <w:tc>
          <w:tcPr>
            <w:tcW w:w="1502" w:type="dxa"/>
            <w:vAlign w:val="center"/>
          </w:tcPr>
          <w:p w14:paraId="1BD02A20" w14:textId="77777777" w:rsidR="00DD5918" w:rsidRPr="006E51F5" w:rsidRDefault="00DD5918" w:rsidP="006E51F5">
            <w:pPr>
              <w:jc w:val="center"/>
              <w:rPr>
                <w:rFonts w:ascii="Calibri" w:hAnsi="Calibri" w:cs="Calibri"/>
                <w:b/>
                <w:bCs/>
                <w:sz w:val="24"/>
                <w:szCs w:val="24"/>
              </w:rPr>
            </w:pPr>
            <w:r>
              <w:rPr>
                <w:rFonts w:ascii="Calibri" w:hAnsi="Calibri" w:cs="Calibri" w:hint="cs"/>
                <w:b/>
                <w:bCs/>
                <w:sz w:val="24"/>
                <w:szCs w:val="24"/>
                <w:rtl/>
              </w:rPr>
              <w:lastRenderedPageBreak/>
              <w:t>גובה ההטבה</w:t>
            </w:r>
          </w:p>
        </w:tc>
        <w:tc>
          <w:tcPr>
            <w:tcW w:w="1502" w:type="dxa"/>
            <w:vAlign w:val="center"/>
          </w:tcPr>
          <w:p w14:paraId="1BECDCC0" w14:textId="77777777" w:rsidR="00DD5918" w:rsidRDefault="00DD5918" w:rsidP="006E51F5">
            <w:pPr>
              <w:jc w:val="center"/>
              <w:rPr>
                <w:rFonts w:ascii="Calibri" w:hAnsi="Calibri" w:cs="Calibri"/>
                <w:sz w:val="24"/>
                <w:szCs w:val="24"/>
              </w:rPr>
            </w:pPr>
            <w:r>
              <w:rPr>
                <w:rFonts w:ascii="Calibri" w:hAnsi="Calibri" w:cs="Calibri" w:hint="cs"/>
                <w:sz w:val="24"/>
                <w:szCs w:val="24"/>
                <w:rtl/>
              </w:rPr>
              <w:t>100% בשנה הראשונה. תקרה של 50 אלף יורו לרכב חשמלי</w:t>
            </w:r>
          </w:p>
        </w:tc>
        <w:tc>
          <w:tcPr>
            <w:tcW w:w="1503" w:type="dxa"/>
            <w:vAlign w:val="center"/>
          </w:tcPr>
          <w:p w14:paraId="68DD8465" w14:textId="77777777" w:rsidR="00DD5918" w:rsidRDefault="00DD5918" w:rsidP="006E51F5">
            <w:pPr>
              <w:jc w:val="center"/>
              <w:rPr>
                <w:rFonts w:ascii="Calibri" w:hAnsi="Calibri" w:cs="Calibri"/>
                <w:sz w:val="24"/>
                <w:szCs w:val="24"/>
              </w:rPr>
            </w:pPr>
            <w:r>
              <w:rPr>
                <w:rFonts w:ascii="Calibri" w:hAnsi="Calibri" w:cs="Calibri" w:hint="cs"/>
                <w:sz w:val="24"/>
                <w:szCs w:val="24"/>
                <w:rtl/>
              </w:rPr>
              <w:t>100% בשנה הראשונה, פוחת בהדרגה ל-55% לאורך שנות התוקף החוקי</w:t>
            </w:r>
          </w:p>
        </w:tc>
        <w:tc>
          <w:tcPr>
            <w:tcW w:w="1503" w:type="dxa"/>
            <w:vAlign w:val="center"/>
          </w:tcPr>
          <w:p w14:paraId="152CFDF2" w14:textId="77777777" w:rsidR="00DD5918" w:rsidRDefault="00DD5918" w:rsidP="006E51F5">
            <w:pPr>
              <w:jc w:val="center"/>
              <w:rPr>
                <w:rFonts w:ascii="Calibri" w:hAnsi="Calibri" w:cs="Calibri"/>
                <w:sz w:val="24"/>
                <w:szCs w:val="24"/>
              </w:rPr>
            </w:pPr>
            <w:r>
              <w:rPr>
                <w:rFonts w:ascii="Calibri" w:hAnsi="Calibri" w:cs="Calibri" w:hint="cs"/>
                <w:sz w:val="24"/>
                <w:szCs w:val="24"/>
                <w:rtl/>
              </w:rPr>
              <w:t>100% בשנה הראשונה</w:t>
            </w:r>
          </w:p>
        </w:tc>
        <w:tc>
          <w:tcPr>
            <w:tcW w:w="1503" w:type="dxa"/>
            <w:vAlign w:val="center"/>
          </w:tcPr>
          <w:p w14:paraId="7A16EBED" w14:textId="77777777" w:rsidR="00DD5918" w:rsidRDefault="00DD5918" w:rsidP="006E51F5">
            <w:pPr>
              <w:jc w:val="center"/>
              <w:rPr>
                <w:rFonts w:ascii="Calibri" w:hAnsi="Calibri" w:cs="Calibri"/>
                <w:sz w:val="24"/>
                <w:szCs w:val="24"/>
              </w:rPr>
            </w:pPr>
            <w:r>
              <w:rPr>
                <w:rFonts w:ascii="Calibri" w:hAnsi="Calibri" w:cs="Calibri" w:hint="cs"/>
                <w:sz w:val="24"/>
                <w:szCs w:val="24"/>
                <w:rtl/>
              </w:rPr>
              <w:t>חופש בפריסת הפחת (עד 100%). תקרה של 500 אלף יורו</w:t>
            </w:r>
          </w:p>
        </w:tc>
        <w:tc>
          <w:tcPr>
            <w:tcW w:w="1503" w:type="dxa"/>
            <w:vAlign w:val="center"/>
          </w:tcPr>
          <w:p w14:paraId="5C65DA15" w14:textId="77777777" w:rsidR="00DD5918" w:rsidRDefault="00DD5918" w:rsidP="006E51F5">
            <w:pPr>
              <w:jc w:val="center"/>
              <w:rPr>
                <w:rFonts w:ascii="Calibri" w:hAnsi="Calibri" w:cs="Calibri"/>
                <w:sz w:val="24"/>
                <w:szCs w:val="24"/>
              </w:rPr>
            </w:pPr>
            <w:r>
              <w:rPr>
                <w:rFonts w:ascii="Calibri" w:hAnsi="Calibri" w:cs="Calibri" w:hint="cs"/>
                <w:sz w:val="24"/>
                <w:szCs w:val="24"/>
                <w:rtl/>
              </w:rPr>
              <w:t>מכפיל 1.75 (מעטפת מבנה), 2 (מערכות טכניות וייצור חשמל), 1.66 (רכבים חשמליים)</w:t>
            </w:r>
          </w:p>
        </w:tc>
      </w:tr>
      <w:tr w:rsidR="00DD5918" w14:paraId="4FD49E94" w14:textId="77777777" w:rsidTr="00134A0B">
        <w:tc>
          <w:tcPr>
            <w:tcW w:w="1502" w:type="dxa"/>
            <w:vAlign w:val="center"/>
          </w:tcPr>
          <w:p w14:paraId="3641FCC8" w14:textId="77777777" w:rsidR="00DD5918" w:rsidRPr="006E51F5" w:rsidRDefault="00DD5918" w:rsidP="006E51F5">
            <w:pPr>
              <w:jc w:val="center"/>
              <w:rPr>
                <w:rFonts w:ascii="Calibri" w:hAnsi="Calibri" w:cs="Calibri"/>
                <w:b/>
                <w:bCs/>
                <w:sz w:val="24"/>
                <w:szCs w:val="24"/>
              </w:rPr>
            </w:pPr>
            <w:r>
              <w:rPr>
                <w:rFonts w:ascii="Calibri" w:hAnsi="Calibri" w:cs="Calibri" w:hint="cs"/>
                <w:b/>
                <w:bCs/>
                <w:sz w:val="24"/>
                <w:szCs w:val="24"/>
                <w:rtl/>
              </w:rPr>
              <w:t>פירוט טכנולוגיות</w:t>
            </w:r>
          </w:p>
        </w:tc>
        <w:tc>
          <w:tcPr>
            <w:tcW w:w="1502" w:type="dxa"/>
            <w:vAlign w:val="center"/>
          </w:tcPr>
          <w:p w14:paraId="1C8B4B2B" w14:textId="77777777" w:rsidR="00DD5918" w:rsidRDefault="00DD5918" w:rsidP="006E51F5">
            <w:pPr>
              <w:jc w:val="center"/>
              <w:rPr>
                <w:rFonts w:ascii="Calibri" w:hAnsi="Calibri" w:cs="Calibri"/>
                <w:sz w:val="24"/>
                <w:szCs w:val="24"/>
              </w:rPr>
            </w:pPr>
            <w:r>
              <w:rPr>
                <w:rFonts w:ascii="Calibri" w:hAnsi="Calibri" w:cs="Calibri" w:hint="cs"/>
                <w:sz w:val="24"/>
                <w:szCs w:val="24"/>
                <w:rtl/>
              </w:rPr>
              <w:t>רשימה מפורטת של דגמים ספציפיים (</w:t>
            </w:r>
            <w:r>
              <w:rPr>
                <w:rFonts w:ascii="Calibri" w:hAnsi="Calibri" w:cs="Calibri"/>
                <w:sz w:val="24"/>
                <w:szCs w:val="24"/>
              </w:rPr>
              <w:t>Triple E</w:t>
            </w:r>
            <w:r>
              <w:rPr>
                <w:rFonts w:ascii="Calibri" w:hAnsi="Calibri" w:cs="Calibri" w:hint="cs"/>
                <w:sz w:val="24"/>
                <w:szCs w:val="24"/>
              </w:rPr>
              <w:t>)</w:t>
            </w:r>
          </w:p>
        </w:tc>
        <w:tc>
          <w:tcPr>
            <w:tcW w:w="1503" w:type="dxa"/>
            <w:vAlign w:val="center"/>
          </w:tcPr>
          <w:p w14:paraId="26CF612D" w14:textId="77777777" w:rsidR="00DD5918" w:rsidRDefault="00DD5918" w:rsidP="006E51F5">
            <w:pPr>
              <w:jc w:val="center"/>
              <w:rPr>
                <w:rFonts w:ascii="Calibri" w:hAnsi="Calibri" w:cs="Calibri"/>
                <w:sz w:val="24"/>
                <w:szCs w:val="24"/>
              </w:rPr>
            </w:pPr>
            <w:r>
              <w:rPr>
                <w:rFonts w:ascii="Calibri" w:hAnsi="Calibri" w:cs="Calibri" w:hint="cs"/>
                <w:sz w:val="24"/>
                <w:szCs w:val="24"/>
                <w:rtl/>
              </w:rPr>
              <w:t>רשימה כללית + דרישות סף טכניות</w:t>
            </w:r>
          </w:p>
        </w:tc>
        <w:tc>
          <w:tcPr>
            <w:tcW w:w="1503" w:type="dxa"/>
            <w:vAlign w:val="center"/>
          </w:tcPr>
          <w:p w14:paraId="7CCFC9CB" w14:textId="77777777" w:rsidR="00DD5918" w:rsidRDefault="00DD5918" w:rsidP="006E51F5">
            <w:pPr>
              <w:jc w:val="center"/>
              <w:rPr>
                <w:rFonts w:ascii="Calibri" w:hAnsi="Calibri" w:cs="Calibri"/>
                <w:sz w:val="24"/>
                <w:szCs w:val="24"/>
              </w:rPr>
            </w:pPr>
            <w:r>
              <w:rPr>
                <w:rFonts w:ascii="Calibri" w:hAnsi="Calibri" w:cs="Calibri"/>
                <w:sz w:val="24"/>
                <w:szCs w:val="24"/>
                <w:rtl/>
              </w:rPr>
              <w:t>רשימה כללית ללא דרישות טכניות</w:t>
            </w:r>
          </w:p>
        </w:tc>
        <w:tc>
          <w:tcPr>
            <w:tcW w:w="1503" w:type="dxa"/>
            <w:vAlign w:val="center"/>
          </w:tcPr>
          <w:p w14:paraId="4A7D77C4" w14:textId="77777777" w:rsidR="00DD5918" w:rsidRDefault="00DD5918" w:rsidP="006E51F5">
            <w:pPr>
              <w:jc w:val="center"/>
              <w:rPr>
                <w:rFonts w:ascii="Calibri" w:hAnsi="Calibri" w:cs="Calibri"/>
                <w:sz w:val="24"/>
                <w:szCs w:val="24"/>
              </w:rPr>
            </w:pPr>
            <w:r>
              <w:rPr>
                <w:rFonts w:ascii="Calibri" w:hAnsi="Calibri" w:cs="Calibri"/>
                <w:sz w:val="24"/>
                <w:szCs w:val="24"/>
                <w:rtl/>
              </w:rPr>
              <w:t>רשימה כללית + דרישות טכניות מפורטות</w:t>
            </w:r>
          </w:p>
        </w:tc>
        <w:tc>
          <w:tcPr>
            <w:tcW w:w="1503" w:type="dxa"/>
            <w:vAlign w:val="center"/>
          </w:tcPr>
          <w:p w14:paraId="4A688054" w14:textId="77777777" w:rsidR="00DD5918" w:rsidRDefault="00DD5918" w:rsidP="006E51F5">
            <w:pPr>
              <w:jc w:val="center"/>
              <w:rPr>
                <w:rFonts w:ascii="Calibri" w:hAnsi="Calibri" w:cs="Calibri"/>
                <w:sz w:val="24"/>
                <w:szCs w:val="24"/>
              </w:rPr>
            </w:pPr>
            <w:r>
              <w:rPr>
                <w:rFonts w:ascii="Calibri" w:hAnsi="Calibri" w:cs="Calibri"/>
                <w:sz w:val="24"/>
                <w:szCs w:val="24"/>
                <w:rtl/>
              </w:rPr>
              <w:t>רשימה כללית לפי קטגוריה, ללא דרישות טכניות</w:t>
            </w:r>
          </w:p>
          <w:p w14:paraId="26100676" w14:textId="77777777" w:rsidR="00DD5918" w:rsidRPr="000916A9" w:rsidRDefault="00DD5918" w:rsidP="006E51F5">
            <w:pPr>
              <w:jc w:val="center"/>
              <w:rPr>
                <w:rFonts w:ascii="Calibri" w:hAnsi="Calibri" w:cs="Calibri"/>
                <w:sz w:val="24"/>
                <w:szCs w:val="24"/>
              </w:rPr>
            </w:pPr>
          </w:p>
        </w:tc>
      </w:tr>
      <w:tr w:rsidR="00DD5918" w14:paraId="7A46C029" w14:textId="77777777" w:rsidTr="00134A0B">
        <w:tc>
          <w:tcPr>
            <w:tcW w:w="1502" w:type="dxa"/>
            <w:vAlign w:val="center"/>
          </w:tcPr>
          <w:p w14:paraId="2AD47912" w14:textId="77777777" w:rsidR="00DD5918" w:rsidRPr="006E51F5" w:rsidRDefault="00DD5918" w:rsidP="006E51F5">
            <w:pPr>
              <w:jc w:val="center"/>
              <w:rPr>
                <w:rFonts w:ascii="Calibri" w:hAnsi="Calibri" w:cs="Calibri"/>
                <w:b/>
                <w:bCs/>
                <w:sz w:val="24"/>
                <w:szCs w:val="24"/>
              </w:rPr>
            </w:pPr>
            <w:r>
              <w:rPr>
                <w:rFonts w:ascii="Calibri" w:hAnsi="Calibri" w:cs="Calibri"/>
                <w:b/>
                <w:bCs/>
                <w:sz w:val="24"/>
                <w:szCs w:val="24"/>
                <w:rtl/>
              </w:rPr>
              <w:t>אסמכתא נדרשת</w:t>
            </w:r>
          </w:p>
        </w:tc>
        <w:tc>
          <w:tcPr>
            <w:tcW w:w="1502" w:type="dxa"/>
            <w:vAlign w:val="center"/>
          </w:tcPr>
          <w:p w14:paraId="34357132" w14:textId="77777777" w:rsidR="00DD5918" w:rsidRDefault="00DD5918" w:rsidP="006E51F5">
            <w:pPr>
              <w:jc w:val="center"/>
              <w:rPr>
                <w:rFonts w:ascii="Calibri" w:hAnsi="Calibri" w:cs="Calibri"/>
                <w:sz w:val="24"/>
                <w:szCs w:val="24"/>
              </w:rPr>
            </w:pPr>
            <w:r>
              <w:rPr>
                <w:rFonts w:ascii="Calibri" w:hAnsi="Calibri" w:cs="Calibri"/>
                <w:sz w:val="24"/>
                <w:szCs w:val="24"/>
                <w:rtl/>
              </w:rPr>
              <w:t>דיווח בדו"ח המס השנתי + קבלות</w:t>
            </w:r>
          </w:p>
        </w:tc>
        <w:tc>
          <w:tcPr>
            <w:tcW w:w="1503" w:type="dxa"/>
            <w:vAlign w:val="center"/>
          </w:tcPr>
          <w:p w14:paraId="014453D9" w14:textId="77777777" w:rsidR="00DD5918" w:rsidRDefault="00DD5918" w:rsidP="006E51F5">
            <w:pPr>
              <w:jc w:val="center"/>
              <w:rPr>
                <w:rFonts w:ascii="Calibri" w:hAnsi="Calibri" w:cs="Calibri"/>
                <w:sz w:val="24"/>
                <w:szCs w:val="24"/>
              </w:rPr>
            </w:pPr>
            <w:r>
              <w:rPr>
                <w:rFonts w:ascii="Calibri" w:hAnsi="Calibri" w:cs="Calibri"/>
                <w:sz w:val="24"/>
                <w:szCs w:val="24"/>
                <w:rtl/>
              </w:rPr>
              <w:t>דיווח + שמירת תיעוד לביקורת בדיעבד</w:t>
            </w:r>
          </w:p>
        </w:tc>
        <w:tc>
          <w:tcPr>
            <w:tcW w:w="1503" w:type="dxa"/>
            <w:vAlign w:val="center"/>
          </w:tcPr>
          <w:p w14:paraId="355166A7" w14:textId="77777777" w:rsidR="00DD5918" w:rsidRDefault="00DD5918" w:rsidP="006E51F5">
            <w:pPr>
              <w:jc w:val="center"/>
              <w:rPr>
                <w:rFonts w:ascii="Calibri" w:hAnsi="Calibri" w:cs="Calibri"/>
                <w:sz w:val="24"/>
                <w:szCs w:val="24"/>
              </w:rPr>
            </w:pPr>
            <w:r>
              <w:rPr>
                <w:rFonts w:ascii="Calibri" w:hAnsi="Calibri" w:cs="Calibri"/>
                <w:sz w:val="24"/>
                <w:szCs w:val="24"/>
                <w:rtl/>
              </w:rPr>
              <w:t>אישור מהנדס מוסמך או גורם מטעם רשות האנרגיה</w:t>
            </w:r>
          </w:p>
        </w:tc>
        <w:tc>
          <w:tcPr>
            <w:tcW w:w="1503" w:type="dxa"/>
            <w:vAlign w:val="center"/>
          </w:tcPr>
          <w:p w14:paraId="0EDBDEB4" w14:textId="77777777" w:rsidR="00DD5918" w:rsidRDefault="00DD5918" w:rsidP="006E51F5">
            <w:pPr>
              <w:jc w:val="center"/>
              <w:rPr>
                <w:rFonts w:ascii="Calibri" w:hAnsi="Calibri" w:cs="Calibri"/>
                <w:sz w:val="24"/>
                <w:szCs w:val="24"/>
              </w:rPr>
            </w:pPr>
            <w:r>
              <w:rPr>
                <w:rFonts w:ascii="Calibri" w:hAnsi="Calibri" w:cs="Calibri"/>
                <w:sz w:val="24"/>
                <w:szCs w:val="24"/>
                <w:rtl/>
              </w:rPr>
              <w:t>תעודת ביצועים אנרגטיים או דוח טכני</w:t>
            </w:r>
          </w:p>
        </w:tc>
        <w:tc>
          <w:tcPr>
            <w:tcW w:w="1503" w:type="dxa"/>
            <w:vAlign w:val="center"/>
          </w:tcPr>
          <w:p w14:paraId="23FB49B1" w14:textId="77777777" w:rsidR="00DD5918" w:rsidRDefault="00DD5918" w:rsidP="006E51F5">
            <w:pPr>
              <w:jc w:val="center"/>
              <w:rPr>
                <w:rFonts w:ascii="Calibri" w:hAnsi="Calibri" w:cs="Calibri"/>
                <w:sz w:val="24"/>
                <w:szCs w:val="24"/>
              </w:rPr>
            </w:pPr>
            <w:r>
              <w:rPr>
                <w:rFonts w:ascii="Calibri" w:hAnsi="Calibri" w:cs="Calibri"/>
                <w:sz w:val="24"/>
                <w:szCs w:val="24"/>
                <w:rtl/>
              </w:rPr>
              <w:t>דיווח + קבלות; שמירת מסמכים ל-6 שנים</w:t>
            </w:r>
          </w:p>
        </w:tc>
      </w:tr>
      <w:tr w:rsidR="00DD5918" w14:paraId="125E5FE9" w14:textId="77777777" w:rsidTr="00134A0B">
        <w:tc>
          <w:tcPr>
            <w:tcW w:w="1502" w:type="dxa"/>
            <w:vAlign w:val="center"/>
          </w:tcPr>
          <w:p w14:paraId="0746D793" w14:textId="77777777" w:rsidR="00DD5918" w:rsidRPr="006E51F5" w:rsidRDefault="00DD5918" w:rsidP="006E51F5">
            <w:pPr>
              <w:jc w:val="center"/>
              <w:rPr>
                <w:rFonts w:ascii="Calibri" w:hAnsi="Calibri" w:cs="Calibri"/>
                <w:b/>
                <w:bCs/>
                <w:sz w:val="24"/>
                <w:szCs w:val="24"/>
              </w:rPr>
            </w:pPr>
            <w:r>
              <w:rPr>
                <w:rFonts w:ascii="Calibri" w:hAnsi="Calibri" w:cs="Calibri"/>
                <w:b/>
                <w:bCs/>
                <w:sz w:val="24"/>
                <w:szCs w:val="24"/>
                <w:rtl/>
              </w:rPr>
              <w:t>תנאי סף</w:t>
            </w:r>
          </w:p>
        </w:tc>
        <w:tc>
          <w:tcPr>
            <w:tcW w:w="1502" w:type="dxa"/>
            <w:vAlign w:val="center"/>
          </w:tcPr>
          <w:p w14:paraId="43C8E936" w14:textId="77777777" w:rsidR="00DD5918" w:rsidRDefault="00DD5918" w:rsidP="006E51F5">
            <w:pPr>
              <w:jc w:val="center"/>
              <w:rPr>
                <w:rFonts w:ascii="Calibri" w:hAnsi="Calibri" w:cs="Calibri"/>
                <w:sz w:val="24"/>
                <w:szCs w:val="24"/>
              </w:rPr>
            </w:pPr>
            <w:r>
              <w:rPr>
                <w:rFonts w:ascii="Calibri" w:hAnsi="Calibri" w:cs="Calibri"/>
                <w:sz w:val="24"/>
                <w:szCs w:val="24"/>
                <w:rtl/>
              </w:rPr>
              <w:t>ציוד חדש, בשימוש בלעדי למטרות מסחריות</w:t>
            </w:r>
          </w:p>
        </w:tc>
        <w:tc>
          <w:tcPr>
            <w:tcW w:w="1503" w:type="dxa"/>
            <w:vAlign w:val="center"/>
          </w:tcPr>
          <w:p w14:paraId="0DA7890C" w14:textId="77777777" w:rsidR="00DD5918" w:rsidRDefault="00DD5918" w:rsidP="006E51F5">
            <w:pPr>
              <w:jc w:val="center"/>
              <w:rPr>
                <w:rFonts w:ascii="Calibri" w:hAnsi="Calibri" w:cs="Calibri"/>
                <w:sz w:val="24"/>
                <w:szCs w:val="24"/>
              </w:rPr>
            </w:pPr>
            <w:r>
              <w:rPr>
                <w:rFonts w:ascii="Calibri" w:hAnsi="Calibri" w:cs="Calibri"/>
                <w:sz w:val="24"/>
                <w:szCs w:val="24"/>
                <w:rtl/>
              </w:rPr>
              <w:t>ציוד חדש, משמש לייצור הכנסה</w:t>
            </w:r>
          </w:p>
        </w:tc>
        <w:tc>
          <w:tcPr>
            <w:tcW w:w="1503" w:type="dxa"/>
            <w:vAlign w:val="center"/>
          </w:tcPr>
          <w:p w14:paraId="6F414F53" w14:textId="77777777" w:rsidR="00DD5918" w:rsidRDefault="00DD5918" w:rsidP="006E51F5">
            <w:pPr>
              <w:jc w:val="center"/>
              <w:rPr>
                <w:rFonts w:ascii="Calibri" w:hAnsi="Calibri" w:cs="Calibri"/>
                <w:sz w:val="24"/>
                <w:szCs w:val="24"/>
              </w:rPr>
            </w:pPr>
            <w:r>
              <w:rPr>
                <w:rFonts w:ascii="Calibri" w:hAnsi="Calibri" w:cs="Calibri"/>
                <w:sz w:val="24"/>
                <w:szCs w:val="24"/>
                <w:rtl/>
              </w:rPr>
              <w:t>בעלות החברה, שימוש ב</w:t>
            </w:r>
            <w:r>
              <w:rPr>
                <w:rFonts w:ascii="Calibri" w:hAnsi="Calibri" w:cs="Calibri" w:hint="cs"/>
                <w:sz w:val="24"/>
                <w:szCs w:val="24"/>
                <w:rtl/>
              </w:rPr>
              <w:t>תוך המדינה</w:t>
            </w:r>
          </w:p>
        </w:tc>
        <w:tc>
          <w:tcPr>
            <w:tcW w:w="1503" w:type="dxa"/>
            <w:vAlign w:val="center"/>
          </w:tcPr>
          <w:p w14:paraId="378D054F" w14:textId="77777777" w:rsidR="00DD5918" w:rsidRDefault="00DD5918" w:rsidP="006E51F5">
            <w:pPr>
              <w:jc w:val="center"/>
              <w:rPr>
                <w:rFonts w:ascii="Calibri" w:hAnsi="Calibri" w:cs="Calibri"/>
                <w:sz w:val="24"/>
                <w:szCs w:val="24"/>
              </w:rPr>
            </w:pPr>
            <w:r>
              <w:rPr>
                <w:rFonts w:ascii="Calibri" w:hAnsi="Calibri" w:cs="Calibri"/>
                <w:sz w:val="24"/>
                <w:szCs w:val="24"/>
                <w:rtl/>
              </w:rPr>
              <w:t>שמירה על מצבת כוח אדם ל-24 חודשים</w:t>
            </w:r>
          </w:p>
        </w:tc>
        <w:tc>
          <w:tcPr>
            <w:tcW w:w="1503" w:type="dxa"/>
            <w:vAlign w:val="center"/>
          </w:tcPr>
          <w:p w14:paraId="38117FBE" w14:textId="77777777" w:rsidR="00DD5918" w:rsidRDefault="00DD5918" w:rsidP="006E51F5">
            <w:pPr>
              <w:jc w:val="center"/>
              <w:rPr>
                <w:rFonts w:ascii="Calibri" w:hAnsi="Calibri" w:cs="Calibri"/>
                <w:sz w:val="24"/>
                <w:szCs w:val="24"/>
              </w:rPr>
            </w:pPr>
            <w:r>
              <w:rPr>
                <w:rFonts w:ascii="Calibri" w:hAnsi="Calibri" w:cs="Calibri"/>
                <w:sz w:val="24"/>
                <w:szCs w:val="24"/>
              </w:rPr>
              <w:t>–</w:t>
            </w:r>
          </w:p>
        </w:tc>
      </w:tr>
    </w:tbl>
    <w:p w14:paraId="499236D9" w14:textId="77777777" w:rsidR="00DD5918" w:rsidRPr="000B44C6" w:rsidRDefault="00DD5918" w:rsidP="000B44C6">
      <w:pPr>
        <w:rPr>
          <w:rFonts w:ascii="Calibri" w:hAnsi="Calibri" w:cs="Calibri"/>
          <w:sz w:val="24"/>
          <w:szCs w:val="24"/>
        </w:rPr>
      </w:pPr>
    </w:p>
    <w:p w14:paraId="094F0E6F" w14:textId="77777777" w:rsidR="00DD5918" w:rsidRPr="000B44C6" w:rsidRDefault="00DD5918" w:rsidP="000B44C6">
      <w:pPr>
        <w:rPr>
          <w:rFonts w:ascii="Calibri" w:hAnsi="Calibri" w:cs="Calibri"/>
          <w:sz w:val="24"/>
          <w:szCs w:val="24"/>
        </w:rPr>
      </w:pPr>
      <w:r>
        <w:rPr>
          <w:rFonts w:ascii="Calibri" w:hAnsi="Calibri" w:cs="Calibri"/>
          <w:sz w:val="24"/>
          <w:szCs w:val="24"/>
          <w:rtl/>
        </w:rPr>
        <w:t>מהשוואה זו עולות ארבע מסקנות רלוונטיות לעיצוב ההטבה בישראל:</w:t>
      </w:r>
    </w:p>
    <w:p w14:paraId="38E96582" w14:textId="77777777" w:rsidR="00DD5918" w:rsidRPr="000B44C6" w:rsidRDefault="00DD5918" w:rsidP="000B44C6">
      <w:pPr>
        <w:rPr>
          <w:rFonts w:ascii="Calibri" w:hAnsi="Calibri" w:cs="Calibri"/>
          <w:sz w:val="24"/>
          <w:szCs w:val="24"/>
        </w:rPr>
      </w:pPr>
    </w:p>
    <w:p w14:paraId="6CE7F401" w14:textId="77777777" w:rsidR="00DD5918" w:rsidRDefault="00DD5918" w:rsidP="004F3A29">
      <w:pPr>
        <w:pStyle w:val="a7"/>
        <w:numPr>
          <w:ilvl w:val="0"/>
          <w:numId w:val="18"/>
        </w:numPr>
        <w:bidi/>
        <w:jc w:val="both"/>
        <w:rPr>
          <w:rFonts w:ascii="Calibri" w:hAnsi="Calibri" w:cs="Calibri"/>
          <w:sz w:val="24"/>
          <w:szCs w:val="24"/>
          <w:rtl/>
        </w:rPr>
      </w:pPr>
      <w:r>
        <w:rPr>
          <w:rFonts w:ascii="Calibri" w:hAnsi="Calibri" w:cs="Calibri"/>
          <w:b/>
          <w:bCs/>
          <w:sz w:val="24"/>
          <w:szCs w:val="24"/>
          <w:rtl/>
        </w:rPr>
        <w:t>היקף ההטבה</w:t>
      </w:r>
      <w:r>
        <w:rPr>
          <w:rFonts w:ascii="Calibri" w:hAnsi="Calibri" w:cs="Calibri" w:hint="cs"/>
          <w:b/>
          <w:bCs/>
          <w:sz w:val="24"/>
          <w:szCs w:val="24"/>
        </w:rPr>
        <w:t>:</w:t>
      </w:r>
      <w:r>
        <w:rPr>
          <w:rFonts w:ascii="Calibri" w:hAnsi="Calibri" w:cs="Calibri"/>
          <w:sz w:val="24"/>
          <w:szCs w:val="24"/>
          <w:rtl/>
        </w:rPr>
        <w:t xml:space="preserve"> ארבע מתוך חמש המדינות מאפשרות ניכוי מלא של 100% מעלות הנכס בשנה אחת: תמריץ תזרימי חזק במיוחד. קפריסין היא יוצאת דופן, ומפעילה מודל מבוסס-מכפילים המבחין בין קטגוריות טכנולוגיה. מודל זה קרוב במבנהו להוראות הפחת המואץ הקיימות בחוק הישראלי לעידוד השקעות הון, שגם הן קובעות מכפילים שונים לפי סוג נכס (ציוד לעומת מבנים). ההשוואה כאן מבנית בלבד: המודל הכלכלי הנבחן בפרק זה אינו מציע מכפיל נבדל לפי טכנולוגיה, </w:t>
      </w:r>
      <w:r>
        <w:rPr>
          <w:rFonts w:ascii="Calibri" w:hAnsi="Calibri" w:cs="Calibri" w:hint="cs"/>
          <w:sz w:val="24"/>
          <w:szCs w:val="24"/>
          <w:rtl/>
        </w:rPr>
        <w:t>אלא מכפיל זהה על כל הטכנולוגיות הכלולות בהטבה.</w:t>
      </w:r>
    </w:p>
    <w:p w14:paraId="1988CB05" w14:textId="2DCFD384" w:rsidR="00DD5918" w:rsidRPr="003546B2" w:rsidRDefault="00DD5918" w:rsidP="004F3A29">
      <w:pPr>
        <w:pStyle w:val="a7"/>
        <w:numPr>
          <w:ilvl w:val="0"/>
          <w:numId w:val="18"/>
        </w:numPr>
        <w:bidi/>
        <w:spacing w:before="240"/>
        <w:jc w:val="both"/>
        <w:rPr>
          <w:rFonts w:ascii="Calibri" w:hAnsi="Calibri" w:cs="Calibri"/>
          <w:sz w:val="24"/>
          <w:szCs w:val="24"/>
        </w:rPr>
      </w:pPr>
      <w:r>
        <w:rPr>
          <w:rFonts w:ascii="Calibri" w:hAnsi="Calibri" w:cs="Calibri"/>
          <w:b/>
          <w:bCs/>
          <w:sz w:val="24"/>
          <w:szCs w:val="24"/>
          <w:rtl/>
        </w:rPr>
        <w:t>הגבלה בזמן כתמריץ להקדמת השקעות</w:t>
      </w:r>
      <w:r>
        <w:rPr>
          <w:rFonts w:ascii="Calibri" w:hAnsi="Calibri" w:cs="Calibri" w:hint="cs"/>
          <w:b/>
          <w:bCs/>
          <w:sz w:val="24"/>
          <w:szCs w:val="24"/>
        </w:rPr>
        <w:t>:</w:t>
      </w:r>
      <w:r>
        <w:rPr>
          <w:rFonts w:ascii="Calibri" w:hAnsi="Calibri" w:cs="Calibri"/>
          <w:sz w:val="24"/>
          <w:szCs w:val="24"/>
          <w:rtl/>
        </w:rPr>
        <w:t xml:space="preserve"> ארבע מתוך חמש המדינות מגבילות את ההטבה לתקופה קצובה. המודל הקנדי מפחית את שיעור ההטבה בהדרגה (מ-100% ל-55%), במטרה מוצהרת לתמרץ ביצוע השקעות מוקדם. אירלנד, לעומת זאת, מפעילה מנגנון מתמשך המחודש מדי כמה שנים תוך עדכון רשימת הטכנולוגיות.</w:t>
      </w:r>
    </w:p>
    <w:p w14:paraId="2FE12DA6" w14:textId="77777777" w:rsidR="00DD5918" w:rsidRPr="000B44C6" w:rsidRDefault="00DD5918" w:rsidP="004F3A29">
      <w:pPr>
        <w:jc w:val="both"/>
        <w:rPr>
          <w:rFonts w:ascii="Calibri" w:hAnsi="Calibri" w:cs="Calibri"/>
          <w:sz w:val="24"/>
          <w:szCs w:val="24"/>
        </w:rPr>
      </w:pPr>
    </w:p>
    <w:p w14:paraId="6CA100EF" w14:textId="6202D863" w:rsidR="00DD5918" w:rsidRPr="003546B2" w:rsidRDefault="00DD5918" w:rsidP="004F3A29">
      <w:pPr>
        <w:pStyle w:val="a7"/>
        <w:numPr>
          <w:ilvl w:val="0"/>
          <w:numId w:val="18"/>
        </w:numPr>
        <w:bidi/>
        <w:jc w:val="both"/>
        <w:rPr>
          <w:rFonts w:ascii="Calibri" w:hAnsi="Calibri" w:cs="Calibri"/>
          <w:sz w:val="24"/>
          <w:szCs w:val="24"/>
        </w:rPr>
      </w:pPr>
      <w:r>
        <w:rPr>
          <w:rFonts w:ascii="Calibri" w:hAnsi="Calibri" w:cs="Calibri"/>
          <w:b/>
          <w:bCs/>
          <w:sz w:val="24"/>
          <w:szCs w:val="24"/>
          <w:rtl/>
        </w:rPr>
        <w:t>רמת הפירוט הטכנולוגי היא פרמטר עיצוב מרכזי</w:t>
      </w:r>
      <w:r>
        <w:rPr>
          <w:rFonts w:ascii="Calibri" w:hAnsi="Calibri" w:cs="Calibri" w:hint="cs"/>
          <w:b/>
          <w:bCs/>
          <w:sz w:val="24"/>
          <w:szCs w:val="24"/>
        </w:rPr>
        <w:t>:</w:t>
      </w:r>
      <w:r>
        <w:rPr>
          <w:rFonts w:ascii="Calibri" w:hAnsi="Calibri" w:cs="Calibri"/>
          <w:sz w:val="24"/>
          <w:szCs w:val="24"/>
          <w:rtl/>
        </w:rPr>
        <w:t xml:space="preserve"> קיים מנעד רחב, מרשימת דגמים מפורטת ומתעדכנת (Triple E האירית, המנוהלת ישירות על ידי רשות האנרגיה ומאפשרת עדכון מהיר ללא צווים ממשלתיים) ועד רשימת קטגוריות כללית. הבחירה משפיעה ישירות על הוודאות למשקיע מצד אחד, ועל הנטל המנהלי בתחזוקת הרשימה מצד שני.</w:t>
      </w:r>
    </w:p>
    <w:p w14:paraId="77ADC389" w14:textId="77777777" w:rsidR="00DD5918" w:rsidRPr="000B44C6" w:rsidRDefault="00DD5918" w:rsidP="000B44C6">
      <w:pPr>
        <w:rPr>
          <w:rFonts w:ascii="Calibri" w:hAnsi="Calibri" w:cs="Calibri"/>
          <w:sz w:val="24"/>
          <w:szCs w:val="24"/>
        </w:rPr>
      </w:pPr>
    </w:p>
    <w:p w14:paraId="60336291" w14:textId="77777777" w:rsidR="00DD5918" w:rsidRPr="003546B2" w:rsidRDefault="00DD5918" w:rsidP="004F3A29">
      <w:pPr>
        <w:pStyle w:val="a7"/>
        <w:numPr>
          <w:ilvl w:val="0"/>
          <w:numId w:val="18"/>
        </w:numPr>
        <w:bidi/>
        <w:jc w:val="both"/>
        <w:rPr>
          <w:rFonts w:ascii="Calibri" w:hAnsi="Calibri" w:cs="Calibri"/>
          <w:sz w:val="24"/>
          <w:szCs w:val="24"/>
        </w:rPr>
      </w:pPr>
      <w:r>
        <w:rPr>
          <w:rFonts w:ascii="Calibri" w:hAnsi="Calibri" w:cs="Calibri"/>
          <w:b/>
          <w:bCs/>
          <w:sz w:val="24"/>
          <w:szCs w:val="24"/>
          <w:rtl/>
        </w:rPr>
        <w:t>מנגנון הדיווח אחיד בעיקרו</w:t>
      </w:r>
      <w:r>
        <w:rPr>
          <w:rFonts w:ascii="Calibri" w:hAnsi="Calibri" w:cs="Calibri" w:hint="cs"/>
          <w:b/>
          <w:bCs/>
          <w:sz w:val="24"/>
          <w:szCs w:val="24"/>
        </w:rPr>
        <w:t>:</w:t>
      </w:r>
      <w:r>
        <w:rPr>
          <w:rFonts w:ascii="Calibri" w:hAnsi="Calibri" w:cs="Calibri"/>
          <w:sz w:val="24"/>
          <w:szCs w:val="24"/>
          <w:rtl/>
        </w:rPr>
        <w:t xml:space="preserve"> כל המדינות דורשות ציון ההטבה בדו"ח המס השנתי, בצירוף אסמכתאות. ההבדל המהותי הוא בשאלה האם נדרש אימות הנדסי חיצוני (סינגפור, ספרד) או שמספיקה הצהרה עצמית בליווי תיעוד הנשמר לביקורת בדיעבד (אירלנד, קנדה, קפריסין).</w:t>
      </w:r>
    </w:p>
    <w:p w14:paraId="2E5941FF" w14:textId="77777777" w:rsidR="00DD5918" w:rsidRPr="00354650" w:rsidRDefault="00DD5918" w:rsidP="00065A07">
      <w:pPr>
        <w:pStyle w:val="1"/>
        <w:numPr>
          <w:ilvl w:val="0"/>
          <w:numId w:val="21"/>
        </w:numPr>
        <w:bidi/>
        <w:spacing w:before="400" w:after="200"/>
        <w:rPr>
          <w:rFonts w:ascii="Calibri" w:hAnsi="Calibri" w:cs="Calibri"/>
          <w:b/>
          <w:color w:val="1F4E78"/>
          <w:sz w:val="30"/>
        </w:rPr>
      </w:pPr>
      <w:r>
        <w:rPr>
          <w:rFonts w:ascii="Calibri" w:hAnsi="Calibri" w:cs="Calibri"/>
          <w:b/>
          <w:bCs/>
          <w:color w:val="1F4E78"/>
          <w:sz w:val="30"/>
          <w:szCs w:val="30"/>
          <w:rtl/>
        </w:rPr>
        <w:lastRenderedPageBreak/>
        <w:t>מתודולוגיה</w:t>
      </w:r>
    </w:p>
    <w:p w14:paraId="3145AE00" w14:textId="77777777" w:rsidR="00DD5918" w:rsidRPr="00354650" w:rsidRDefault="00DD5918" w:rsidP="00065A07">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t>מבנה הניתוח</w:t>
      </w:r>
    </w:p>
    <w:p w14:paraId="59311216" w14:textId="36907877" w:rsidR="00DD5918" w:rsidRPr="00CC3C8C" w:rsidRDefault="00DD5918" w:rsidP="00CC3C8C">
      <w:pPr>
        <w:spacing w:after="200"/>
        <w:jc w:val="both"/>
        <w:rPr>
          <w:rFonts w:ascii="Calibri" w:hAnsi="Calibri" w:cs="Calibri"/>
          <w:sz w:val="24"/>
          <w:szCs w:val="24"/>
        </w:rPr>
      </w:pPr>
      <w:r>
        <w:rPr>
          <w:rFonts w:ascii="Calibri" w:hAnsi="Calibri" w:cs="Calibri"/>
          <w:sz w:val="24"/>
          <w:szCs w:val="24"/>
          <w:rtl/>
        </w:rPr>
        <w:t>הניתוח הכלכלי בוחן שלוש חלופות רכישה עבור כל אחת מהטכנולוגיות</w:t>
      </w:r>
      <w:r>
        <w:rPr>
          <w:rFonts w:ascii="Calibri" w:hAnsi="Calibri" w:cs="Calibri" w:hint="cs"/>
          <w:sz w:val="24"/>
          <w:szCs w:val="24"/>
          <w:rtl/>
        </w:rPr>
        <w:t xml:space="preserve"> שנבחרו</w:t>
      </w:r>
      <w:r>
        <w:rPr>
          <w:rFonts w:ascii="Calibri" w:hAnsi="Calibri" w:cs="Calibri"/>
          <w:sz w:val="24"/>
          <w:szCs w:val="24"/>
          <w:rtl/>
        </w:rPr>
        <w:t>, בנקודת קיבולת ממוצעת המייצגת התקנה טיפוסית בסקטור התעשייה:</w:t>
      </w:r>
    </w:p>
    <w:p w14:paraId="4A8FB8E6" w14:textId="77777777" w:rsidR="00DD5918" w:rsidRPr="00CC3C8C" w:rsidRDefault="00DD5918" w:rsidP="00CC3C8C">
      <w:pPr>
        <w:pStyle w:val="a7"/>
        <w:numPr>
          <w:ilvl w:val="0"/>
          <w:numId w:val="20"/>
        </w:numPr>
        <w:bidi/>
        <w:spacing w:after="200"/>
        <w:jc w:val="both"/>
        <w:rPr>
          <w:rFonts w:ascii="Calibri" w:hAnsi="Calibri" w:cs="Calibri"/>
          <w:sz w:val="24"/>
          <w:szCs w:val="24"/>
        </w:rPr>
      </w:pPr>
      <w:r>
        <w:rPr>
          <w:rFonts w:ascii="Calibri" w:hAnsi="Calibri" w:cs="Calibri"/>
          <w:sz w:val="24"/>
          <w:szCs w:val="24"/>
          <w:rtl/>
        </w:rPr>
        <w:t>חלופה א', רכישת הציוד הקונבנציונלי, כלומר הנוהג הקיים בשוק.</w:t>
      </w:r>
    </w:p>
    <w:p w14:paraId="06B52068" w14:textId="77777777" w:rsidR="00DD5918" w:rsidRPr="00CC3C8C" w:rsidRDefault="00DD5918" w:rsidP="00CC3C8C">
      <w:pPr>
        <w:pStyle w:val="a7"/>
        <w:numPr>
          <w:ilvl w:val="0"/>
          <w:numId w:val="20"/>
        </w:numPr>
        <w:bidi/>
        <w:spacing w:after="200"/>
        <w:jc w:val="both"/>
        <w:rPr>
          <w:rFonts w:ascii="Calibri" w:hAnsi="Calibri" w:cs="Calibri"/>
          <w:sz w:val="24"/>
          <w:szCs w:val="24"/>
        </w:rPr>
      </w:pPr>
      <w:r>
        <w:rPr>
          <w:rFonts w:ascii="Calibri" w:hAnsi="Calibri" w:cs="Calibri"/>
          <w:sz w:val="24"/>
          <w:szCs w:val="24"/>
          <w:rtl/>
        </w:rPr>
        <w:t>חלופה ב', רכישת הציוד היעיל אנרגטית, בלוח הפחת הסטנדרטי.</w:t>
      </w:r>
    </w:p>
    <w:p w14:paraId="6DA8E8E1" w14:textId="77777777" w:rsidR="00DD5918" w:rsidRPr="00CC3C8C" w:rsidRDefault="00DD5918" w:rsidP="00CC3C8C">
      <w:pPr>
        <w:pStyle w:val="a7"/>
        <w:numPr>
          <w:ilvl w:val="0"/>
          <w:numId w:val="20"/>
        </w:numPr>
        <w:bidi/>
        <w:spacing w:after="200"/>
        <w:jc w:val="both"/>
        <w:rPr>
          <w:rFonts w:ascii="Calibri" w:hAnsi="Calibri" w:cs="Calibri"/>
          <w:sz w:val="24"/>
          <w:szCs w:val="24"/>
        </w:rPr>
      </w:pPr>
      <w:r>
        <w:rPr>
          <w:rFonts w:ascii="Calibri" w:hAnsi="Calibri" w:cs="Calibri"/>
          <w:sz w:val="24"/>
          <w:szCs w:val="24"/>
          <w:rtl/>
        </w:rPr>
        <w:t>חלופה ג', רכישת הציוד היעיל אנרגטית, בלוח הפחת המואץ.</w:t>
      </w:r>
    </w:p>
    <w:p w14:paraId="03FAFB4D" w14:textId="77777777" w:rsidR="00DD5918" w:rsidRPr="00CC3C8C" w:rsidRDefault="00DD5918" w:rsidP="00CC3C8C">
      <w:pPr>
        <w:spacing w:after="200"/>
        <w:jc w:val="both"/>
        <w:rPr>
          <w:rFonts w:ascii="Calibri" w:hAnsi="Calibri" w:cs="Calibri"/>
          <w:sz w:val="24"/>
          <w:szCs w:val="24"/>
        </w:rPr>
      </w:pPr>
      <w:r>
        <w:rPr>
          <w:rFonts w:ascii="Calibri" w:hAnsi="Calibri" w:cs="Calibri"/>
          <w:sz w:val="24"/>
          <w:szCs w:val="24"/>
          <w:rtl/>
        </w:rPr>
        <w:t xml:space="preserve">ההשוואה </w:t>
      </w:r>
      <w:r>
        <w:rPr>
          <w:rFonts w:ascii="Calibri" w:hAnsi="Calibri" w:cs="Calibri" w:hint="cs"/>
          <w:sz w:val="24"/>
          <w:szCs w:val="24"/>
          <w:rtl/>
        </w:rPr>
        <w:t>היא</w:t>
      </w:r>
      <w:r>
        <w:rPr>
          <w:rFonts w:ascii="Calibri" w:hAnsi="Calibri" w:cs="Calibri"/>
          <w:sz w:val="24"/>
          <w:szCs w:val="24"/>
          <w:rtl/>
        </w:rPr>
        <w:t xml:space="preserve"> בין שתי החלטות רכישה חלופיות באותו מועד. מפעל הנדרש להתקין ציוד בוחר בין דגם קונבנציונלי לדגם יעיל: הדגם היעיל כרוך בעלות הון גבוהה יותר, אך צריכת האנרגיה הנמוכה שלו מוזילה את עלויות התפעול השוטפות לאורך כל חיי הציוד. השאלה הכלכלית היא האם החיסכון התפעולי מצדיק את תוספת עלות ההון, ובאיזו מהירות.</w:t>
      </w:r>
      <w:r>
        <w:rPr>
          <w:rFonts w:ascii="Calibri" w:hAnsi="Calibri" w:cs="Calibri" w:hint="cs"/>
          <w:sz w:val="24"/>
          <w:szCs w:val="24"/>
        </w:rPr>
        <w:t xml:space="preserve"> </w:t>
      </w:r>
      <w:r>
        <w:rPr>
          <w:rFonts w:ascii="Calibri" w:hAnsi="Calibri" w:cs="Calibri"/>
          <w:sz w:val="24"/>
          <w:szCs w:val="24"/>
          <w:rtl/>
        </w:rPr>
        <w:t>ההבדל בין חלופה ב' לחלופה ג' הוא בעיתוי ניכוי הפחת בלבד, ולא בסכומו. בשתי החלופות מנוכה מלוא עלות הציוד לאורך חייו.</w:t>
      </w:r>
    </w:p>
    <w:p w14:paraId="4E875A51" w14:textId="77777777" w:rsidR="00DD5918" w:rsidRPr="00354650" w:rsidRDefault="00DD5918" w:rsidP="00065A07">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t>שלבי החישוב</w:t>
      </w:r>
    </w:p>
    <w:p w14:paraId="39A0A8BF" w14:textId="77777777" w:rsidR="00DD5918" w:rsidRPr="00264582" w:rsidRDefault="00DD5918" w:rsidP="00A82E93">
      <w:pPr>
        <w:spacing w:before="240" w:after="200"/>
        <w:jc w:val="both"/>
        <w:rPr>
          <w:rFonts w:ascii="Calibri" w:hAnsi="Calibri" w:cs="Calibri"/>
          <w:b/>
          <w:bCs/>
          <w:sz w:val="24"/>
          <w:szCs w:val="24"/>
        </w:rPr>
      </w:pPr>
      <w:r>
        <w:rPr>
          <w:rFonts w:ascii="Calibri" w:hAnsi="Calibri" w:cs="Calibri"/>
          <w:b/>
          <w:bCs/>
          <w:sz w:val="24"/>
          <w:szCs w:val="24"/>
          <w:rtl/>
        </w:rPr>
        <w:t>שלב 1: צריכת אנרגיה שנתית</w:t>
      </w:r>
    </w:p>
    <w:p w14:paraId="637680A0" w14:textId="77777777" w:rsidR="00DD5918" w:rsidRPr="00CC3C8C" w:rsidRDefault="00DD5918" w:rsidP="00CC3C8C">
      <w:pPr>
        <w:spacing w:after="200"/>
        <w:jc w:val="both"/>
        <w:rPr>
          <w:rFonts w:ascii="Calibri" w:hAnsi="Calibri" w:cs="Calibri"/>
          <w:sz w:val="24"/>
          <w:szCs w:val="24"/>
        </w:rPr>
      </w:pPr>
      <w:r>
        <w:rPr>
          <w:rFonts w:ascii="Calibri" w:hAnsi="Calibri" w:cs="Calibri"/>
          <w:sz w:val="24"/>
          <w:szCs w:val="24"/>
          <w:rtl/>
        </w:rPr>
        <w:t xml:space="preserve">עבור כל אחת מהחלופות מחושבת הצריכה השנתית כמכפלה של הקיבולת המותקנת בשעות הפעילות השנתיות ובמדד היעילות של אותה טכנולוגיה. לכל טכנולוגיה נעשה שימוש במדד המקובל בענף: יחס הספק לטון קירור בצ'ילרים, הספק סגולי במדחסים, ומקדם נצילות במשאבות חום מול נצילות הבעירה של ציוד הבסיס. שעות הפעילות זהות בין החלופות, שכן מדובר באותו ציוד המותקן באותו מפעל ומופעל באותם מועדים</w:t>
      </w:r>
      <w:r>
        <w:rPr>
          <w:rFonts w:ascii="Calibri" w:hAnsi="Calibri" w:cs="Calibri" w:hint="cs"/>
          <w:sz w:val="24"/>
          <w:szCs w:val="24"/>
        </w:rPr>
        <w:t>.</w:t>
      </w:r>
    </w:p>
    <w:p w14:paraId="543160C7" w14:textId="77777777" w:rsidR="00DD5918" w:rsidRPr="00264582" w:rsidRDefault="00DD5918" w:rsidP="00CC3C8C">
      <w:pPr>
        <w:spacing w:after="200"/>
        <w:jc w:val="both"/>
        <w:rPr>
          <w:rFonts w:ascii="Calibri" w:hAnsi="Calibri" w:cs="Calibri"/>
          <w:b/>
          <w:bCs/>
          <w:sz w:val="24"/>
          <w:szCs w:val="24"/>
        </w:rPr>
      </w:pPr>
      <w:r>
        <w:rPr>
          <w:rFonts w:ascii="Calibri" w:hAnsi="Calibri" w:cs="Calibri"/>
          <w:b/>
          <w:bCs/>
          <w:sz w:val="24"/>
          <w:szCs w:val="24"/>
          <w:rtl/>
        </w:rPr>
        <w:t>שלב 2: המרה לעלות תפעול</w:t>
      </w:r>
    </w:p>
    <w:p w14:paraId="055A864B" w14:textId="77777777" w:rsidR="00DD5918" w:rsidRPr="00CC3C8C" w:rsidRDefault="00DD5918" w:rsidP="00CC3C8C">
      <w:pPr>
        <w:spacing w:after="200"/>
        <w:jc w:val="both"/>
        <w:rPr>
          <w:rFonts w:ascii="Calibri" w:hAnsi="Calibri" w:cs="Calibri"/>
          <w:sz w:val="24"/>
          <w:szCs w:val="24"/>
        </w:rPr>
      </w:pPr>
      <w:r>
        <w:rPr>
          <w:rFonts w:ascii="Calibri" w:hAnsi="Calibri" w:cs="Calibri"/>
          <w:sz w:val="24"/>
          <w:szCs w:val="24"/>
          <w:rtl/>
        </w:rPr>
        <w:t xml:space="preserve">הצריכה השנתית מומרת לעלות שקלית. עלות החשמל מחושבת לפי תעריף ממוצע משוקלל של תעריפי התעו"ז במתח גבוה, המשקלל את כל שילובי העונה ורמת הביקוש לפי מספר השעות בשנה. עלות הדלק מחושבת לפי מחירי הדלק לתעשייה, בתוספת מרווח שיווק.</w:t>
      </w:r>
    </w:p>
    <w:p w14:paraId="7CDE901C" w14:textId="77777777" w:rsidR="00DD5918" w:rsidRPr="00264582" w:rsidRDefault="00DD5918" w:rsidP="00CC3C8C">
      <w:pPr>
        <w:spacing w:after="200"/>
        <w:jc w:val="both"/>
        <w:rPr>
          <w:rFonts w:ascii="Calibri" w:hAnsi="Calibri" w:cs="Calibri"/>
          <w:b/>
          <w:bCs/>
          <w:sz w:val="24"/>
          <w:szCs w:val="24"/>
        </w:rPr>
      </w:pPr>
      <w:r>
        <w:rPr>
          <w:rFonts w:ascii="Calibri" w:hAnsi="Calibri" w:cs="Calibri"/>
          <w:b/>
          <w:bCs/>
          <w:sz w:val="24"/>
          <w:szCs w:val="24"/>
          <w:rtl/>
        </w:rPr>
        <w:t>שלב 3: לוחות פחת ומגן מס</w:t>
      </w:r>
    </w:p>
    <w:p w14:paraId="014B6A1A" w14:textId="77777777" w:rsidR="00DD5918" w:rsidRPr="00CC3C8C" w:rsidRDefault="00DD5918" w:rsidP="00CC3C8C">
      <w:pPr>
        <w:spacing w:after="200"/>
        <w:jc w:val="both"/>
        <w:rPr>
          <w:rFonts w:ascii="Calibri" w:hAnsi="Calibri" w:cs="Calibri"/>
          <w:sz w:val="24"/>
          <w:szCs w:val="24"/>
        </w:rPr>
      </w:pPr>
      <w:r>
        <w:rPr>
          <w:rFonts w:ascii="Calibri" w:hAnsi="Calibri" w:cs="Calibri"/>
          <w:sz w:val="24"/>
          <w:szCs w:val="24"/>
          <w:rtl/>
        </w:rPr>
        <w:t>לכל חלופה נבנה לוח פחת שנתי. בחלופות א' ו-ב' הפחת מחושב לפי לוח הפחת הרגיל של ציוד מכני, ובחלופה ג' לפי המכפיל הנבחן, המקצר בהתאמה את תקופת הפריסה. מגן המס בכל שנה הוא מכפלת הפחת המוכר בשיעור מס החברות. מגן המס נכלל בכל שלוש החלופות, כך שההשוואה סימטרית ומבודדת את השפעת עיתוי הניכוי בלבד.</w:t>
      </w:r>
    </w:p>
    <w:p w14:paraId="45321886" w14:textId="77777777" w:rsidR="00DD5918" w:rsidRPr="00264582" w:rsidRDefault="00DD5918" w:rsidP="00CC3C8C">
      <w:pPr>
        <w:spacing w:after="200"/>
        <w:jc w:val="both"/>
        <w:rPr>
          <w:rFonts w:ascii="Calibri" w:hAnsi="Calibri" w:cs="Calibri"/>
          <w:b/>
          <w:bCs/>
          <w:sz w:val="24"/>
          <w:szCs w:val="24"/>
        </w:rPr>
      </w:pPr>
      <w:r>
        <w:rPr>
          <w:rFonts w:ascii="Calibri" w:hAnsi="Calibri" w:cs="Calibri"/>
          <w:b/>
          <w:bCs/>
          <w:sz w:val="24"/>
          <w:szCs w:val="24"/>
          <w:rtl/>
        </w:rPr>
        <w:t>שלב 4: תזרים מזומנים והיוון</w:t>
      </w:r>
    </w:p>
    <w:p w14:paraId="2DE3A58C" w14:textId="77777777" w:rsidR="00DD5918" w:rsidRPr="00CC3C8C" w:rsidRDefault="00DD5918" w:rsidP="00CC3C8C">
      <w:pPr>
        <w:spacing w:after="200"/>
        <w:jc w:val="both"/>
        <w:rPr>
          <w:rFonts w:ascii="Calibri" w:hAnsi="Calibri" w:cs="Calibri"/>
          <w:sz w:val="24"/>
          <w:szCs w:val="24"/>
        </w:rPr>
      </w:pPr>
      <w:r>
        <w:rPr>
          <w:rFonts w:ascii="Calibri" w:hAnsi="Calibri" w:cs="Calibri"/>
          <w:sz w:val="24"/>
          <w:szCs w:val="24"/>
          <w:rtl/>
        </w:rPr>
        <w:t>לכל חלופה נבנה תזרים מזומנים שנתי לאורך 20 שנה, הכולל את ההשקעה ההונית בשנה הראשונה ואת עלות האנרגיה ומגן המס בשנים שלאחריה. התזרימים מהוונים בשיעור המשקף את עלות ההון של מפעל תעשייתי, וסכומם המהוון הוא השווי הנוכחי הנקי של אותה חלופה.</w:t>
      </w:r>
    </w:p>
    <w:p w14:paraId="1152BB23" w14:textId="77777777" w:rsidR="00DD5918" w:rsidRPr="00264582" w:rsidRDefault="00DD5918" w:rsidP="00CC3C8C">
      <w:pPr>
        <w:spacing w:after="200"/>
        <w:jc w:val="both"/>
        <w:rPr>
          <w:rFonts w:ascii="Calibri" w:hAnsi="Calibri" w:cs="Calibri"/>
          <w:b/>
          <w:bCs/>
          <w:sz w:val="24"/>
          <w:szCs w:val="24"/>
        </w:rPr>
      </w:pPr>
      <w:r>
        <w:rPr>
          <w:rFonts w:ascii="Calibri" w:hAnsi="Calibri" w:cs="Calibri"/>
          <w:b/>
          <w:bCs/>
          <w:sz w:val="24"/>
          <w:szCs w:val="24"/>
          <w:rtl/>
        </w:rPr>
        <w:t>שלב 5: מדדי ההכרעה</w:t>
      </w:r>
    </w:p>
    <w:p w14:paraId="2DE1E7F0" w14:textId="7E130C41" w:rsidR="00DD5918" w:rsidRPr="00CC3C8C" w:rsidRDefault="00A82E93" w:rsidP="00CC3C8C">
      <w:pPr>
        <w:spacing w:after="200"/>
        <w:jc w:val="both"/>
        <w:rPr>
          <w:rFonts w:ascii="Calibri" w:hAnsi="Calibri" w:cs="Calibri"/>
          <w:sz w:val="24"/>
          <w:szCs w:val="24"/>
        </w:rPr>
      </w:pPr>
      <w:r>
        <w:rPr>
          <w:rFonts w:ascii="Calibri" w:hAnsi="Calibri" w:cs="Calibri" w:hint="cs"/>
          <w:sz w:val="24"/>
          <w:szCs w:val="24"/>
          <w:rtl/>
        </w:rPr>
        <w:t xml:space="preserve">השוואת </w:t>
      </w:r>
      <w:r>
        <w:rPr>
          <w:rFonts w:ascii="Calibri" w:hAnsi="Calibri" w:cs="Calibri"/>
          <w:sz w:val="24"/>
          <w:szCs w:val="24"/>
          <w:rtl/>
        </w:rPr>
        <w:t xml:space="preserve">שלוש </w:t>
      </w:r>
      <w:r>
        <w:rPr>
          <w:rFonts w:ascii="Calibri" w:hAnsi="Calibri" w:cs="Calibri" w:hint="cs"/>
          <w:sz w:val="24"/>
          <w:szCs w:val="24"/>
          <w:rtl/>
        </w:rPr>
        <w:t>החלופות</w:t>
      </w:r>
      <w:r>
        <w:rPr>
          <w:rFonts w:ascii="Calibri" w:hAnsi="Calibri" w:cs="Calibri"/>
          <w:sz w:val="24"/>
          <w:szCs w:val="24"/>
          <w:rtl/>
        </w:rPr>
        <w:t xml:space="preserve"> </w:t>
      </w:r>
      <w:r>
        <w:rPr>
          <w:rFonts w:ascii="Calibri" w:hAnsi="Calibri" w:cs="Calibri" w:hint="cs"/>
          <w:sz w:val="24"/>
          <w:szCs w:val="24"/>
          <w:rtl/>
        </w:rPr>
        <w:t>נעשית באמצעות</w:t>
      </w:r>
      <w:r>
        <w:rPr>
          <w:rFonts w:ascii="Calibri" w:hAnsi="Calibri" w:cs="Calibri"/>
          <w:sz w:val="24"/>
          <w:szCs w:val="24"/>
          <w:rtl/>
        </w:rPr>
        <w:t xml:space="preserve"> שני מדדים. הראשון הוא ההפרש בין חלופה ב' לחלופה א', המבטא את הכדאיות הכלכלית של הציוד היעיל ללא כל התערבות. השני הוא ההפרש בין חלופה ג' לחלופה ב', המבטא את שווי ההטבה עבור המפעל ואת עלותה למדינה.</w:t>
      </w:r>
    </w:p>
    <w:p w14:paraId="4E8B9AD5" w14:textId="77777777" w:rsidR="00DD5918" w:rsidRPr="00354650" w:rsidRDefault="00DD5918" w:rsidP="00065A07">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lastRenderedPageBreak/>
        <w:t>כלל האימוץ ותקופת ההחזר</w:t>
      </w:r>
    </w:p>
    <w:p w14:paraId="228395EA" w14:textId="62E355C9" w:rsidR="00DD5918" w:rsidRPr="00CC3C8C" w:rsidRDefault="00DD5918" w:rsidP="00A82E93">
      <w:pPr>
        <w:spacing w:before="240" w:after="200"/>
        <w:jc w:val="both"/>
        <w:rPr>
          <w:rFonts w:ascii="Calibri" w:hAnsi="Calibri" w:cs="Calibri"/>
          <w:sz w:val="24"/>
          <w:szCs w:val="24"/>
        </w:rPr>
      </w:pPr>
      <w:r>
        <w:rPr>
          <w:rFonts w:ascii="Calibri" w:hAnsi="Calibri" w:cs="Calibri"/>
          <w:sz w:val="24"/>
          <w:szCs w:val="24"/>
          <w:rtl/>
        </w:rPr>
        <w:t>בפועל, חברות מאשרות השקעות בהתייעלות אנרגטית על בסיס תקופת החזר פנימית קצרה, ולא על בסיס שווי נוכחי נקי לאורך 20 שנה. הסף שנקבע במודל הוא תקופת החזר של 3 שנים.</w:t>
      </w:r>
      <w:r>
        <w:rPr>
          <w:rFonts w:ascii="Calibri" w:hAnsi="Calibri" w:cs="Calibri" w:hint="cs"/>
          <w:sz w:val="24"/>
          <w:szCs w:val="24"/>
          <w:rtl/>
        </w:rPr>
        <w:t xml:space="preserve"> </w:t>
      </w:r>
      <w:r>
        <w:rPr>
          <w:rFonts w:ascii="Calibri" w:hAnsi="Calibri" w:cs="Calibri"/>
          <w:sz w:val="24"/>
          <w:szCs w:val="24"/>
          <w:rtl/>
        </w:rPr>
        <w:t>תקופת ההחזר נמדדת פעמיים, פעם עבור חלופה ב' ופעם עבור חלופה ג', וההשוואה בין השתיים מול הסף היא המבחן המכריע: אם חלופה ב' כבר עומדת בסף, ההשקעה הייתה מתבצעת גם ללא ההטבה. אם רק חלופה ג' עומדת בסף, ההטבה היא שהפכה את ההחלטה.</w:t>
      </w:r>
      <w:r>
        <w:rPr>
          <w:rFonts w:ascii="Calibri" w:hAnsi="Calibri" w:cs="Calibri" w:hint="cs"/>
          <w:sz w:val="24"/>
          <w:szCs w:val="24"/>
        </w:rPr>
        <w:t xml:space="preserve"> </w:t>
      </w:r>
      <w:r>
        <w:rPr>
          <w:rFonts w:ascii="Calibri" w:hAnsi="Calibri" w:cs="Calibri"/>
          <w:sz w:val="24"/>
          <w:szCs w:val="24"/>
          <w:rtl/>
        </w:rPr>
        <w:t>הפער בין סף זה לבין קריטריון השווי הנוכחי הנקי הוא מקור פער התוספתיות: השקעה בעלת שווי נוכחי נקי חיובי לטווח ארוך עשויה להידחות אם ההחזר שלה איטי מהסף הפנימי של המפעל.</w:t>
      </w:r>
    </w:p>
    <w:p w14:paraId="2D1AF0F3" w14:textId="77777777" w:rsidR="00DD5918" w:rsidRPr="00354650" w:rsidRDefault="00DD5918" w:rsidP="00065A07">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t>ניתוחי רגישות</w:t>
      </w:r>
    </w:p>
    <w:p w14:paraId="7D9A63EE" w14:textId="77777777" w:rsidR="00DD5918" w:rsidRPr="00CC3C8C" w:rsidRDefault="00DD5918" w:rsidP="00264582">
      <w:pPr>
        <w:spacing w:after="200"/>
        <w:jc w:val="both"/>
        <w:rPr>
          <w:rFonts w:ascii="Calibri" w:hAnsi="Calibri" w:cs="Calibri"/>
          <w:sz w:val="24"/>
          <w:szCs w:val="24"/>
        </w:rPr>
      </w:pPr>
      <w:r>
        <w:rPr>
          <w:rFonts w:ascii="Calibri" w:hAnsi="Calibri" w:cs="Calibri"/>
          <w:sz w:val="24"/>
          <w:szCs w:val="24"/>
          <w:rtl/>
        </w:rPr>
        <w:t>מכיוון שתוצאות המודל רגישות למספר הנחות מרכזיות, נבנו ניתוחי רגישות לשני פרמטרים בעלי ההשפעה הגדולה ביותר.</w:t>
      </w:r>
      <w:r>
        <w:rPr>
          <w:rFonts w:ascii="Calibri" w:hAnsi="Calibri" w:cs="Calibri" w:hint="cs"/>
          <w:sz w:val="24"/>
          <w:szCs w:val="24"/>
        </w:rPr>
        <w:t xml:space="preserve"> </w:t>
      </w:r>
      <w:r>
        <w:rPr>
          <w:rFonts w:ascii="Calibri" w:hAnsi="Calibri" w:cs="Calibri"/>
          <w:sz w:val="24"/>
          <w:szCs w:val="24"/>
          <w:rtl/>
        </w:rPr>
        <w:t>הראשון הוא שעות הפעילות השנתיות, המשתנות באופן ניכר בין סוגי מפעלים ובין דפוסי הפעלה. ניתוח הרגישות מציג את תקופת ההחזר ואת ההכרעה בכל אחד מהתרחישים, ומאפשר לזהות באילו תנאי הפעלה ההטבה משנה את החלטת ההשקעה.</w:t>
      </w:r>
      <w:r>
        <w:rPr>
          <w:rFonts w:ascii="Calibri" w:hAnsi="Calibri" w:cs="Calibri" w:hint="cs"/>
          <w:sz w:val="24"/>
          <w:szCs w:val="24"/>
          <w:rtl/>
        </w:rPr>
        <w:t xml:space="preserve"> הפרמטר </w:t>
      </w:r>
      <w:r>
        <w:rPr>
          <w:rFonts w:ascii="Calibri" w:hAnsi="Calibri" w:cs="Calibri"/>
          <w:sz w:val="24"/>
          <w:szCs w:val="24"/>
          <w:rtl/>
        </w:rPr>
        <w:t>השני הוא מקדם הפחת המואץ עצמו, שהוא פרמטר המדיניות הנתון לקביעה. ניתוח זה מציג כיצד משתנות תקופת ההחזר וההכרעה בכל אחת מהטכנולוגיות ככל שהמקדם עולה, ומאפשר לבחון איזו רמת מקדם נדרשת כדי לשנות התנהגות בפועל.</w:t>
      </w:r>
    </w:p>
    <w:p w14:paraId="26F89082" w14:textId="77777777" w:rsidR="00DD5918" w:rsidRPr="00354650" w:rsidRDefault="00DD5918" w:rsidP="00065A07">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t>אמידת היקף השוק</w:t>
      </w:r>
    </w:p>
    <w:p w14:paraId="28CC8632" w14:textId="77777777" w:rsidR="00DD5918" w:rsidRPr="00CC3C8C" w:rsidRDefault="00DD5918" w:rsidP="00264582">
      <w:pPr>
        <w:spacing w:after="200"/>
        <w:jc w:val="both"/>
        <w:rPr>
          <w:rFonts w:ascii="Calibri" w:hAnsi="Calibri" w:cs="Calibri"/>
          <w:sz w:val="24"/>
          <w:szCs w:val="24"/>
        </w:rPr>
      </w:pPr>
      <w:r>
        <w:rPr>
          <w:rFonts w:ascii="Calibri" w:hAnsi="Calibri" w:cs="Calibri"/>
          <w:sz w:val="24"/>
          <w:szCs w:val="24"/>
          <w:rtl/>
        </w:rPr>
        <w:t>אמידת היקף השוק לכל טכנולוגיה מבוססת על נתוני ייבוא של הטכנולוגיות הנכללות בניתוח, מתוך הנחה שכל מוצר המיובא לארץ מחליף מוצר קיים. נתוני השנים האחרונות משמשים לבניית תחזית לאורך שנות הניתוח של התוכנית הלאומית, בהנחת שיעור גידול יציב.</w:t>
      </w:r>
      <w:r>
        <w:rPr>
          <w:rFonts w:ascii="Calibri" w:hAnsi="Calibri" w:cs="Calibri" w:hint="cs"/>
          <w:sz w:val="24"/>
          <w:szCs w:val="24"/>
        </w:rPr>
        <w:t xml:space="preserve"> </w:t>
      </w:r>
      <w:r>
        <w:rPr>
          <w:rFonts w:ascii="Calibri" w:hAnsi="Calibri" w:cs="Calibri"/>
          <w:sz w:val="24"/>
          <w:szCs w:val="24"/>
          <w:rtl/>
        </w:rPr>
        <w:t>נוסף לכך, הפרק מציג את החיסכון באנרגיה לכל טכנולוגיה עבור רכישה של 1,000 יחידות. מדד זה מאפשר לגזור את החיסכון גם אם היקף השוק ישתנה באופן משמעותי בשנות התחזית.</w:t>
      </w:r>
    </w:p>
    <w:p w14:paraId="49450421" w14:textId="77777777" w:rsidR="00DD5918" w:rsidRPr="00354650" w:rsidRDefault="00DD5918" w:rsidP="00065A07">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t>עלות פיסקלית</w:t>
      </w:r>
    </w:p>
    <w:p w14:paraId="77BC4944" w14:textId="77777777" w:rsidR="00DD5918" w:rsidRPr="00CC3F6D" w:rsidRDefault="00DD5918" w:rsidP="00264582">
      <w:pPr>
        <w:spacing w:after="200"/>
        <w:jc w:val="both"/>
        <w:rPr>
          <w:rFonts w:ascii="Calibri" w:hAnsi="Calibri" w:cs="Calibri"/>
          <w:sz w:val="24"/>
          <w:szCs w:val="24"/>
        </w:rPr>
      </w:pPr>
      <w:r>
        <w:rPr>
          <w:rFonts w:ascii="Calibri" w:hAnsi="Calibri" w:cs="Calibri"/>
          <w:sz w:val="24"/>
          <w:szCs w:val="24"/>
          <w:rtl/>
        </w:rPr>
        <w:t>עלות ההטבה למדינה מחושבת כערך הנוכחי של דחיית המס, ולא כערך הניכוי המלא: ההפרש בין השווי הנוכחי הנקי של החלופה עם ההטבה לזה של החלופה ללא ההטבה. בשונה ממענק, שהוא הוצאה תקציבית מלאה, פחת מואץ הוא הטבת תזמון בלבד. החברה מנכה את אותם מאה אחוזים מעלות הציוד בשני המקרים, וההטבה רק מקדימה את מועד הניכוי. לכן העלות הפיסקלית האמיתית קטנה משמעותית מהיקף ההטבה הנקוב, ומוצגת אף היא ביחידות של 1,000 יחידות.</w:t>
      </w:r>
    </w:p>
    <w:p w14:paraId="0D53A965" w14:textId="77777777" w:rsidR="00DD5918" w:rsidRPr="00354650" w:rsidRDefault="00DD5918" w:rsidP="00065A07">
      <w:pPr>
        <w:pStyle w:val="1"/>
        <w:numPr>
          <w:ilvl w:val="0"/>
          <w:numId w:val="21"/>
        </w:numPr>
        <w:bidi/>
        <w:spacing w:before="400" w:after="200"/>
        <w:rPr>
          <w:rFonts w:ascii="Calibri" w:hAnsi="Calibri" w:cs="Calibri"/>
          <w:b/>
          <w:color w:val="1F4E78"/>
          <w:sz w:val="30"/>
        </w:rPr>
      </w:pPr>
      <w:r>
        <w:rPr>
          <w:rFonts w:ascii="Calibri" w:hAnsi="Calibri" w:cs="Calibri"/>
          <w:b/>
          <w:bCs/>
          <w:color w:val="1F4E78"/>
          <w:sz w:val="30"/>
          <w:szCs w:val="30"/>
          <w:rtl/>
        </w:rPr>
        <w:t>תוצאות</w:t>
      </w:r>
    </w:p>
    <w:p>
      <w:pPr>
        <w:spacing w:after="200"/>
        <w:jc w:val="both"/>
        <w:rPr>
          <w:rFonts w:ascii="Calibri" w:hAnsi="Calibri" w:cs="Calibri"/>
          <w:sz w:val="24"/>
          <w:szCs w:val="24"/>
        </w:rPr>
      </w:pPr>
      <w:r>
        <w:rPr>
          <w:rFonts w:ascii="Calibri" w:hAnsi="Calibri" w:cs="Calibri"/>
          <w:sz w:val="24"/>
          <w:szCs w:val="24"/>
          <w:rtl/>
        </w:rPr>
        <w:t>התוצאות מוצגות בשתי רמות: ברמת היחידה הבודדת, לבחינת השפעת ההטבה על החלטת ההשקעה של מפעל בודד; וברמת 1,000 יחידות מכל טכנולוגיה, כתחליף זמני להיקף שוק אמיתי, כמתואר בסעיף 4.5. שתי הרמות מוצגות עבור כל אחת משלוש הטכנולוגיות שנבחנו: משאבות חום (55 קילוואט), צ'ילרים (300 טון קירור) ומדחסי VSD (97.5 קילוואט), כל אחת מול הציוד הקונבנציונלי המקביל לה.</w:t>
      </w:r>
    </w:p>
    <w:p>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t>תוצאות ברמת היחידה הבודדת</w:t>
      </w:r>
    </w:p>
    <w:p>
      <w:pPr>
        <w:spacing w:after="200"/>
        <w:jc w:val="both"/>
        <w:rPr>
          <w:rFonts w:ascii="Calibri" w:hAnsi="Calibri" w:cs="Calibri"/>
          <w:sz w:val="24"/>
          <w:szCs w:val="24"/>
        </w:rPr>
      </w:pPr>
      <w:r>
        <w:rPr>
          <w:rFonts w:ascii="Calibri" w:hAnsi="Calibri" w:cs="Calibri"/>
          <w:sz w:val="24"/>
          <w:szCs w:val="24"/>
          <w:rtl/>
        </w:rPr>
        <w:t>עבור כל טכנולוגיה נבחנה תקופת ההחזר המהוונת של חלופה ב' (הציוד היעיל, פחת סטנדרטי) ושל חלופה ג' (הציוד היעיל, פחת מואץ), ביחס לחלופה א' (הציוד הקונבנציונלי), בהיוון של 6% המשקף את עלות ההון של המפעל. ההכרעה נגזרת מהשוואת שתי התקופות מול סף האימוץ של 3 שנים (סעיף 4.3).</w:t>
      </w:r>
    </w:p>
    <w:p>
      <w:pPr>
        <w:jc w:val="center"/>
        <w:rPr>
          <w:rFonts w:ascii="Calibri" w:hAnsi="Calibri" w:cs="Calibri"/>
          <w:b/>
          <w:bCs/>
          <w:sz w:val="24"/>
          <w:szCs w:val="24"/>
        </w:rPr>
      </w:pPr>
      <w:r>
        <w:rPr>
          <w:rFonts w:ascii="Calibri" w:hAnsi="Calibri" w:cs="Calibri"/>
          <w:b/>
          <w:bCs/>
          <w:sz w:val="24"/>
          <w:szCs w:val="24"/>
          <w:rtl/>
        </w:rPr>
        <w:t xml:space="preserve">טבלה 2 - תוצאות ברמת היחידה הבודדת</w:t>
      </w:r>
    </w:p>
    <w:tbl>
      <w:tblPr>
        <w:tblStyle w:val="afffffc"/>
        <w:bidiVisual/>
        <w:tblW w:w="0" w:type="auto"/>
        <w:tblLook w:val="04A0" w:firstRow="1" w:lastRow="0" w:firstColumn="1" w:lastColumn="0" w:noHBand="0" w:noVBand="1"/>
      </w:tblPr>
      <w:tblGrid>
        <w:gridCol w:w="3000"/>
        <w:gridCol w:w="2400"/>
        <w:gridCol w:w="2400"/>
        <w:gridCol w:w="2508"/>
      </w:tblGrid>
      <w:tr>
        <w:trPr>
          <w:tblHeader/>
        </w:trPr>
        <w:tc>
          <w:tcPr>
            <w:tcW w:w="3000" w:type="dxa"/>
            <w:vAlign w:val="center"/>
          </w:tcPr>
          <w:p>
            <w:pPr>
              <w:jc w:val="center"/>
              <w:rPr>
                <w:rFonts w:ascii="Calibri" w:hAnsi="Calibri" w:cs="Calibri"/>
                <w:b/>
                <w:bCs/>
                <w:sz w:val="24"/>
                <w:szCs w:val="24"/>
              </w:rPr>
            </w:pPr>
            <w:r>
              <w:rPr>
                <w:rFonts w:ascii="Calibri" w:hAnsi="Calibri" w:cs="Calibri"/>
                <w:b/>
                <w:bCs/>
                <w:sz w:val="24"/>
                <w:szCs w:val="24"/>
                <w:rtl/>
              </w:rPr>
              <w:t xml:space="preserve">טכנולוגיה</w:t>
            </w:r>
          </w:p>
        </w:tc>
        <w:tc>
          <w:tcPr>
            <w:tcW w:w="2400" w:type="dxa"/>
            <w:vAlign w:val="center"/>
          </w:tcPr>
          <w:p>
            <w:pPr>
              <w:jc w:val="center"/>
              <w:rPr>
                <w:rFonts w:ascii="Calibri" w:hAnsi="Calibri" w:cs="Calibri"/>
                <w:b/>
                <w:bCs/>
                <w:sz w:val="24"/>
                <w:szCs w:val="24"/>
              </w:rPr>
            </w:pPr>
            <w:r>
              <w:rPr>
                <w:rFonts w:ascii="Calibri" w:hAnsi="Calibri" w:cs="Calibri"/>
                <w:b/>
                <w:bCs/>
                <w:sz w:val="24"/>
                <w:szCs w:val="24"/>
                <w:rtl/>
              </w:rPr>
              <w:t xml:space="preserve">תקופת החזר - חלופה ב' (שנים)</w:t>
            </w:r>
          </w:p>
        </w:tc>
        <w:tc>
          <w:tcPr>
            <w:tcW w:w="2400" w:type="dxa"/>
            <w:vAlign w:val="center"/>
          </w:tcPr>
          <w:p>
            <w:pPr>
              <w:jc w:val="center"/>
              <w:rPr>
                <w:rFonts w:ascii="Calibri" w:hAnsi="Calibri" w:cs="Calibri"/>
                <w:b/>
                <w:bCs/>
                <w:sz w:val="24"/>
                <w:szCs w:val="24"/>
              </w:rPr>
            </w:pPr>
            <w:r>
              <w:rPr>
                <w:rFonts w:ascii="Calibri" w:hAnsi="Calibri" w:cs="Calibri"/>
                <w:b/>
                <w:bCs/>
                <w:sz w:val="24"/>
                <w:szCs w:val="24"/>
                <w:rtl/>
              </w:rPr>
              <w:t xml:space="preserve">תקופת החזר - חלופה ג' (שנים)</w:t>
            </w:r>
          </w:p>
        </w:tc>
        <w:tc>
          <w:tcPr>
            <w:tcW w:w="2508" w:type="dxa"/>
            <w:vAlign w:val="center"/>
          </w:tcPr>
          <w:p>
            <w:pPr>
              <w:jc w:val="center"/>
              <w:rPr>
                <w:rFonts w:ascii="Calibri" w:hAnsi="Calibri" w:cs="Calibri"/>
                <w:b/>
                <w:bCs/>
                <w:sz w:val="24"/>
                <w:szCs w:val="24"/>
              </w:rPr>
            </w:pPr>
            <w:r>
              <w:rPr>
                <w:rFonts w:ascii="Calibri" w:hAnsi="Calibri" w:cs="Calibri"/>
                <w:b/>
                <w:bCs/>
                <w:sz w:val="24"/>
                <w:szCs w:val="24"/>
                <w:rtl/>
              </w:rPr>
              <w:t xml:space="preserve">הכרעה</w:t>
            </w:r>
          </w:p>
        </w:tc>
      </w:tr>
      <w:tr>
        <w:tc>
          <w:tcPr>
            <w:tcW w:w="3000" w:type="dxa"/>
            <w:vAlign w:val="center"/>
          </w:tcPr>
          <w:p>
            <w:pPr>
              <w:jc w:val="center"/>
              <w:rPr>
                <w:rFonts w:ascii="Calibri" w:hAnsi="Calibri" w:cs="Calibri"/>
                <w:sz w:val="24"/>
                <w:szCs w:val="24"/>
              </w:rPr>
            </w:pPr>
            <w:r>
              <w:rPr>
                <w:rFonts w:ascii="Calibri" w:hAnsi="Calibri" w:cs="Calibri"/>
                <w:sz w:val="24"/>
                <w:szCs w:val="24"/>
                <w:rtl/>
              </w:rPr>
              <w:t xml:space="preserve">משאבות חום (55 קילוואט)</w:t>
            </w:r>
          </w:p>
        </w:tc>
        <w:tc>
          <w:tcPr>
            <w:tcW w:w="2400" w:type="dxa"/>
            <w:vAlign w:val="center"/>
          </w:tcPr>
          <w:p>
            <w:pPr>
              <w:jc w:val="center"/>
              <w:rPr>
                <w:rFonts w:ascii="Calibri" w:hAnsi="Calibri" w:cs="Calibri"/>
                <w:sz w:val="24"/>
                <w:szCs w:val="24"/>
              </w:rPr>
            </w:pPr>
            <w:r>
              <w:rPr>
                <w:rFonts w:ascii="Calibri" w:hAnsi="Calibri" w:cs="Calibri"/>
                <w:sz w:val="24"/>
                <w:szCs w:val="24"/>
                <w:rtl/>
              </w:rPr>
              <w:t xml:space="preserve">3.18</w:t>
            </w:r>
          </w:p>
        </w:tc>
        <w:tc>
          <w:tcPr>
            <w:tcW w:w="2400" w:type="dxa"/>
            <w:vAlign w:val="center"/>
          </w:tcPr>
          <w:p>
            <w:pPr>
              <w:jc w:val="center"/>
              <w:rPr>
                <w:rFonts w:ascii="Calibri" w:hAnsi="Calibri" w:cs="Calibri"/>
                <w:sz w:val="24"/>
                <w:szCs w:val="24"/>
              </w:rPr>
            </w:pPr>
            <w:r>
              <w:rPr>
                <w:rFonts w:ascii="Calibri" w:hAnsi="Calibri" w:cs="Calibri"/>
                <w:sz w:val="24"/>
                <w:szCs w:val="24"/>
                <w:rtl/>
              </w:rPr>
              <w:t xml:space="preserve">2.23</w:t>
            </w:r>
          </w:p>
        </w:tc>
        <w:tc>
          <w:tcPr>
            <w:tcW w:w="2508" w:type="dxa"/>
            <w:vAlign w:val="center"/>
          </w:tcPr>
          <w:p>
            <w:pPr>
              <w:jc w:val="center"/>
              <w:rPr>
                <w:rFonts w:ascii="Calibri" w:hAnsi="Calibri" w:cs="Calibri"/>
                <w:sz w:val="24"/>
                <w:szCs w:val="24"/>
              </w:rPr>
            </w:pPr>
            <w:r>
              <w:rPr>
                <w:rFonts w:ascii="Calibri" w:hAnsi="Calibri" w:cs="Calibri"/>
                <w:sz w:val="24"/>
                <w:szCs w:val="24"/>
                <w:rtl/>
              </w:rPr>
              <w:t xml:space="preserve">ההטבה הפכה את ההחלטה</w:t>
            </w:r>
          </w:p>
        </w:tc>
      </w:tr>
      <w:tr>
        <w:tc>
          <w:tcPr>
            <w:tcW w:w="3000" w:type="dxa"/>
            <w:vAlign w:val="center"/>
          </w:tcPr>
          <w:p>
            <w:pPr>
              <w:jc w:val="center"/>
              <w:rPr>
                <w:rFonts w:ascii="Calibri" w:hAnsi="Calibri" w:cs="Calibri"/>
                <w:sz w:val="24"/>
                <w:szCs w:val="24"/>
              </w:rPr>
            </w:pPr>
            <w:r>
              <w:rPr>
                <w:rFonts w:ascii="Calibri" w:hAnsi="Calibri" w:cs="Calibri"/>
                <w:sz w:val="24"/>
                <w:szCs w:val="24"/>
                <w:rtl/>
              </w:rPr>
              <w:t xml:space="preserve">צ'ילרים (300 טון קירור)</w:t>
            </w:r>
          </w:p>
        </w:tc>
        <w:tc>
          <w:tcPr>
            <w:tcW w:w="2400" w:type="dxa"/>
            <w:vAlign w:val="center"/>
          </w:tcPr>
          <w:p>
            <w:pPr>
              <w:jc w:val="center"/>
              <w:rPr>
                <w:rFonts w:ascii="Calibri" w:hAnsi="Calibri" w:cs="Calibri"/>
                <w:sz w:val="24"/>
                <w:szCs w:val="24"/>
              </w:rPr>
            </w:pPr>
            <w:r>
              <w:rPr>
                <w:rFonts w:ascii="Calibri" w:hAnsi="Calibri" w:cs="Calibri"/>
                <w:sz w:val="24"/>
                <w:szCs w:val="24"/>
                <w:rtl/>
              </w:rPr>
              <w:t xml:space="preserve">4.41</w:t>
            </w:r>
          </w:p>
        </w:tc>
        <w:tc>
          <w:tcPr>
            <w:tcW w:w="2400" w:type="dxa"/>
            <w:vAlign w:val="center"/>
          </w:tcPr>
          <w:p>
            <w:pPr>
              <w:jc w:val="center"/>
              <w:rPr>
                <w:rFonts w:ascii="Calibri" w:hAnsi="Calibri" w:cs="Calibri"/>
                <w:sz w:val="24"/>
                <w:szCs w:val="24"/>
              </w:rPr>
            </w:pPr>
            <w:r>
              <w:rPr>
                <w:rFonts w:ascii="Calibri" w:hAnsi="Calibri" w:cs="Calibri"/>
                <w:sz w:val="24"/>
                <w:szCs w:val="24"/>
                <w:rtl/>
              </w:rPr>
              <w:t xml:space="preserve">2.66</w:t>
            </w:r>
          </w:p>
        </w:tc>
        <w:tc>
          <w:tcPr>
            <w:tcW w:w="2508" w:type="dxa"/>
            <w:vAlign w:val="center"/>
          </w:tcPr>
          <w:p>
            <w:pPr>
              <w:jc w:val="center"/>
              <w:rPr>
                <w:rFonts w:ascii="Calibri" w:hAnsi="Calibri" w:cs="Calibri"/>
                <w:sz w:val="24"/>
                <w:szCs w:val="24"/>
              </w:rPr>
            </w:pPr>
            <w:r>
              <w:rPr>
                <w:rFonts w:ascii="Calibri" w:hAnsi="Calibri" w:cs="Calibri"/>
                <w:sz w:val="24"/>
                <w:szCs w:val="24"/>
                <w:rtl/>
              </w:rPr>
              <w:t xml:space="preserve">ההטבה הפכה את ההחלטה</w:t>
            </w:r>
          </w:p>
        </w:tc>
      </w:tr>
      <w:tr>
        <w:tc>
          <w:tcPr>
            <w:tcW w:w="3000" w:type="dxa"/>
            <w:vAlign w:val="center"/>
          </w:tcPr>
          <w:p>
            <w:pPr>
              <w:jc w:val="center"/>
              <w:rPr>
                <w:rFonts w:ascii="Calibri" w:hAnsi="Calibri" w:cs="Calibri"/>
                <w:sz w:val="24"/>
                <w:szCs w:val="24"/>
              </w:rPr>
            </w:pPr>
            <w:r>
              <w:rPr>
                <w:rFonts w:ascii="Calibri" w:hAnsi="Calibri" w:cs="Calibri"/>
                <w:sz w:val="24"/>
                <w:szCs w:val="24"/>
                <w:rtl/>
              </w:rPr>
              <w:t xml:space="preserve">מדחסי VSD (97.5 קילוואט)</w:t>
            </w:r>
          </w:p>
        </w:tc>
        <w:tc>
          <w:tcPr>
            <w:tcW w:w="2400" w:type="dxa"/>
            <w:vAlign w:val="center"/>
          </w:tcPr>
          <w:p>
            <w:pPr>
              <w:jc w:val="center"/>
              <w:rPr>
                <w:rFonts w:ascii="Calibri" w:hAnsi="Calibri" w:cs="Calibri"/>
                <w:sz w:val="24"/>
                <w:szCs w:val="24"/>
              </w:rPr>
            </w:pPr>
            <w:r>
              <w:rPr>
                <w:rFonts w:ascii="Calibri" w:hAnsi="Calibri" w:cs="Calibri"/>
                <w:sz w:val="24"/>
                <w:szCs w:val="24"/>
                <w:rtl/>
              </w:rPr>
              <w:t xml:space="preserve">0.67</w:t>
            </w:r>
          </w:p>
        </w:tc>
        <w:tc>
          <w:tcPr>
            <w:tcW w:w="2400" w:type="dxa"/>
            <w:vAlign w:val="center"/>
          </w:tcPr>
          <w:p>
            <w:pPr>
              <w:jc w:val="center"/>
              <w:rPr>
                <w:rFonts w:ascii="Calibri" w:hAnsi="Calibri" w:cs="Calibri"/>
                <w:sz w:val="24"/>
                <w:szCs w:val="24"/>
              </w:rPr>
            </w:pPr>
            <w:r>
              <w:rPr>
                <w:rFonts w:ascii="Calibri" w:hAnsi="Calibri" w:cs="Calibri"/>
                <w:sz w:val="24"/>
                <w:szCs w:val="24"/>
                <w:rtl/>
              </w:rPr>
              <w:t xml:space="preserve">0.62</w:t>
            </w:r>
          </w:p>
        </w:tc>
        <w:tc>
          <w:tcPr>
            <w:tcW w:w="2508" w:type="dxa"/>
            <w:vAlign w:val="center"/>
          </w:tcPr>
          <w:p>
            <w:pPr>
              <w:jc w:val="center"/>
              <w:rPr>
                <w:rFonts w:ascii="Calibri" w:hAnsi="Calibri" w:cs="Calibri"/>
                <w:sz w:val="24"/>
                <w:szCs w:val="24"/>
              </w:rPr>
            </w:pPr>
            <w:r>
              <w:rPr>
                <w:rFonts w:ascii="Calibri" w:hAnsi="Calibri" w:cs="Calibri"/>
                <w:sz w:val="24"/>
                <w:szCs w:val="24"/>
                <w:rtl/>
              </w:rPr>
              <w:t xml:space="preserve">כדאי גם ללא ההטבה</w:t>
            </w:r>
          </w:p>
        </w:tc>
      </w:tr>
    </w:tbl>
    <w:p>
      <w:pPr>
        <w:rPr>
          <w:rFonts w:ascii="Calibri" w:hAnsi="Calibri" w:cs="Calibri"/>
          <w:sz w:val="24"/>
          <w:szCs w:val="24"/>
        </w:rPr>
      </w:pPr>
    </w:p>
    <w:p>
      <w:pPr>
        <w:spacing w:after="200"/>
        <w:jc w:val="both"/>
        <w:rPr>
          <w:rFonts w:ascii="Calibri" w:hAnsi="Calibri" w:cs="Calibri"/>
          <w:sz w:val="24"/>
          <w:szCs w:val="24"/>
        </w:rPr>
      </w:pPr>
      <w:r>
        <w:rPr>
          <w:rFonts w:ascii="Calibri" w:hAnsi="Calibri" w:cs="Calibri"/>
          <w:sz w:val="24"/>
          <w:szCs w:val="24"/>
          <w:rtl/>
        </w:rPr>
        <w:t>משאבות חום וצ'ילרים מציגים תוספתיות אמיתית: חלופה ב' אינה עומדת בסף האימוץ בכוחות עצמה, וההטבה היא שמאפשרת למפעל לעמוד בו. מדחסי VSD, לעומת זאת, עומדים בסף גם ללא ההטבה: המפעל היה משדרג לציוד היעיל בכל מקרה, וההטבה עבור טכנולוגיה זו אינה משנה החלטת השקעה כלשהי, כלומר מהווה עלות מתה (deadweight).</w:t>
      </w:r>
    </w:p>
    <w:p>
      <w:pPr>
        <w:spacing w:after="200"/>
        <w:jc w:val="both"/>
        <w:rPr>
          <w:rFonts w:ascii="Calibri" w:hAnsi="Calibri" w:cs="Calibri"/>
          <w:sz w:val="24"/>
          <w:szCs w:val="24"/>
        </w:rPr>
      </w:pPr>
      <w:r>
        <w:rPr>
          <w:rFonts w:ascii="Calibri" w:hAnsi="Calibri" w:cs="Calibri"/>
          <w:sz w:val="24"/>
          <w:szCs w:val="24"/>
          <w:rtl/>
        </w:rPr>
        <w:t>יש להדגיש כי מרווח הביטחון של תוצאת משאבות החום צר משמעותית ממרווח הביטחון של הצ'ילרים: תקופת ההחזר של חלופה ב' (3.18 שנים) קרובה לסף האימוץ (3 שנים), בעוד שתקופת ההחזר המקבילה בצ'ילרים (4.41 שנים) רחוקה ממנו משמעותית. תוצאת התוספתיות של משאבות החום רגישה להנחות התפעול, ובראשן שעות הפעילות השנתיות, ומומלץ לאשש אותה באמצעות ניתוח הרגישות המתואר בסעיף 4.4 טרם גיבוש מסקנה סופית.</w:t>
      </w:r>
    </w:p>
    <w:p>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t>היקף ההשפעה - 1,000 יחידות לכל טכנולוגיה</w:t>
      </w:r>
    </w:p>
    <w:p>
      <w:pPr>
        <w:spacing w:after="200"/>
        <w:jc w:val="both"/>
        <w:rPr>
          <w:rFonts w:ascii="Calibri" w:hAnsi="Calibri" w:cs="Calibri"/>
          <w:sz w:val="24"/>
          <w:szCs w:val="24"/>
        </w:rPr>
      </w:pPr>
      <w:r>
        <w:rPr>
          <w:rFonts w:ascii="Calibri" w:hAnsi="Calibri" w:cs="Calibri"/>
          <w:sz w:val="24"/>
          <w:szCs w:val="24"/>
          <w:rtl/>
        </w:rPr>
        <w:t>בהתאם למתודולוגיה שתוארה בסעיף 4.5, טבלה 3 מציגה את הערך הכלכלי ואת העלות הפיסקלית של פריסת 1,000 יחידות מכל טכנולוגיה, בקצב אחיד לאורך אופק הניתוח שלה (15 שנה למשאבות חום ולצ'ילרים, 12 שנה למדחסי VSD). המספרים שלהלן הם סכימה מצטברת על פני אופק הניתוח של התוכנית (2026-2050), ולא התקנה חד-פעמית.</w:t>
      </w:r>
    </w:p>
    <w:p>
      <w:pPr>
        <w:spacing w:after="200"/>
        <w:jc w:val="both"/>
        <w:rPr>
          <w:rFonts w:ascii="Calibri" w:hAnsi="Calibri" w:cs="Calibri"/>
          <w:sz w:val="24"/>
          <w:szCs w:val="24"/>
        </w:rPr>
      </w:pPr>
      <w:r>
        <w:rPr>
          <w:rFonts w:ascii="Calibri" w:hAnsi="Calibri" w:cs="Calibri"/>
          <w:sz w:val="24"/>
          <w:szCs w:val="24"/>
          <w:rtl/>
        </w:rPr>
        <w:t>הערך הכלכלי מחושב באופן שונה בהתאם לתוצאת התוספתיות: עבור טכנולוגיה תוספתית, הערך הכלכלי הוא הפרש השווי הנוכחי הנקי בין חלופה ב' לחלופה א' (B−A), המבטא את החיסכון התפעולי הנקי שההטבה אפשרה. עבור טכנולוגיה שאינה תוספתית, אין ערך כלכלי המיוחס למדיניות - המפעל היה מבצע את ההשקעה בכל מקרה - וההצגה משקפת את העלות הפיסקלית בסימן שלילי, ללא תועלת שכנגד. העלות הפיסקלית מהוונת בשיעור ההיוון החברתי (3%), בשונה משיעור ההיוון הפרטי (6%) המשמש למבחן ההכרעה ברמת היחידה, מאחר שמדובר בתזרים מזומנים ממשלתי.</w:t>
      </w:r>
    </w:p>
    <w:p>
      <w:pPr>
        <w:jc w:val="center"/>
        <w:rPr>
          <w:rFonts w:ascii="Calibri" w:hAnsi="Calibri" w:cs="Calibri"/>
          <w:b/>
          <w:bCs/>
          <w:sz w:val="24"/>
          <w:szCs w:val="24"/>
        </w:rPr>
      </w:pPr>
      <w:r>
        <w:rPr>
          <w:rFonts w:ascii="Calibri" w:hAnsi="Calibri" w:cs="Calibri"/>
          <w:b/>
          <w:bCs/>
          <w:sz w:val="24"/>
          <w:szCs w:val="24"/>
          <w:rtl/>
        </w:rPr>
        <w:t xml:space="preserve">טבלה 3 - היקף ההשפעה ב-1,000 יחידות, לפי טכנולוגיה</w:t>
      </w:r>
    </w:p>
    <w:tbl>
      <w:tblPr>
        <w:tblStyle w:val="afffffc"/>
        <w:bidiVisual/>
        <w:tblW w:w="0" w:type="auto"/>
        <w:tblLook w:val="04A0" w:firstRow="1" w:lastRow="0" w:firstColumn="1" w:lastColumn="0" w:noHBand="0" w:noVBand="1"/>
      </w:tblPr>
      <w:tblGrid>
        <w:gridCol w:w="3500"/>
        <w:gridCol w:w="3400"/>
        <w:gridCol w:w="3408"/>
      </w:tblGrid>
      <w:tr>
        <w:trPr>
          <w:tblHeader/>
        </w:trPr>
        <w:tc>
          <w:tcPr>
            <w:tcW w:w="3500" w:type="dxa"/>
            <w:vAlign w:val="center"/>
          </w:tcPr>
          <w:p>
            <w:pPr>
              <w:jc w:val="center"/>
              <w:rPr>
                <w:rFonts w:ascii="Calibri" w:hAnsi="Calibri" w:cs="Calibri"/>
                <w:b/>
                <w:bCs/>
                <w:sz w:val="24"/>
                <w:szCs w:val="24"/>
              </w:rPr>
            </w:pPr>
            <w:r>
              <w:rPr>
                <w:rFonts w:ascii="Calibri" w:hAnsi="Calibri" w:cs="Calibri"/>
                <w:b/>
                <w:bCs/>
                <w:sz w:val="24"/>
                <w:szCs w:val="24"/>
                <w:rtl/>
              </w:rPr>
              <w:t xml:space="preserve">טכנולוגיה</w:t>
            </w:r>
          </w:p>
        </w:tc>
        <w:tc>
          <w:tcPr>
            <w:tcW w:w="3400" w:type="dxa"/>
            <w:vAlign w:val="center"/>
          </w:tcPr>
          <w:p>
            <w:pPr>
              <w:jc w:val="center"/>
              <w:rPr>
                <w:rFonts w:ascii="Calibri" w:hAnsi="Calibri" w:cs="Calibri"/>
                <w:b/>
                <w:bCs/>
                <w:sz w:val="24"/>
                <w:szCs w:val="24"/>
              </w:rPr>
            </w:pPr>
            <w:r>
              <w:rPr>
                <w:rFonts w:ascii="Calibri" w:hAnsi="Calibri" w:cs="Calibri"/>
                <w:b/>
                <w:bCs/>
                <w:sz w:val="24"/>
                <w:szCs w:val="24"/>
                <w:rtl/>
              </w:rPr>
              <w:t xml:space="preserve">ערך כלכלי (מיליוני ₪)</w:t>
            </w:r>
          </w:p>
        </w:tc>
        <w:tc>
          <w:tcPr>
            <w:tcW w:w="3408" w:type="dxa"/>
            <w:vAlign w:val="center"/>
          </w:tcPr>
          <w:p>
            <w:pPr>
              <w:jc w:val="center"/>
              <w:rPr>
                <w:rFonts w:ascii="Calibri" w:hAnsi="Calibri" w:cs="Calibri"/>
                <w:b/>
                <w:bCs/>
                <w:sz w:val="24"/>
                <w:szCs w:val="24"/>
              </w:rPr>
            </w:pPr>
            <w:r>
              <w:rPr>
                <w:rFonts w:ascii="Calibri" w:hAnsi="Calibri" w:cs="Calibri"/>
                <w:b/>
                <w:bCs/>
                <w:sz w:val="24"/>
                <w:szCs w:val="24"/>
                <w:rtl/>
              </w:rPr>
              <w:t xml:space="preserve">עלות פיסקלית (מיליוני ₪)</w:t>
            </w:r>
          </w:p>
        </w:tc>
      </w:tr>
      <w:tr>
        <w:tc>
          <w:tcPr>
            <w:tcW w:w="3500" w:type="dxa"/>
            <w:vAlign w:val="center"/>
          </w:tcPr>
          <w:p>
            <w:pPr>
              <w:jc w:val="center"/>
              <w:rPr>
                <w:rFonts w:ascii="Calibri" w:hAnsi="Calibri" w:cs="Calibri"/>
                <w:sz w:val="24"/>
                <w:szCs w:val="24"/>
              </w:rPr>
            </w:pPr>
            <w:r>
              <w:rPr>
                <w:rFonts w:ascii="Calibri" w:hAnsi="Calibri" w:cs="Calibri"/>
                <w:sz w:val="24"/>
                <w:szCs w:val="24"/>
                <w:rtl/>
              </w:rPr>
              <w:t xml:space="preserve">משאבות חום</w:t>
            </w:r>
          </w:p>
        </w:tc>
        <w:tc>
          <w:tcPr>
            <w:tcW w:w="3400" w:type="dxa"/>
            <w:vAlign w:val="center"/>
          </w:tcPr>
          <w:p>
            <w:pPr>
              <w:jc w:val="center"/>
              <w:rPr>
                <w:rFonts w:ascii="Calibri" w:hAnsi="Calibri" w:cs="Calibri"/>
                <w:sz w:val="24"/>
                <w:szCs w:val="24"/>
              </w:rPr>
            </w:pPr>
            <w:r>
              <w:rPr>
                <w:rFonts w:ascii="Calibri" w:hAnsi="Calibri" w:cs="Calibri"/>
                <w:sz w:val="24"/>
                <w:szCs w:val="24"/>
                <w:rtl/>
              </w:rPr>
              <w:t xml:space="preserve">23.8</w:t>
            </w:r>
          </w:p>
        </w:tc>
        <w:tc>
          <w:tcPr>
            <w:tcW w:w="3408" w:type="dxa"/>
            <w:vAlign w:val="center"/>
          </w:tcPr>
          <w:p>
            <w:pPr>
              <w:jc w:val="center"/>
              <w:rPr>
                <w:rFonts w:ascii="Calibri" w:hAnsi="Calibri" w:cs="Calibri"/>
                <w:sz w:val="24"/>
                <w:szCs w:val="24"/>
              </w:rPr>
            </w:pPr>
            <w:r>
              <w:rPr>
                <w:rFonts w:ascii="Calibri" w:hAnsi="Calibri" w:cs="Calibri"/>
                <w:sz w:val="24"/>
                <w:szCs w:val="24"/>
                <w:rtl/>
              </w:rPr>
              <w:t xml:space="preserve">0.8</w:t>
            </w:r>
          </w:p>
        </w:tc>
      </w:tr>
      <w:tr>
        <w:tc>
          <w:tcPr>
            <w:tcW w:w="3500" w:type="dxa"/>
            <w:vAlign w:val="center"/>
          </w:tcPr>
          <w:p>
            <w:pPr>
              <w:jc w:val="center"/>
              <w:rPr>
                <w:rFonts w:ascii="Calibri" w:hAnsi="Calibri" w:cs="Calibri"/>
                <w:sz w:val="24"/>
                <w:szCs w:val="24"/>
              </w:rPr>
            </w:pPr>
            <w:r>
              <w:rPr>
                <w:rFonts w:ascii="Calibri" w:hAnsi="Calibri" w:cs="Calibri"/>
                <w:sz w:val="24"/>
                <w:szCs w:val="24"/>
                <w:rtl/>
              </w:rPr>
              <w:t xml:space="preserve">צ'ילרים</w:t>
            </w:r>
          </w:p>
        </w:tc>
        <w:tc>
          <w:tcPr>
            <w:tcW w:w="3400" w:type="dxa"/>
            <w:vAlign w:val="center"/>
          </w:tcPr>
          <w:p>
            <w:pPr>
              <w:jc w:val="center"/>
              <w:rPr>
                <w:rFonts w:ascii="Calibri" w:hAnsi="Calibri" w:cs="Calibri"/>
                <w:sz w:val="24"/>
                <w:szCs w:val="24"/>
              </w:rPr>
            </w:pPr>
            <w:r>
              <w:rPr>
                <w:rFonts w:ascii="Calibri" w:hAnsi="Calibri" w:cs="Calibri"/>
                <w:sz w:val="24"/>
                <w:szCs w:val="24"/>
                <w:rtl/>
              </w:rPr>
              <w:t xml:space="preserve">294.0</w:t>
            </w:r>
          </w:p>
        </w:tc>
        <w:tc>
          <w:tcPr>
            <w:tcW w:w="3408" w:type="dxa"/>
            <w:vAlign w:val="center"/>
          </w:tcPr>
          <w:p>
            <w:pPr>
              <w:jc w:val="center"/>
              <w:rPr>
                <w:rFonts w:ascii="Calibri" w:hAnsi="Calibri" w:cs="Calibri"/>
                <w:sz w:val="24"/>
                <w:szCs w:val="24"/>
              </w:rPr>
            </w:pPr>
            <w:r>
              <w:rPr>
                <w:rFonts w:ascii="Calibri" w:hAnsi="Calibri" w:cs="Calibri"/>
                <w:sz w:val="24"/>
                <w:szCs w:val="24"/>
                <w:rtl/>
              </w:rPr>
              <w:t xml:space="preserve">18.2</w:t>
            </w:r>
          </w:p>
        </w:tc>
      </w:tr>
      <w:tr>
        <w:tc>
          <w:tcPr>
            <w:tcW w:w="3500" w:type="dxa"/>
            <w:vAlign w:val="center"/>
          </w:tcPr>
          <w:p>
            <w:pPr>
              <w:jc w:val="center"/>
              <w:rPr>
                <w:rFonts w:ascii="Calibri" w:hAnsi="Calibri" w:cs="Calibri"/>
                <w:sz w:val="24"/>
                <w:szCs w:val="24"/>
              </w:rPr>
            </w:pPr>
            <w:r>
              <w:rPr>
                <w:rFonts w:ascii="Calibri" w:hAnsi="Calibri" w:cs="Calibri"/>
                <w:sz w:val="24"/>
                <w:szCs w:val="24"/>
                <w:rtl/>
              </w:rPr>
              <w:t xml:space="preserve">מדחסי VSD</w:t>
            </w:r>
          </w:p>
        </w:tc>
        <w:tc>
          <w:tcPr>
            <w:tcW w:w="3400" w:type="dxa"/>
            <w:vAlign w:val="center"/>
          </w:tcPr>
          <w:p>
            <w:pPr>
              <w:jc w:val="center"/>
              <w:rPr>
                <w:rFonts w:ascii="Calibri" w:hAnsi="Calibri" w:cs="Calibri"/>
                <w:sz w:val="24"/>
                <w:szCs w:val="24"/>
              </w:rPr>
            </w:pPr>
            <w:r>
              <w:rPr>
                <w:rFonts w:ascii="Calibri" w:hAnsi="Calibri" w:cs="Calibri"/>
                <w:sz w:val="24"/>
                <w:szCs w:val="24"/>
                <w:rtl/>
              </w:rPr>
              <w:t xml:space="preserve">(2.1)*</w:t>
            </w:r>
          </w:p>
        </w:tc>
        <w:tc>
          <w:tcPr>
            <w:tcW w:w="3408" w:type="dxa"/>
            <w:vAlign w:val="center"/>
          </w:tcPr>
          <w:p>
            <w:pPr>
              <w:jc w:val="center"/>
              <w:rPr>
                <w:rFonts w:ascii="Calibri" w:hAnsi="Calibri" w:cs="Calibri"/>
                <w:sz w:val="24"/>
                <w:szCs w:val="24"/>
              </w:rPr>
            </w:pPr>
            <w:r>
              <w:rPr>
                <w:rFonts w:ascii="Calibri" w:hAnsi="Calibri" w:cs="Calibri"/>
                <w:sz w:val="24"/>
                <w:szCs w:val="24"/>
                <w:rtl/>
              </w:rPr>
              <w:t xml:space="preserve">2.1</w:t>
            </w:r>
          </w:p>
        </w:tc>
      </w:tr>
      <w:tr>
        <w:tc>
          <w:tcPr>
            <w:tcW w:w="3500" w:type="dxa"/>
            <w:vAlign w:val="center"/>
          </w:tcPr>
          <w:p>
            <w:pPr>
              <w:jc w:val="center"/>
              <w:rPr>
                <w:rFonts w:ascii="Calibri" w:hAnsi="Calibri" w:cs="Calibri"/>
                <w:sz w:val="24"/>
                <w:szCs w:val="24"/>
              </w:rPr>
            </w:pPr>
            <w:r>
              <w:rPr>
                <w:rFonts w:ascii="Calibri" w:hAnsi="Calibri" w:cs="Calibri"/>
                <w:sz w:val="24"/>
                <w:szCs w:val="24"/>
                <w:rtl/>
              </w:rPr>
              <w:t xml:space="preserve">סה"כ</w:t>
            </w:r>
          </w:p>
        </w:tc>
        <w:tc>
          <w:tcPr>
            <w:tcW w:w="3400" w:type="dxa"/>
            <w:vAlign w:val="center"/>
          </w:tcPr>
          <w:p>
            <w:pPr>
              <w:jc w:val="center"/>
              <w:rPr>
                <w:rFonts w:ascii="Calibri" w:hAnsi="Calibri" w:cs="Calibri"/>
                <w:sz w:val="24"/>
                <w:szCs w:val="24"/>
              </w:rPr>
            </w:pPr>
            <w:r>
              <w:rPr>
                <w:rFonts w:ascii="Calibri" w:hAnsi="Calibri" w:cs="Calibri"/>
                <w:sz w:val="24"/>
                <w:szCs w:val="24"/>
                <w:rtl/>
              </w:rPr>
              <w:t xml:space="preserve">315.7</w:t>
            </w:r>
          </w:p>
        </w:tc>
        <w:tc>
          <w:tcPr>
            <w:tcW w:w="3408" w:type="dxa"/>
            <w:vAlign w:val="center"/>
          </w:tcPr>
          <w:p>
            <w:pPr>
              <w:jc w:val="center"/>
              <w:rPr>
                <w:rFonts w:ascii="Calibri" w:hAnsi="Calibri" w:cs="Calibri"/>
                <w:sz w:val="24"/>
                <w:szCs w:val="24"/>
              </w:rPr>
            </w:pPr>
            <w:r>
              <w:rPr>
                <w:rFonts w:ascii="Calibri" w:hAnsi="Calibri" w:cs="Calibri"/>
                <w:sz w:val="24"/>
                <w:szCs w:val="24"/>
                <w:rtl/>
              </w:rPr>
              <w:t xml:space="preserve">21.1</w:t>
            </w:r>
          </w:p>
        </w:tc>
      </w:tr>
    </w:tbl>
    <w:p>
      <w:pPr>
        <w:rPr>
          <w:rFonts w:ascii="Calibri" w:hAnsi="Calibri" w:cs="Calibri"/>
          <w:sz w:val="24"/>
          <w:szCs w:val="24"/>
        </w:rPr>
      </w:pPr>
    </w:p>
    <w:p>
      <w:pPr>
        <w:spacing w:after="200"/>
        <w:jc w:val="both"/>
        <w:rPr>
          <w:rFonts w:ascii="Calibri" w:hAnsi="Calibri" w:cs="Calibri"/>
          <w:sz w:val="24"/>
          <w:szCs w:val="24"/>
        </w:rPr>
      </w:pPr>
      <w:r>
        <w:rPr>
          <w:rFonts w:ascii="Calibri" w:hAnsi="Calibri" w:cs="Calibri"/>
          <w:sz w:val="24"/>
          <w:szCs w:val="24"/>
          <w:rtl/>
        </w:rPr>
        <w:t>* עבור מדחסי VSD, שאינם תוספתיים, הערך המוצג הוא העלות הפיסקלית בסימן שלילי, ומבטא עלות מתה נטו ולא תועלת כלכלית.</w:t>
      </w:r>
    </w:p>
    <w:p>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t>חיסכון באנרגיה והפחתת פליטות</w:t>
      </w:r>
    </w:p>
    <w:p>
      <w:pPr>
        <w:spacing w:after="200"/>
        <w:jc w:val="both"/>
        <w:rPr>
          <w:rFonts w:ascii="Calibri" w:hAnsi="Calibri" w:cs="Calibri"/>
          <w:sz w:val="24"/>
          <w:szCs w:val="24"/>
        </w:rPr>
      </w:pPr>
      <w:r>
        <w:rPr>
          <w:rFonts w:ascii="Calibri" w:hAnsi="Calibri" w:cs="Calibri"/>
          <w:sz w:val="24"/>
          <w:szCs w:val="24"/>
          <w:rtl/>
        </w:rPr>
        <w:t>החיסכון באנרגיה ובפליטות גזי החממה מוצג רק עבור הטכנולוגיות התוספתיות (משאבות חום וצ'ילרים), בהתאם לעיקרון שלפיו אין לייחס למדיניות חיסכון שהיה מתרחש בכל מקרה. פריסה של 1,000 יחידות מכל אחת משתי הטכנולוגיות התוספתיות, על פני אופק הניתוח, חוסכת כ-1.88 מיליארד קוט"ש (כ-1,883 גיגה-ואט-שעה) ומונעת כ-821 אלף טון CO2e. מעבר לכך, החיסכון באנרגיה מפחית עלויות חיצוניות (זיהום אוויר ונזקים נלווים) בהיקף של כ-227 מיליון ₪ לאורך אופק הניתוח, לפי מקדמי העלות החיצונית של המשרד להגנת הסביבה.</w:t>
      </w:r>
    </w:p>
    <w:p>
      <w:pPr>
        <w:pStyle w:val="21"/>
        <w:numPr>
          <w:ilvl w:val="1"/>
          <w:numId w:val="21"/>
        </w:numPr>
        <w:bidi/>
        <w:rPr>
          <w:rFonts w:ascii="Calibri" w:hAnsi="Calibri" w:cs="Calibri"/>
          <w:b/>
          <w:bCs/>
          <w:color w:val="1F4E78"/>
          <w:sz w:val="24"/>
          <w:szCs w:val="24"/>
        </w:rPr>
      </w:pPr>
      <w:r>
        <w:rPr>
          <w:rFonts w:ascii="Calibri" w:hAnsi="Calibri" w:cs="Calibri"/>
          <w:b/>
          <w:bCs/>
          <w:color w:val="1F4E78"/>
          <w:sz w:val="24"/>
          <w:szCs w:val="24"/>
          <w:rtl/>
        </w:rPr>
        <w:t>עלות-תועלת</w:t>
      </w:r>
    </w:p>
    <w:p>
      <w:pPr>
        <w:spacing w:after="200"/>
        <w:jc w:val="both"/>
        <w:rPr>
          <w:rFonts w:ascii="Calibri" w:hAnsi="Calibri" w:cs="Calibri"/>
          <w:sz w:val="24"/>
          <w:szCs w:val="24"/>
        </w:rPr>
      </w:pPr>
      <w:r>
        <w:rPr>
          <w:rFonts w:ascii="Calibri" w:hAnsi="Calibri" w:cs="Calibri"/>
          <w:sz w:val="24"/>
          <w:szCs w:val="24"/>
          <w:rtl/>
        </w:rPr>
        <w:t>היחס בין העלות הפיסקלית לתועלת הסביבתית מחושב אך ורק עבור הטכנולוגיות התוספתיות: עלות פיסקלית משותפת של כ-19.0 מיליון ₪ (משאבות חום וצ'ילרים) מול כ-821 אלף טון CO2e שנחסכו, המניב יחס של כ-23.2 ₪ לטון CO2e. עלות מדחסי VSD (כ-2.1 מיליון ₪) אינה נכללת ביחס זה: הטכנולוגיה אינה תוספתית, כל חיסכון שהיה נובע ממנה היה מתרחש גם ללא ההטבה, ואין הצדקה לזקוף את עלותה מול תועלת סביבתית שההטבה לא יצרה. השוואה ליחס המקביל בפרק המענקים טרם בוצעה, ומהווה פעולת המשך נדרשת לפני גיבוש המסקנה הכלכלית הסופית של הפרק - שני הפרקים צריכים להשתמש באותה אמת מידה (יחס ₪ לטון CO2e ושיעור היוון זהה) כדי שההשוואה תהיה תקפה.</w:t>
      </w:r>
    </w:p>
    <w:p w14:paraId="5D964C8D" w14:textId="77777777" w:rsidR="00DD5918" w:rsidRPr="00F16704" w:rsidRDefault="00DD5918" w:rsidP="007118FF">
      <w:pPr>
        <w:pStyle w:val="a"/>
        <w:numPr>
          <w:ilvl w:val="0"/>
          <w:numId w:val="0"/>
        </w:numPr>
        <w:ind w:left="360" w:hanging="360"/>
      </w:pPr>
    </w:p>
    <w:p w14:paraId="6A039449" w14:textId="77777777" w:rsidR="00DD5918" w:rsidRDefault="00DD5918"/>
    <w:p w14:paraId="265CB745" w14:textId="77777777" w:rsidR="00DD5918" w:rsidRDefault="00DD5918"/>
    <w:p w14:paraId="4DEFAA7B" w14:textId="77777777" w:rsidR="00DD5918" w:rsidRDefault="00DD5918"/>
    <w:p w14:paraId="7E6C1768" w14:textId="77777777" w:rsidR="00DD5918" w:rsidRDefault="00DD5918"/>
    <w:p w14:paraId="13CAF21C" w14:textId="77777777" w:rsidR="00DD5918" w:rsidRDefault="00DD5918"/>
    <w:p w14:paraId="6BB6E36D" w14:textId="77777777" w:rsidR="00DD5918" w:rsidRDefault="00DD5918"/>
    <w:p w14:paraId="623FC2D5" w14:textId="77777777" w:rsidR="00DD5918" w:rsidRDefault="00DD5918"/>
    <w:sectPr w:rsidR="00DD5918" w:rsidSect="009D6BC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5031F" w14:textId="77777777" w:rsidR="00D43DD0" w:rsidRDefault="00D43DD0" w:rsidP="00F16704">
      <w:r>
        <w:separator/>
      </w:r>
    </w:p>
  </w:endnote>
  <w:endnote w:type="continuationSeparator" w:id="0">
    <w:p w14:paraId="6CF52158" w14:textId="77777777" w:rsidR="00D43DD0" w:rsidRDefault="00D43DD0" w:rsidP="00F16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B1"/>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1B54" w14:textId="77777777" w:rsidR="009D6BCF" w:rsidRDefault="009D6BCF">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DDD6D" w14:textId="77777777" w:rsidR="009D6BCF" w:rsidRDefault="009D6BCF">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9C74" w14:textId="77777777" w:rsidR="009D6BCF" w:rsidRDefault="009D6BC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9A2D1" w14:textId="77777777" w:rsidR="00D43DD0" w:rsidRDefault="00D43DD0" w:rsidP="00F16704">
      <w:r>
        <w:separator/>
      </w:r>
    </w:p>
  </w:footnote>
  <w:footnote w:type="continuationSeparator" w:id="0">
    <w:p w14:paraId="3DF7A269" w14:textId="77777777" w:rsidR="00D43DD0" w:rsidRDefault="00D43DD0" w:rsidP="00F16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57C1" w14:textId="77777777" w:rsidR="009D6BCF" w:rsidRDefault="009D6BCF">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B85AD" w14:textId="77777777" w:rsidR="009D6BCF" w:rsidRDefault="009D6BCF">
    <w:pPr>
      <w:pStyle w:val="ae"/>
    </w:pPr>
    <w:r>
      <w:rPr>
        <w:noProof/>
      </w:rPr>
      <w:drawing>
        <wp:anchor distT="0" distB="0" distL="114300" distR="114300" simplePos="0" relativeHeight="251672576" behindDoc="0" locked="0" layoutInCell="1" allowOverlap="1" wp14:anchorId="18CB9B19" wp14:editId="5609C24E">
          <wp:simplePos x="0" y="0"/>
          <wp:positionH relativeFrom="page">
            <wp:align>left</wp:align>
          </wp:positionH>
          <wp:positionV relativeFrom="paragraph">
            <wp:posOffset>-451485</wp:posOffset>
          </wp:positionV>
          <wp:extent cx="7596000" cy="565146"/>
          <wp:effectExtent l="0" t="0" r="0" b="6985"/>
          <wp:wrapNone/>
          <wp:docPr id="132463040"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Gredient-Innerpage.emf"/>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96000" cy="56514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9C775" w14:textId="77777777" w:rsidR="009D6BCF" w:rsidRDefault="009D6BCF">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9DE13FA"/>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FD10E9F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2D2E94C"/>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BC5C9B3C"/>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DC50A3C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E6BAEA"/>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3723958"/>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82D342"/>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F1461F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8BB8BAE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33416F9"/>
    <w:multiLevelType w:val="hybridMultilevel"/>
    <w:tmpl w:val="22BCD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71186E"/>
    <w:multiLevelType w:val="hybridMultilevel"/>
    <w:tmpl w:val="CCE64686"/>
    <w:lvl w:ilvl="0" w:tplc="F89ABF8E">
      <w:start w:val="1"/>
      <w:numFmt w:val="bullet"/>
      <w:lvlText w:val="●"/>
      <w:lvlJc w:val="left"/>
      <w:pPr>
        <w:ind w:left="720" w:hanging="360"/>
      </w:pPr>
    </w:lvl>
    <w:lvl w:ilvl="1" w:tplc="5BB47A86">
      <w:start w:val="1"/>
      <w:numFmt w:val="bullet"/>
      <w:lvlText w:val="○"/>
      <w:lvlJc w:val="left"/>
      <w:pPr>
        <w:ind w:left="1440" w:hanging="360"/>
      </w:pPr>
    </w:lvl>
    <w:lvl w:ilvl="2" w:tplc="FBEAC6A2">
      <w:start w:val="1"/>
      <w:numFmt w:val="bullet"/>
      <w:lvlText w:val="■"/>
      <w:lvlJc w:val="left"/>
      <w:pPr>
        <w:ind w:left="2160" w:hanging="360"/>
      </w:pPr>
    </w:lvl>
    <w:lvl w:ilvl="3" w:tplc="E62E3932">
      <w:start w:val="1"/>
      <w:numFmt w:val="bullet"/>
      <w:lvlText w:val="●"/>
      <w:lvlJc w:val="left"/>
      <w:pPr>
        <w:ind w:left="2880" w:hanging="360"/>
      </w:pPr>
    </w:lvl>
    <w:lvl w:ilvl="4" w:tplc="7BBC475E">
      <w:start w:val="1"/>
      <w:numFmt w:val="bullet"/>
      <w:lvlText w:val="○"/>
      <w:lvlJc w:val="left"/>
      <w:pPr>
        <w:ind w:left="3600" w:hanging="360"/>
      </w:pPr>
    </w:lvl>
    <w:lvl w:ilvl="5" w:tplc="48CC128C">
      <w:start w:val="1"/>
      <w:numFmt w:val="bullet"/>
      <w:lvlText w:val="■"/>
      <w:lvlJc w:val="left"/>
      <w:pPr>
        <w:ind w:left="4320" w:hanging="360"/>
      </w:pPr>
    </w:lvl>
    <w:lvl w:ilvl="6" w:tplc="FA7C019A">
      <w:start w:val="1"/>
      <w:numFmt w:val="bullet"/>
      <w:lvlText w:val="●"/>
      <w:lvlJc w:val="left"/>
      <w:pPr>
        <w:ind w:left="5040" w:hanging="360"/>
      </w:pPr>
    </w:lvl>
    <w:lvl w:ilvl="7" w:tplc="BCEC24C4">
      <w:start w:val="1"/>
      <w:numFmt w:val="bullet"/>
      <w:lvlText w:val="●"/>
      <w:lvlJc w:val="left"/>
      <w:pPr>
        <w:ind w:left="5760" w:hanging="360"/>
      </w:pPr>
    </w:lvl>
    <w:lvl w:ilvl="8" w:tplc="E4C84E8C">
      <w:start w:val="1"/>
      <w:numFmt w:val="bullet"/>
      <w:lvlText w:val="●"/>
      <w:lvlJc w:val="left"/>
      <w:pPr>
        <w:ind w:left="6480" w:hanging="360"/>
      </w:pPr>
    </w:lvl>
  </w:abstractNum>
  <w:abstractNum w:abstractNumId="12" w15:restartNumberingAfterBreak="0">
    <w:nsid w:val="35BC1BB4"/>
    <w:multiLevelType w:val="hybridMultilevel"/>
    <w:tmpl w:val="003C4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6E1623"/>
    <w:multiLevelType w:val="multilevel"/>
    <w:tmpl w:val="04090023"/>
    <w:styleLink w:val="a1"/>
    <w:lvl w:ilvl="0">
      <w:start w:val="1"/>
      <w:numFmt w:val="upperRoman"/>
      <w:lvlText w:val="מאמר %1."/>
      <w:lvlJc w:val="left"/>
      <w:pPr>
        <w:ind w:left="0" w:firstLine="0"/>
      </w:pPr>
    </w:lvl>
    <w:lvl w:ilvl="1">
      <w:start w:val="1"/>
      <w:numFmt w:val="decimalZero"/>
      <w:isLgl/>
      <w:lvlText w:val="סעיף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E36E42"/>
    <w:multiLevelType w:val="multilevel"/>
    <w:tmpl w:val="DCA6574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F182D86"/>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2ED492A"/>
    <w:multiLevelType w:val="hybridMultilevel"/>
    <w:tmpl w:val="396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5819BC"/>
    <w:multiLevelType w:val="hybridMultilevel"/>
    <w:tmpl w:val="EC2A8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247DA8"/>
    <w:multiLevelType w:val="hybridMultilevel"/>
    <w:tmpl w:val="E5662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103D0A"/>
    <w:multiLevelType w:val="hybridMultilevel"/>
    <w:tmpl w:val="E166A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B90952"/>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4134986">
    <w:abstractNumId w:val="11"/>
    <w:lvlOverride w:ilvl="0">
      <w:startOverride w:val="1"/>
    </w:lvlOverride>
  </w:num>
  <w:num w:numId="2" w16cid:durableId="2090928401">
    <w:abstractNumId w:val="20"/>
  </w:num>
  <w:num w:numId="3" w16cid:durableId="913971663">
    <w:abstractNumId w:val="15"/>
  </w:num>
  <w:num w:numId="4" w16cid:durableId="1095981106">
    <w:abstractNumId w:val="13"/>
  </w:num>
  <w:num w:numId="5" w16cid:durableId="13390249">
    <w:abstractNumId w:val="8"/>
  </w:num>
  <w:num w:numId="6" w16cid:durableId="2091341738">
    <w:abstractNumId w:val="3"/>
  </w:num>
  <w:num w:numId="7" w16cid:durableId="400564117">
    <w:abstractNumId w:val="2"/>
  </w:num>
  <w:num w:numId="8" w16cid:durableId="1711688051">
    <w:abstractNumId w:val="1"/>
  </w:num>
  <w:num w:numId="9" w16cid:durableId="1557548638">
    <w:abstractNumId w:val="0"/>
  </w:num>
  <w:num w:numId="10" w16cid:durableId="94594209">
    <w:abstractNumId w:val="9"/>
  </w:num>
  <w:num w:numId="11" w16cid:durableId="1103839662">
    <w:abstractNumId w:val="7"/>
  </w:num>
  <w:num w:numId="12" w16cid:durableId="1305696394">
    <w:abstractNumId w:val="6"/>
  </w:num>
  <w:num w:numId="13" w16cid:durableId="1211922504">
    <w:abstractNumId w:val="5"/>
  </w:num>
  <w:num w:numId="14" w16cid:durableId="1688828218">
    <w:abstractNumId w:val="4"/>
  </w:num>
  <w:num w:numId="15" w16cid:durableId="1662002486">
    <w:abstractNumId w:val="16"/>
  </w:num>
  <w:num w:numId="16" w16cid:durableId="1916433078">
    <w:abstractNumId w:val="10"/>
  </w:num>
  <w:num w:numId="17" w16cid:durableId="1368028168">
    <w:abstractNumId w:val="12"/>
  </w:num>
  <w:num w:numId="18" w16cid:durableId="259996114">
    <w:abstractNumId w:val="18"/>
  </w:num>
  <w:num w:numId="19" w16cid:durableId="1954899894">
    <w:abstractNumId w:val="19"/>
  </w:num>
  <w:num w:numId="20" w16cid:durableId="536430725">
    <w:abstractNumId w:val="17"/>
  </w:num>
  <w:num w:numId="21" w16cid:durableId="4458069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82C"/>
    <w:rsid w:val="00000256"/>
    <w:rsid w:val="00013676"/>
    <w:rsid w:val="0002300D"/>
    <w:rsid w:val="00023899"/>
    <w:rsid w:val="00047B6F"/>
    <w:rsid w:val="00065A07"/>
    <w:rsid w:val="000916A9"/>
    <w:rsid w:val="000B44C6"/>
    <w:rsid w:val="0011482C"/>
    <w:rsid w:val="00116574"/>
    <w:rsid w:val="00134A0B"/>
    <w:rsid w:val="00175B5B"/>
    <w:rsid w:val="00203F73"/>
    <w:rsid w:val="00205CBC"/>
    <w:rsid w:val="00210810"/>
    <w:rsid w:val="00217BE5"/>
    <w:rsid w:val="00264582"/>
    <w:rsid w:val="002F3680"/>
    <w:rsid w:val="0034648F"/>
    <w:rsid w:val="00354650"/>
    <w:rsid w:val="003546B2"/>
    <w:rsid w:val="003B0AA5"/>
    <w:rsid w:val="003D2085"/>
    <w:rsid w:val="004205F6"/>
    <w:rsid w:val="00426E42"/>
    <w:rsid w:val="00440209"/>
    <w:rsid w:val="00456621"/>
    <w:rsid w:val="00470CC4"/>
    <w:rsid w:val="004765E5"/>
    <w:rsid w:val="004950DB"/>
    <w:rsid w:val="004D277A"/>
    <w:rsid w:val="004F3A29"/>
    <w:rsid w:val="00550CEC"/>
    <w:rsid w:val="005569E1"/>
    <w:rsid w:val="0056059B"/>
    <w:rsid w:val="0056350B"/>
    <w:rsid w:val="00576EE5"/>
    <w:rsid w:val="00587264"/>
    <w:rsid w:val="005966DD"/>
    <w:rsid w:val="00652BAB"/>
    <w:rsid w:val="00664E9F"/>
    <w:rsid w:val="00667C2A"/>
    <w:rsid w:val="006D076D"/>
    <w:rsid w:val="006E51F5"/>
    <w:rsid w:val="00700742"/>
    <w:rsid w:val="007118FF"/>
    <w:rsid w:val="00717B07"/>
    <w:rsid w:val="00721B17"/>
    <w:rsid w:val="007908A3"/>
    <w:rsid w:val="007A3677"/>
    <w:rsid w:val="008133F2"/>
    <w:rsid w:val="00817025"/>
    <w:rsid w:val="008341AD"/>
    <w:rsid w:val="00843705"/>
    <w:rsid w:val="00850848"/>
    <w:rsid w:val="00852CDB"/>
    <w:rsid w:val="00887BFD"/>
    <w:rsid w:val="008D6D2C"/>
    <w:rsid w:val="008D6FA7"/>
    <w:rsid w:val="00933928"/>
    <w:rsid w:val="00963C65"/>
    <w:rsid w:val="00973C25"/>
    <w:rsid w:val="00980355"/>
    <w:rsid w:val="00980C39"/>
    <w:rsid w:val="00997FB6"/>
    <w:rsid w:val="009C0CDE"/>
    <w:rsid w:val="009D6BCF"/>
    <w:rsid w:val="009E1F17"/>
    <w:rsid w:val="009F4ACD"/>
    <w:rsid w:val="00A07DDA"/>
    <w:rsid w:val="00A82E93"/>
    <w:rsid w:val="00A96166"/>
    <w:rsid w:val="00AC4873"/>
    <w:rsid w:val="00AE34A1"/>
    <w:rsid w:val="00B61BD5"/>
    <w:rsid w:val="00B827FF"/>
    <w:rsid w:val="00B96C04"/>
    <w:rsid w:val="00C206EA"/>
    <w:rsid w:val="00C215E6"/>
    <w:rsid w:val="00C578A0"/>
    <w:rsid w:val="00C60976"/>
    <w:rsid w:val="00C95A2C"/>
    <w:rsid w:val="00CC0562"/>
    <w:rsid w:val="00CC3C8C"/>
    <w:rsid w:val="00CC3F6D"/>
    <w:rsid w:val="00CD1FB0"/>
    <w:rsid w:val="00D0560A"/>
    <w:rsid w:val="00D07BCF"/>
    <w:rsid w:val="00D14906"/>
    <w:rsid w:val="00D247F2"/>
    <w:rsid w:val="00D42EA7"/>
    <w:rsid w:val="00D43DD0"/>
    <w:rsid w:val="00D513C5"/>
    <w:rsid w:val="00D55C2D"/>
    <w:rsid w:val="00DA15DD"/>
    <w:rsid w:val="00DD06EF"/>
    <w:rsid w:val="00DD5918"/>
    <w:rsid w:val="00E12B09"/>
    <w:rsid w:val="00E27B57"/>
    <w:rsid w:val="00E42408"/>
    <w:rsid w:val="00E62820"/>
    <w:rsid w:val="00E93C3C"/>
    <w:rsid w:val="00E9402D"/>
    <w:rsid w:val="00ED2083"/>
    <w:rsid w:val="00EE1ACC"/>
    <w:rsid w:val="00EF1B96"/>
    <w:rsid w:val="00F16704"/>
    <w:rsid w:val="00F90227"/>
    <w:rsid w:val="00F9421A"/>
    <w:rsid w:val="00FB5BA1"/>
    <w:rsid w:val="00FC5382"/>
    <w:rsid w:val="00FC7204"/>
    <w:rsid w:val="00FD2516"/>
    <w:rsid w:val="00FE5B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F6149"/>
  <w15:docId w15:val="{40CF911C-FC6E-48C6-80F3-A33337C4A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9D6BCF"/>
    <w:pPr>
      <w:bidi/>
    </w:pPr>
  </w:style>
  <w:style w:type="paragraph" w:styleId="1">
    <w:name w:val="heading 1"/>
    <w:uiPriority w:val="9"/>
    <w:qFormat/>
    <w:rsid w:val="009D6BCF"/>
    <w:pPr>
      <w:outlineLvl w:val="0"/>
    </w:pPr>
    <w:rPr>
      <w:color w:val="2E74B5"/>
      <w:sz w:val="32"/>
      <w:szCs w:val="32"/>
    </w:rPr>
  </w:style>
  <w:style w:type="paragraph" w:styleId="21">
    <w:name w:val="heading 2"/>
    <w:uiPriority w:val="9"/>
    <w:unhideWhenUsed/>
    <w:qFormat/>
    <w:rsid w:val="009D6BCF"/>
    <w:pPr>
      <w:outlineLvl w:val="1"/>
    </w:pPr>
    <w:rPr>
      <w:color w:val="2E74B5"/>
      <w:sz w:val="26"/>
      <w:szCs w:val="26"/>
    </w:rPr>
  </w:style>
  <w:style w:type="paragraph" w:styleId="31">
    <w:name w:val="heading 3"/>
    <w:uiPriority w:val="9"/>
    <w:semiHidden/>
    <w:unhideWhenUsed/>
    <w:qFormat/>
    <w:rsid w:val="009D6BCF"/>
    <w:pPr>
      <w:outlineLvl w:val="2"/>
    </w:pPr>
    <w:rPr>
      <w:color w:val="1F4D78"/>
      <w:sz w:val="24"/>
      <w:szCs w:val="24"/>
    </w:rPr>
  </w:style>
  <w:style w:type="paragraph" w:styleId="41">
    <w:name w:val="heading 4"/>
    <w:uiPriority w:val="9"/>
    <w:semiHidden/>
    <w:unhideWhenUsed/>
    <w:qFormat/>
    <w:rsid w:val="009D6BCF"/>
    <w:pPr>
      <w:outlineLvl w:val="3"/>
    </w:pPr>
    <w:rPr>
      <w:i/>
      <w:iCs/>
      <w:color w:val="2E74B5"/>
    </w:rPr>
  </w:style>
  <w:style w:type="paragraph" w:styleId="51">
    <w:name w:val="heading 5"/>
    <w:uiPriority w:val="9"/>
    <w:semiHidden/>
    <w:unhideWhenUsed/>
    <w:qFormat/>
    <w:rsid w:val="009D6BCF"/>
    <w:pPr>
      <w:outlineLvl w:val="4"/>
    </w:pPr>
    <w:rPr>
      <w:color w:val="2E74B5"/>
    </w:rPr>
  </w:style>
  <w:style w:type="paragraph" w:styleId="6">
    <w:name w:val="heading 6"/>
    <w:uiPriority w:val="9"/>
    <w:semiHidden/>
    <w:unhideWhenUsed/>
    <w:qFormat/>
    <w:rsid w:val="009D6BCF"/>
    <w:pPr>
      <w:outlineLvl w:val="5"/>
    </w:pPr>
    <w:rPr>
      <w:color w:val="1F4D78"/>
    </w:rPr>
  </w:style>
  <w:style w:type="paragraph" w:styleId="7">
    <w:name w:val="heading 7"/>
    <w:basedOn w:val="a2"/>
    <w:next w:val="a2"/>
    <w:link w:val="70"/>
    <w:uiPriority w:val="9"/>
    <w:semiHidden/>
    <w:unhideWhenUsed/>
    <w:qFormat/>
    <w:rsid w:val="009D6BCF"/>
    <w:pPr>
      <w:keepNext/>
      <w:keepLines/>
      <w:spacing w:before="40"/>
      <w:outlineLvl w:val="6"/>
    </w:pPr>
    <w:rPr>
      <w:rFonts w:asciiTheme="majorHAnsi" w:eastAsiaTheme="majorEastAsia" w:hAnsiTheme="majorHAnsi" w:cstheme="majorBidi"/>
      <w:i/>
      <w:iCs/>
      <w:color w:val="0A2F40" w:themeColor="accent1" w:themeShade="7F"/>
    </w:rPr>
  </w:style>
  <w:style w:type="paragraph" w:styleId="8">
    <w:name w:val="heading 8"/>
    <w:basedOn w:val="a2"/>
    <w:next w:val="a2"/>
    <w:link w:val="80"/>
    <w:uiPriority w:val="9"/>
    <w:semiHidden/>
    <w:unhideWhenUsed/>
    <w:qFormat/>
    <w:rsid w:val="009D6BC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2"/>
    <w:next w:val="a2"/>
    <w:link w:val="90"/>
    <w:uiPriority w:val="9"/>
    <w:semiHidden/>
    <w:unhideWhenUsed/>
    <w:qFormat/>
    <w:rsid w:val="009D6BC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Title"/>
    <w:uiPriority w:val="10"/>
    <w:qFormat/>
    <w:rsid w:val="009D6BCF"/>
    <w:rPr>
      <w:sz w:val="56"/>
      <w:szCs w:val="56"/>
    </w:rPr>
  </w:style>
  <w:style w:type="paragraph" w:customStyle="1" w:styleId="10">
    <w:name w:val="חזק1"/>
    <w:qFormat/>
    <w:rsid w:val="009D6BCF"/>
    <w:rPr>
      <w:b/>
      <w:bCs/>
    </w:rPr>
  </w:style>
  <w:style w:type="paragraph" w:styleId="a7">
    <w:name w:val="List Paragraph"/>
    <w:qFormat/>
    <w:rsid w:val="009D6BCF"/>
  </w:style>
  <w:style w:type="character" w:styleId="Hyperlink">
    <w:name w:val="Hyperlink"/>
    <w:uiPriority w:val="99"/>
    <w:unhideWhenUsed/>
    <w:rsid w:val="009D6BCF"/>
    <w:rPr>
      <w:color w:val="0563C1"/>
      <w:u w:val="single"/>
    </w:rPr>
  </w:style>
  <w:style w:type="character" w:styleId="a8">
    <w:name w:val="footnote reference"/>
    <w:uiPriority w:val="99"/>
    <w:semiHidden/>
    <w:unhideWhenUsed/>
    <w:rsid w:val="009D6BCF"/>
    <w:rPr>
      <w:vertAlign w:val="superscript"/>
    </w:rPr>
  </w:style>
  <w:style w:type="paragraph" w:styleId="a9">
    <w:name w:val="footnote text"/>
    <w:link w:val="aa"/>
    <w:uiPriority w:val="99"/>
    <w:semiHidden/>
    <w:unhideWhenUsed/>
    <w:rsid w:val="009D6BCF"/>
    <w:rPr>
      <w:sz w:val="20"/>
      <w:szCs w:val="20"/>
    </w:rPr>
  </w:style>
  <w:style w:type="character" w:customStyle="1" w:styleId="aa">
    <w:name w:val="טקסט הערת שוליים תו"/>
    <w:link w:val="a9"/>
    <w:uiPriority w:val="99"/>
    <w:semiHidden/>
    <w:unhideWhenUsed/>
    <w:rsid w:val="009D6BCF"/>
    <w:rPr>
      <w:sz w:val="20"/>
      <w:szCs w:val="20"/>
    </w:rPr>
  </w:style>
  <w:style w:type="character" w:styleId="ab">
    <w:name w:val="endnote reference"/>
    <w:uiPriority w:val="99"/>
    <w:semiHidden/>
    <w:unhideWhenUsed/>
    <w:rsid w:val="009D6BCF"/>
    <w:rPr>
      <w:vertAlign w:val="superscript"/>
    </w:rPr>
  </w:style>
  <w:style w:type="paragraph" w:styleId="ac">
    <w:name w:val="endnote text"/>
    <w:link w:val="ad"/>
    <w:uiPriority w:val="99"/>
    <w:semiHidden/>
    <w:unhideWhenUsed/>
    <w:rsid w:val="009D6BCF"/>
    <w:rPr>
      <w:sz w:val="20"/>
      <w:szCs w:val="20"/>
    </w:rPr>
  </w:style>
  <w:style w:type="character" w:customStyle="1" w:styleId="ad">
    <w:name w:val="טקסט הערת סיום תו"/>
    <w:link w:val="ac"/>
    <w:uiPriority w:val="99"/>
    <w:semiHidden/>
    <w:unhideWhenUsed/>
    <w:rsid w:val="009D6BCF"/>
    <w:rPr>
      <w:sz w:val="20"/>
      <w:szCs w:val="20"/>
    </w:rPr>
  </w:style>
  <w:style w:type="paragraph" w:styleId="ae">
    <w:name w:val="header"/>
    <w:basedOn w:val="a2"/>
    <w:link w:val="af"/>
    <w:uiPriority w:val="99"/>
    <w:unhideWhenUsed/>
    <w:rsid w:val="009D6BCF"/>
    <w:pPr>
      <w:tabs>
        <w:tab w:val="center" w:pos="4153"/>
        <w:tab w:val="right" w:pos="8306"/>
      </w:tabs>
    </w:pPr>
  </w:style>
  <w:style w:type="character" w:customStyle="1" w:styleId="af">
    <w:name w:val="כותרת עליונה תו"/>
    <w:basedOn w:val="a3"/>
    <w:link w:val="ae"/>
    <w:uiPriority w:val="99"/>
    <w:rsid w:val="009D6BCF"/>
  </w:style>
  <w:style w:type="paragraph" w:styleId="af0">
    <w:name w:val="footer"/>
    <w:basedOn w:val="a2"/>
    <w:link w:val="af1"/>
    <w:uiPriority w:val="99"/>
    <w:unhideWhenUsed/>
    <w:rsid w:val="009D6BCF"/>
    <w:pPr>
      <w:tabs>
        <w:tab w:val="center" w:pos="4153"/>
        <w:tab w:val="right" w:pos="8306"/>
      </w:tabs>
    </w:pPr>
  </w:style>
  <w:style w:type="character" w:customStyle="1" w:styleId="af1">
    <w:name w:val="כותרת תחתונה תו"/>
    <w:basedOn w:val="a3"/>
    <w:link w:val="af0"/>
    <w:uiPriority w:val="99"/>
    <w:rsid w:val="009D6BCF"/>
  </w:style>
  <w:style w:type="numbering" w:styleId="111111">
    <w:name w:val="Outline List 2"/>
    <w:basedOn w:val="a5"/>
    <w:uiPriority w:val="99"/>
    <w:semiHidden/>
    <w:unhideWhenUsed/>
    <w:rsid w:val="009D6BCF"/>
    <w:pPr>
      <w:numPr>
        <w:numId w:val="2"/>
      </w:numPr>
    </w:pPr>
  </w:style>
  <w:style w:type="numbering" w:styleId="1ai">
    <w:name w:val="Outline List 1"/>
    <w:basedOn w:val="a5"/>
    <w:uiPriority w:val="99"/>
    <w:semiHidden/>
    <w:unhideWhenUsed/>
    <w:rsid w:val="009D6BCF"/>
    <w:pPr>
      <w:numPr>
        <w:numId w:val="3"/>
      </w:numPr>
    </w:pPr>
  </w:style>
  <w:style w:type="character" w:styleId="FollowedHyperlink">
    <w:name w:val="FollowedHyperlink"/>
    <w:basedOn w:val="a3"/>
    <w:uiPriority w:val="99"/>
    <w:semiHidden/>
    <w:unhideWhenUsed/>
    <w:rsid w:val="009D6BCF"/>
    <w:rPr>
      <w:color w:val="96607D" w:themeColor="followedHyperlink"/>
      <w:u w:val="single"/>
    </w:rPr>
  </w:style>
  <w:style w:type="character" w:styleId="HTMLCite">
    <w:name w:val="HTML Cite"/>
    <w:basedOn w:val="a3"/>
    <w:uiPriority w:val="99"/>
    <w:semiHidden/>
    <w:unhideWhenUsed/>
    <w:rsid w:val="009D6BCF"/>
    <w:rPr>
      <w:i/>
      <w:iCs/>
    </w:rPr>
  </w:style>
  <w:style w:type="character" w:styleId="HTMLCode">
    <w:name w:val="HTML Code"/>
    <w:basedOn w:val="a3"/>
    <w:uiPriority w:val="99"/>
    <w:semiHidden/>
    <w:unhideWhenUsed/>
    <w:rsid w:val="009D6BCF"/>
    <w:rPr>
      <w:rFonts w:ascii="Consolas" w:hAnsi="Consolas"/>
      <w:sz w:val="20"/>
      <w:szCs w:val="20"/>
    </w:rPr>
  </w:style>
  <w:style w:type="character" w:styleId="HTMLDefinition">
    <w:name w:val="HTML Definition"/>
    <w:basedOn w:val="a3"/>
    <w:uiPriority w:val="99"/>
    <w:semiHidden/>
    <w:unhideWhenUsed/>
    <w:rsid w:val="009D6BCF"/>
    <w:rPr>
      <w:i/>
      <w:iCs/>
    </w:rPr>
  </w:style>
  <w:style w:type="character" w:styleId="HTMLVariable">
    <w:name w:val="HTML Variable"/>
    <w:basedOn w:val="a3"/>
    <w:uiPriority w:val="99"/>
    <w:semiHidden/>
    <w:unhideWhenUsed/>
    <w:rsid w:val="009D6BCF"/>
    <w:rPr>
      <w:i/>
      <w:iCs/>
    </w:rPr>
  </w:style>
  <w:style w:type="paragraph" w:styleId="HTML">
    <w:name w:val="HTML Preformatted"/>
    <w:basedOn w:val="a2"/>
    <w:link w:val="HTML0"/>
    <w:uiPriority w:val="99"/>
    <w:semiHidden/>
    <w:unhideWhenUsed/>
    <w:rsid w:val="009D6BCF"/>
    <w:rPr>
      <w:rFonts w:ascii="Consolas" w:hAnsi="Consolas"/>
      <w:sz w:val="20"/>
      <w:szCs w:val="20"/>
    </w:rPr>
  </w:style>
  <w:style w:type="character" w:customStyle="1" w:styleId="HTML0">
    <w:name w:val="HTML מעוצב מראש תו"/>
    <w:basedOn w:val="a3"/>
    <w:link w:val="HTML"/>
    <w:uiPriority w:val="99"/>
    <w:semiHidden/>
    <w:rsid w:val="009D6BCF"/>
    <w:rPr>
      <w:rFonts w:ascii="Consolas" w:hAnsi="Consolas"/>
      <w:sz w:val="20"/>
      <w:szCs w:val="20"/>
    </w:rPr>
  </w:style>
  <w:style w:type="paragraph" w:styleId="Index1">
    <w:name w:val="index 1"/>
    <w:basedOn w:val="a2"/>
    <w:next w:val="a2"/>
    <w:autoRedefine/>
    <w:uiPriority w:val="99"/>
    <w:semiHidden/>
    <w:unhideWhenUsed/>
    <w:rsid w:val="009D6BCF"/>
    <w:pPr>
      <w:ind w:left="220" w:hanging="220"/>
    </w:pPr>
  </w:style>
  <w:style w:type="paragraph" w:styleId="Index2">
    <w:name w:val="index 2"/>
    <w:basedOn w:val="a2"/>
    <w:next w:val="a2"/>
    <w:autoRedefine/>
    <w:uiPriority w:val="99"/>
    <w:semiHidden/>
    <w:unhideWhenUsed/>
    <w:rsid w:val="009D6BCF"/>
    <w:pPr>
      <w:ind w:left="440" w:hanging="220"/>
    </w:pPr>
  </w:style>
  <w:style w:type="paragraph" w:styleId="Index3">
    <w:name w:val="index 3"/>
    <w:basedOn w:val="a2"/>
    <w:next w:val="a2"/>
    <w:autoRedefine/>
    <w:uiPriority w:val="99"/>
    <w:semiHidden/>
    <w:unhideWhenUsed/>
    <w:rsid w:val="009D6BCF"/>
    <w:pPr>
      <w:ind w:left="660" w:hanging="220"/>
    </w:pPr>
  </w:style>
  <w:style w:type="paragraph" w:styleId="Index4">
    <w:name w:val="index 4"/>
    <w:basedOn w:val="a2"/>
    <w:next w:val="a2"/>
    <w:autoRedefine/>
    <w:uiPriority w:val="99"/>
    <w:semiHidden/>
    <w:unhideWhenUsed/>
    <w:rsid w:val="009D6BCF"/>
    <w:pPr>
      <w:ind w:left="880" w:hanging="220"/>
    </w:pPr>
  </w:style>
  <w:style w:type="paragraph" w:styleId="Index5">
    <w:name w:val="index 5"/>
    <w:basedOn w:val="a2"/>
    <w:next w:val="a2"/>
    <w:autoRedefine/>
    <w:uiPriority w:val="99"/>
    <w:semiHidden/>
    <w:unhideWhenUsed/>
    <w:rsid w:val="009D6BCF"/>
    <w:pPr>
      <w:ind w:left="1100" w:hanging="220"/>
    </w:pPr>
  </w:style>
  <w:style w:type="paragraph" w:styleId="Index6">
    <w:name w:val="index 6"/>
    <w:basedOn w:val="a2"/>
    <w:next w:val="a2"/>
    <w:autoRedefine/>
    <w:uiPriority w:val="99"/>
    <w:semiHidden/>
    <w:unhideWhenUsed/>
    <w:rsid w:val="009D6BCF"/>
    <w:pPr>
      <w:ind w:left="1320" w:hanging="220"/>
    </w:pPr>
  </w:style>
  <w:style w:type="paragraph" w:styleId="Index7">
    <w:name w:val="index 7"/>
    <w:basedOn w:val="a2"/>
    <w:next w:val="a2"/>
    <w:autoRedefine/>
    <w:uiPriority w:val="99"/>
    <w:semiHidden/>
    <w:unhideWhenUsed/>
    <w:rsid w:val="009D6BCF"/>
    <w:pPr>
      <w:ind w:left="1540" w:hanging="220"/>
    </w:pPr>
  </w:style>
  <w:style w:type="paragraph" w:styleId="Index8">
    <w:name w:val="index 8"/>
    <w:basedOn w:val="a2"/>
    <w:next w:val="a2"/>
    <w:autoRedefine/>
    <w:uiPriority w:val="99"/>
    <w:semiHidden/>
    <w:unhideWhenUsed/>
    <w:rsid w:val="009D6BCF"/>
    <w:pPr>
      <w:ind w:left="1760" w:hanging="220"/>
    </w:pPr>
  </w:style>
  <w:style w:type="paragraph" w:styleId="Index9">
    <w:name w:val="index 9"/>
    <w:basedOn w:val="a2"/>
    <w:next w:val="a2"/>
    <w:autoRedefine/>
    <w:uiPriority w:val="99"/>
    <w:semiHidden/>
    <w:unhideWhenUsed/>
    <w:rsid w:val="009D6BCF"/>
    <w:pPr>
      <w:ind w:left="1980" w:hanging="220"/>
    </w:pPr>
  </w:style>
  <w:style w:type="paragraph" w:styleId="NormalWeb">
    <w:name w:val="Normal (Web)"/>
    <w:basedOn w:val="a2"/>
    <w:uiPriority w:val="99"/>
    <w:semiHidden/>
    <w:unhideWhenUsed/>
    <w:rsid w:val="009D6BCF"/>
    <w:rPr>
      <w:rFonts w:ascii="Times New Roman" w:hAnsi="Times New Roman" w:cs="Times New Roman"/>
      <w:sz w:val="24"/>
      <w:szCs w:val="24"/>
    </w:rPr>
  </w:style>
  <w:style w:type="paragraph" w:styleId="TOC1">
    <w:name w:val="toc 1"/>
    <w:basedOn w:val="a2"/>
    <w:next w:val="a2"/>
    <w:autoRedefine/>
    <w:uiPriority w:val="39"/>
    <w:semiHidden/>
    <w:unhideWhenUsed/>
    <w:rsid w:val="009D6BCF"/>
    <w:pPr>
      <w:spacing w:after="100"/>
    </w:pPr>
  </w:style>
  <w:style w:type="paragraph" w:styleId="TOC2">
    <w:name w:val="toc 2"/>
    <w:basedOn w:val="a2"/>
    <w:next w:val="a2"/>
    <w:autoRedefine/>
    <w:uiPriority w:val="39"/>
    <w:semiHidden/>
    <w:unhideWhenUsed/>
    <w:rsid w:val="009D6BCF"/>
    <w:pPr>
      <w:spacing w:after="100"/>
      <w:ind w:left="220"/>
    </w:pPr>
  </w:style>
  <w:style w:type="paragraph" w:styleId="TOC3">
    <w:name w:val="toc 3"/>
    <w:basedOn w:val="a2"/>
    <w:next w:val="a2"/>
    <w:autoRedefine/>
    <w:uiPriority w:val="39"/>
    <w:semiHidden/>
    <w:unhideWhenUsed/>
    <w:rsid w:val="009D6BCF"/>
    <w:pPr>
      <w:spacing w:after="100"/>
      <w:ind w:left="440"/>
    </w:pPr>
  </w:style>
  <w:style w:type="paragraph" w:styleId="TOC4">
    <w:name w:val="toc 4"/>
    <w:basedOn w:val="a2"/>
    <w:next w:val="a2"/>
    <w:autoRedefine/>
    <w:uiPriority w:val="39"/>
    <w:semiHidden/>
    <w:unhideWhenUsed/>
    <w:rsid w:val="009D6BCF"/>
    <w:pPr>
      <w:spacing w:after="100"/>
      <w:ind w:left="660"/>
    </w:pPr>
  </w:style>
  <w:style w:type="paragraph" w:styleId="TOC5">
    <w:name w:val="toc 5"/>
    <w:basedOn w:val="a2"/>
    <w:next w:val="a2"/>
    <w:autoRedefine/>
    <w:uiPriority w:val="39"/>
    <w:semiHidden/>
    <w:unhideWhenUsed/>
    <w:rsid w:val="009D6BCF"/>
    <w:pPr>
      <w:spacing w:after="100"/>
      <w:ind w:left="880"/>
    </w:pPr>
  </w:style>
  <w:style w:type="paragraph" w:styleId="TOC6">
    <w:name w:val="toc 6"/>
    <w:basedOn w:val="a2"/>
    <w:next w:val="a2"/>
    <w:autoRedefine/>
    <w:uiPriority w:val="39"/>
    <w:semiHidden/>
    <w:unhideWhenUsed/>
    <w:rsid w:val="009D6BCF"/>
    <w:pPr>
      <w:spacing w:after="100"/>
      <w:ind w:left="1100"/>
    </w:pPr>
  </w:style>
  <w:style w:type="paragraph" w:styleId="TOC7">
    <w:name w:val="toc 7"/>
    <w:basedOn w:val="a2"/>
    <w:next w:val="a2"/>
    <w:autoRedefine/>
    <w:uiPriority w:val="39"/>
    <w:semiHidden/>
    <w:unhideWhenUsed/>
    <w:rsid w:val="009D6BCF"/>
    <w:pPr>
      <w:spacing w:after="100"/>
      <w:ind w:left="1320"/>
    </w:pPr>
  </w:style>
  <w:style w:type="paragraph" w:styleId="TOC8">
    <w:name w:val="toc 8"/>
    <w:basedOn w:val="a2"/>
    <w:next w:val="a2"/>
    <w:autoRedefine/>
    <w:uiPriority w:val="39"/>
    <w:semiHidden/>
    <w:unhideWhenUsed/>
    <w:rsid w:val="009D6BCF"/>
    <w:pPr>
      <w:spacing w:after="100"/>
      <w:ind w:left="1540"/>
    </w:pPr>
  </w:style>
  <w:style w:type="paragraph" w:styleId="TOC9">
    <w:name w:val="toc 9"/>
    <w:basedOn w:val="a2"/>
    <w:next w:val="a2"/>
    <w:autoRedefine/>
    <w:uiPriority w:val="39"/>
    <w:semiHidden/>
    <w:unhideWhenUsed/>
    <w:rsid w:val="009D6BCF"/>
    <w:pPr>
      <w:spacing w:after="100"/>
      <w:ind w:left="1760"/>
    </w:pPr>
  </w:style>
  <w:style w:type="character" w:styleId="af2">
    <w:name w:val="Unresolved Mention"/>
    <w:basedOn w:val="a3"/>
    <w:uiPriority w:val="99"/>
    <w:semiHidden/>
    <w:unhideWhenUsed/>
    <w:rsid w:val="009D6BCF"/>
    <w:rPr>
      <w:color w:val="605E5C"/>
      <w:shd w:val="clear" w:color="auto" w:fill="E1DFDD"/>
    </w:rPr>
  </w:style>
  <w:style w:type="table" w:styleId="-1">
    <w:name w:val="Table 3D effects 1"/>
    <w:basedOn w:val="a4"/>
    <w:uiPriority w:val="99"/>
    <w:semiHidden/>
    <w:unhideWhenUsed/>
    <w:rsid w:val="009D6BCF"/>
    <w:pPr>
      <w:bidi/>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
    <w:name w:val="Table 3D effects 2"/>
    <w:basedOn w:val="a4"/>
    <w:uiPriority w:val="99"/>
    <w:semiHidden/>
    <w:unhideWhenUsed/>
    <w:rsid w:val="009D6BCF"/>
    <w:pPr>
      <w:bidi/>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3D effects 3"/>
    <w:basedOn w:val="a4"/>
    <w:uiPriority w:val="99"/>
    <w:semiHidden/>
    <w:unhideWhenUsed/>
    <w:rsid w:val="009D6BCF"/>
    <w:pPr>
      <w:bidi/>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3">
    <w:name w:val="Bibliography"/>
    <w:basedOn w:val="a2"/>
    <w:next w:val="a2"/>
    <w:uiPriority w:val="37"/>
    <w:semiHidden/>
    <w:unhideWhenUsed/>
    <w:rsid w:val="009D6BCF"/>
  </w:style>
  <w:style w:type="paragraph" w:styleId="af4">
    <w:name w:val="Salutation"/>
    <w:basedOn w:val="a2"/>
    <w:next w:val="a2"/>
    <w:link w:val="af5"/>
    <w:uiPriority w:val="99"/>
    <w:semiHidden/>
    <w:unhideWhenUsed/>
    <w:rsid w:val="009D6BCF"/>
  </w:style>
  <w:style w:type="character" w:customStyle="1" w:styleId="af5">
    <w:name w:val="ברכה תו"/>
    <w:basedOn w:val="a3"/>
    <w:link w:val="af4"/>
    <w:uiPriority w:val="99"/>
    <w:semiHidden/>
    <w:rsid w:val="009D6BCF"/>
  </w:style>
  <w:style w:type="paragraph" w:styleId="af6">
    <w:name w:val="Body Text"/>
    <w:basedOn w:val="a2"/>
    <w:link w:val="af7"/>
    <w:uiPriority w:val="99"/>
    <w:semiHidden/>
    <w:unhideWhenUsed/>
    <w:rsid w:val="009D6BCF"/>
    <w:pPr>
      <w:spacing w:after="120"/>
    </w:pPr>
  </w:style>
  <w:style w:type="character" w:customStyle="1" w:styleId="af7">
    <w:name w:val="גוף טקסט תו"/>
    <w:basedOn w:val="a3"/>
    <w:link w:val="af6"/>
    <w:uiPriority w:val="99"/>
    <w:semiHidden/>
    <w:rsid w:val="009D6BCF"/>
  </w:style>
  <w:style w:type="paragraph" w:styleId="22">
    <w:name w:val="Body Text 2"/>
    <w:basedOn w:val="a2"/>
    <w:link w:val="23"/>
    <w:uiPriority w:val="99"/>
    <w:semiHidden/>
    <w:unhideWhenUsed/>
    <w:rsid w:val="009D6BCF"/>
    <w:pPr>
      <w:spacing w:after="120" w:line="480" w:lineRule="auto"/>
    </w:pPr>
  </w:style>
  <w:style w:type="character" w:customStyle="1" w:styleId="23">
    <w:name w:val="גוף טקסט 2 תו"/>
    <w:basedOn w:val="a3"/>
    <w:link w:val="22"/>
    <w:uiPriority w:val="99"/>
    <w:semiHidden/>
    <w:rsid w:val="009D6BCF"/>
  </w:style>
  <w:style w:type="paragraph" w:styleId="32">
    <w:name w:val="Body Text 3"/>
    <w:basedOn w:val="a2"/>
    <w:link w:val="33"/>
    <w:uiPriority w:val="99"/>
    <w:semiHidden/>
    <w:unhideWhenUsed/>
    <w:rsid w:val="009D6BCF"/>
    <w:pPr>
      <w:spacing w:after="120"/>
    </w:pPr>
    <w:rPr>
      <w:sz w:val="16"/>
      <w:szCs w:val="16"/>
    </w:rPr>
  </w:style>
  <w:style w:type="character" w:customStyle="1" w:styleId="33">
    <w:name w:val="גוף טקסט 3 תו"/>
    <w:basedOn w:val="a3"/>
    <w:link w:val="32"/>
    <w:uiPriority w:val="99"/>
    <w:semiHidden/>
    <w:rsid w:val="009D6BCF"/>
    <w:rPr>
      <w:sz w:val="16"/>
      <w:szCs w:val="16"/>
    </w:rPr>
  </w:style>
  <w:style w:type="character" w:styleId="HTML1">
    <w:name w:val="HTML Sample"/>
    <w:basedOn w:val="a3"/>
    <w:uiPriority w:val="99"/>
    <w:semiHidden/>
    <w:unhideWhenUsed/>
    <w:rsid w:val="009D6BCF"/>
    <w:rPr>
      <w:rFonts w:ascii="Consolas" w:hAnsi="Consolas"/>
      <w:sz w:val="24"/>
      <w:szCs w:val="24"/>
    </w:rPr>
  </w:style>
  <w:style w:type="character" w:styleId="af8">
    <w:name w:val="Emphasis"/>
    <w:basedOn w:val="a3"/>
    <w:uiPriority w:val="20"/>
    <w:qFormat/>
    <w:rsid w:val="009D6BCF"/>
    <w:rPr>
      <w:i/>
      <w:iCs/>
    </w:rPr>
  </w:style>
  <w:style w:type="character" w:styleId="af9">
    <w:name w:val="Intense Emphasis"/>
    <w:basedOn w:val="a3"/>
    <w:uiPriority w:val="21"/>
    <w:qFormat/>
    <w:rsid w:val="009D6BCF"/>
    <w:rPr>
      <w:i/>
      <w:iCs/>
      <w:color w:val="156082" w:themeColor="accent1"/>
    </w:rPr>
  </w:style>
  <w:style w:type="character" w:styleId="afa">
    <w:name w:val="Subtle Emphasis"/>
    <w:basedOn w:val="a3"/>
    <w:uiPriority w:val="19"/>
    <w:qFormat/>
    <w:rsid w:val="009D6BCF"/>
    <w:rPr>
      <w:i/>
      <w:iCs/>
      <w:color w:val="404040" w:themeColor="text1" w:themeTint="BF"/>
    </w:rPr>
  </w:style>
  <w:style w:type="character" w:styleId="afb">
    <w:name w:val="Mention"/>
    <w:basedOn w:val="a3"/>
    <w:uiPriority w:val="99"/>
    <w:semiHidden/>
    <w:unhideWhenUsed/>
    <w:rsid w:val="009D6BCF"/>
    <w:rPr>
      <w:color w:val="2B579A"/>
      <w:shd w:val="clear" w:color="auto" w:fill="E1DFDD"/>
    </w:rPr>
  </w:style>
  <w:style w:type="character" w:styleId="-">
    <w:name w:val="Smart Hyperlink"/>
    <w:basedOn w:val="a3"/>
    <w:uiPriority w:val="99"/>
    <w:semiHidden/>
    <w:unhideWhenUsed/>
    <w:rsid w:val="009D6BCF"/>
    <w:rPr>
      <w:u w:val="dotted"/>
    </w:rPr>
  </w:style>
  <w:style w:type="paragraph" w:styleId="afc">
    <w:name w:val="List Continue"/>
    <w:basedOn w:val="a2"/>
    <w:uiPriority w:val="99"/>
    <w:semiHidden/>
    <w:unhideWhenUsed/>
    <w:rsid w:val="009D6BCF"/>
    <w:pPr>
      <w:spacing w:after="120"/>
      <w:ind w:left="283"/>
      <w:contextualSpacing/>
    </w:pPr>
  </w:style>
  <w:style w:type="paragraph" w:styleId="24">
    <w:name w:val="List Continue 2"/>
    <w:basedOn w:val="a2"/>
    <w:uiPriority w:val="99"/>
    <w:semiHidden/>
    <w:unhideWhenUsed/>
    <w:rsid w:val="009D6BCF"/>
    <w:pPr>
      <w:spacing w:after="120"/>
      <w:ind w:left="566"/>
      <w:contextualSpacing/>
    </w:pPr>
  </w:style>
  <w:style w:type="paragraph" w:styleId="34">
    <w:name w:val="List Continue 3"/>
    <w:basedOn w:val="a2"/>
    <w:uiPriority w:val="99"/>
    <w:semiHidden/>
    <w:unhideWhenUsed/>
    <w:rsid w:val="009D6BCF"/>
    <w:pPr>
      <w:spacing w:after="120"/>
      <w:ind w:left="849"/>
      <w:contextualSpacing/>
    </w:pPr>
  </w:style>
  <w:style w:type="paragraph" w:styleId="42">
    <w:name w:val="List Continue 4"/>
    <w:basedOn w:val="a2"/>
    <w:uiPriority w:val="99"/>
    <w:semiHidden/>
    <w:unhideWhenUsed/>
    <w:rsid w:val="009D6BCF"/>
    <w:pPr>
      <w:spacing w:after="120"/>
      <w:ind w:left="1132"/>
      <w:contextualSpacing/>
    </w:pPr>
  </w:style>
  <w:style w:type="paragraph" w:styleId="52">
    <w:name w:val="List Continue 5"/>
    <w:basedOn w:val="a2"/>
    <w:uiPriority w:val="99"/>
    <w:semiHidden/>
    <w:unhideWhenUsed/>
    <w:rsid w:val="009D6BCF"/>
    <w:pPr>
      <w:spacing w:after="120"/>
      <w:ind w:left="1415"/>
      <w:contextualSpacing/>
    </w:pPr>
  </w:style>
  <w:style w:type="character" w:styleId="afd">
    <w:name w:val="Intense Reference"/>
    <w:basedOn w:val="a3"/>
    <w:uiPriority w:val="32"/>
    <w:qFormat/>
    <w:rsid w:val="009D6BCF"/>
    <w:rPr>
      <w:b/>
      <w:bCs/>
      <w:smallCaps/>
      <w:color w:val="156082" w:themeColor="accent1"/>
      <w:spacing w:val="5"/>
    </w:rPr>
  </w:style>
  <w:style w:type="character" w:styleId="afe">
    <w:name w:val="annotation reference"/>
    <w:basedOn w:val="a3"/>
    <w:uiPriority w:val="99"/>
    <w:semiHidden/>
    <w:unhideWhenUsed/>
    <w:rsid w:val="009D6BCF"/>
    <w:rPr>
      <w:sz w:val="16"/>
      <w:szCs w:val="16"/>
    </w:rPr>
  </w:style>
  <w:style w:type="character" w:styleId="aff">
    <w:name w:val="Subtle Reference"/>
    <w:basedOn w:val="a3"/>
    <w:uiPriority w:val="31"/>
    <w:qFormat/>
    <w:rsid w:val="009D6BCF"/>
    <w:rPr>
      <w:smallCaps/>
      <w:color w:val="5A5A5A" w:themeColor="text1" w:themeTint="A5"/>
    </w:rPr>
  </w:style>
  <w:style w:type="table" w:styleId="aff0">
    <w:name w:val="Light Shading"/>
    <w:basedOn w:val="a4"/>
    <w:uiPriority w:val="60"/>
    <w:semiHidden/>
    <w:unhideWhenUsed/>
    <w:rsid w:val="009D6BC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0">
    <w:name w:val="Light Shading Accent 1"/>
    <w:basedOn w:val="a4"/>
    <w:uiPriority w:val="60"/>
    <w:semiHidden/>
    <w:unhideWhenUsed/>
    <w:rsid w:val="009D6BCF"/>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0">
    <w:name w:val="Light Shading Accent 2"/>
    <w:basedOn w:val="a4"/>
    <w:uiPriority w:val="60"/>
    <w:semiHidden/>
    <w:unhideWhenUsed/>
    <w:rsid w:val="009D6BCF"/>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0">
    <w:name w:val="Light Shading Accent 3"/>
    <w:basedOn w:val="a4"/>
    <w:uiPriority w:val="60"/>
    <w:semiHidden/>
    <w:unhideWhenUsed/>
    <w:rsid w:val="009D6BCF"/>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4"/>
    <w:uiPriority w:val="60"/>
    <w:semiHidden/>
    <w:unhideWhenUsed/>
    <w:rsid w:val="009D6BCF"/>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4"/>
    <w:uiPriority w:val="60"/>
    <w:semiHidden/>
    <w:unhideWhenUsed/>
    <w:rsid w:val="009D6BCF"/>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4"/>
    <w:uiPriority w:val="60"/>
    <w:semiHidden/>
    <w:unhideWhenUsed/>
    <w:rsid w:val="009D6BCF"/>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40">
    <w:name w:val="Medium Shading 2 Accent 4"/>
    <w:basedOn w:val="a4"/>
    <w:uiPriority w:val="64"/>
    <w:semiHidden/>
    <w:unhideWhenUsed/>
    <w:rsid w:val="009D6BC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Shading 1"/>
    <w:basedOn w:val="a4"/>
    <w:uiPriority w:val="63"/>
    <w:semiHidden/>
    <w:unhideWhenUsed/>
    <w:rsid w:val="009D6BC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semiHidden/>
    <w:unhideWhenUsed/>
    <w:rsid w:val="009D6BCF"/>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4"/>
    <w:uiPriority w:val="63"/>
    <w:semiHidden/>
    <w:unhideWhenUsed/>
    <w:rsid w:val="009D6BCF"/>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4"/>
    <w:uiPriority w:val="63"/>
    <w:semiHidden/>
    <w:unhideWhenUsed/>
    <w:rsid w:val="009D6BCF"/>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4"/>
    <w:uiPriority w:val="63"/>
    <w:semiHidden/>
    <w:unhideWhenUsed/>
    <w:rsid w:val="009D6BCF"/>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4"/>
    <w:uiPriority w:val="63"/>
    <w:semiHidden/>
    <w:unhideWhenUsed/>
    <w:rsid w:val="009D6BCF"/>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4"/>
    <w:uiPriority w:val="63"/>
    <w:semiHidden/>
    <w:unhideWhenUsed/>
    <w:rsid w:val="009D6BCF"/>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5">
    <w:name w:val="Medium Shading 2"/>
    <w:basedOn w:val="a4"/>
    <w:uiPriority w:val="64"/>
    <w:semiHidden/>
    <w:unhideWhenUsed/>
    <w:rsid w:val="009D6BC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semiHidden/>
    <w:unhideWhenUsed/>
    <w:rsid w:val="009D6BC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semiHidden/>
    <w:unhideWhenUsed/>
    <w:rsid w:val="009D6BC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semiHidden/>
    <w:unhideWhenUsed/>
    <w:rsid w:val="009D6BC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semiHidden/>
    <w:unhideWhenUsed/>
    <w:rsid w:val="009D6BC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semiHidden/>
    <w:unhideWhenUsed/>
    <w:rsid w:val="009D6BC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1">
    <w:name w:val="Colorful Shading"/>
    <w:basedOn w:val="a4"/>
    <w:uiPriority w:val="71"/>
    <w:semiHidden/>
    <w:unhideWhenUsed/>
    <w:rsid w:val="009D6BCF"/>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9D6BCF"/>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9D6BCF"/>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9D6BCF"/>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1">
    <w:name w:val="Colorful Shading Accent 4"/>
    <w:basedOn w:val="a4"/>
    <w:uiPriority w:val="71"/>
    <w:semiHidden/>
    <w:unhideWhenUsed/>
    <w:rsid w:val="009D6BCF"/>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9D6BCF"/>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semiHidden/>
    <w:unhideWhenUsed/>
    <w:rsid w:val="009D6BCF"/>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aff2">
    <w:name w:val="Strong"/>
    <w:basedOn w:val="a3"/>
    <w:uiPriority w:val="22"/>
    <w:qFormat/>
    <w:rsid w:val="009D6BCF"/>
    <w:rPr>
      <w:b/>
      <w:bCs/>
    </w:rPr>
  </w:style>
  <w:style w:type="paragraph" w:styleId="aff3">
    <w:name w:val="Signature"/>
    <w:basedOn w:val="a2"/>
    <w:link w:val="aff4"/>
    <w:uiPriority w:val="99"/>
    <w:semiHidden/>
    <w:unhideWhenUsed/>
    <w:rsid w:val="009D6BCF"/>
    <w:pPr>
      <w:ind w:left="4252"/>
    </w:pPr>
  </w:style>
  <w:style w:type="character" w:customStyle="1" w:styleId="aff4">
    <w:name w:val="חתימה תו"/>
    <w:basedOn w:val="a3"/>
    <w:link w:val="aff3"/>
    <w:uiPriority w:val="99"/>
    <w:semiHidden/>
    <w:rsid w:val="009D6BCF"/>
  </w:style>
  <w:style w:type="paragraph" w:styleId="aff5">
    <w:name w:val="E-mail Signature"/>
    <w:basedOn w:val="a2"/>
    <w:link w:val="aff6"/>
    <w:uiPriority w:val="99"/>
    <w:semiHidden/>
    <w:unhideWhenUsed/>
    <w:rsid w:val="009D6BCF"/>
  </w:style>
  <w:style w:type="character" w:customStyle="1" w:styleId="aff6">
    <w:name w:val="חתימת דואר אלקטרוני תו"/>
    <w:basedOn w:val="a3"/>
    <w:link w:val="aff5"/>
    <w:uiPriority w:val="99"/>
    <w:semiHidden/>
    <w:rsid w:val="009D6BCF"/>
  </w:style>
  <w:style w:type="table" w:styleId="aff7">
    <w:name w:val="Table Elegant"/>
    <w:basedOn w:val="a4"/>
    <w:uiPriority w:val="99"/>
    <w:semiHidden/>
    <w:unhideWhenUsed/>
    <w:rsid w:val="009D6BCF"/>
    <w:pPr>
      <w:bidi/>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8">
    <w:name w:val="Table Professional"/>
    <w:basedOn w:val="a4"/>
    <w:uiPriority w:val="99"/>
    <w:semiHidden/>
    <w:unhideWhenUsed/>
    <w:rsid w:val="009D6BCF"/>
    <w:pPr>
      <w:bidi/>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2">
    <w:name w:val="Table Subtle 1"/>
    <w:basedOn w:val="a4"/>
    <w:uiPriority w:val="99"/>
    <w:semiHidden/>
    <w:unhideWhenUsed/>
    <w:rsid w:val="009D6BCF"/>
    <w:pPr>
      <w:bidi/>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uiPriority w:val="99"/>
    <w:semiHidden/>
    <w:unhideWhenUsed/>
    <w:rsid w:val="009D6BCF"/>
    <w:pPr>
      <w:bidi/>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9">
    <w:name w:val="Table Contemporary"/>
    <w:basedOn w:val="a4"/>
    <w:uiPriority w:val="99"/>
    <w:semiHidden/>
    <w:unhideWhenUsed/>
    <w:rsid w:val="009D6BCF"/>
    <w:pPr>
      <w:bidi/>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3">
    <w:name w:val="Table Simple 1"/>
    <w:basedOn w:val="a4"/>
    <w:uiPriority w:val="99"/>
    <w:semiHidden/>
    <w:unhideWhenUsed/>
    <w:rsid w:val="009D6BCF"/>
    <w:pPr>
      <w:bidi/>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4"/>
    <w:uiPriority w:val="99"/>
    <w:semiHidden/>
    <w:unhideWhenUsed/>
    <w:rsid w:val="009D6BCF"/>
    <w:pPr>
      <w:bidi/>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5">
    <w:name w:val="Table Simple 3"/>
    <w:basedOn w:val="a4"/>
    <w:uiPriority w:val="99"/>
    <w:semiHidden/>
    <w:unhideWhenUsed/>
    <w:rsid w:val="009D6BCF"/>
    <w:pPr>
      <w:bidi/>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4">
    <w:name w:val="Table Colorful 1"/>
    <w:basedOn w:val="a4"/>
    <w:uiPriority w:val="99"/>
    <w:semiHidden/>
    <w:unhideWhenUsed/>
    <w:rsid w:val="009D6BCF"/>
    <w:pPr>
      <w:bidi/>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8">
    <w:name w:val="Table Colorful 2"/>
    <w:basedOn w:val="a4"/>
    <w:uiPriority w:val="99"/>
    <w:semiHidden/>
    <w:unhideWhenUsed/>
    <w:rsid w:val="009D6BCF"/>
    <w:pPr>
      <w:bidi/>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6">
    <w:name w:val="Table Colorful 3"/>
    <w:basedOn w:val="a4"/>
    <w:uiPriority w:val="99"/>
    <w:semiHidden/>
    <w:unhideWhenUsed/>
    <w:rsid w:val="009D6BCF"/>
    <w:pPr>
      <w:bidi/>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lassic 1"/>
    <w:basedOn w:val="a4"/>
    <w:uiPriority w:val="99"/>
    <w:semiHidden/>
    <w:unhideWhenUsed/>
    <w:rsid w:val="009D6BCF"/>
    <w:pPr>
      <w:bidi/>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9D6BCF"/>
    <w:pPr>
      <w:bidi/>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4"/>
    <w:uiPriority w:val="99"/>
    <w:semiHidden/>
    <w:unhideWhenUsed/>
    <w:rsid w:val="009D6BCF"/>
    <w:pPr>
      <w:bidi/>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uiPriority w:val="99"/>
    <w:semiHidden/>
    <w:unhideWhenUsed/>
    <w:rsid w:val="009D6BCF"/>
    <w:pPr>
      <w:bidi/>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6">
    <w:name w:val="Plain Table 1"/>
    <w:basedOn w:val="a4"/>
    <w:uiPriority w:val="41"/>
    <w:rsid w:val="009D6B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4"/>
    <w:uiPriority w:val="42"/>
    <w:rsid w:val="009D6BC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8">
    <w:name w:val="Plain Table 3"/>
    <w:basedOn w:val="a4"/>
    <w:uiPriority w:val="43"/>
    <w:rsid w:val="009D6BC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4">
    <w:name w:val="Plain Table 4"/>
    <w:basedOn w:val="a4"/>
    <w:uiPriority w:val="44"/>
    <w:rsid w:val="009D6BC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3">
    <w:name w:val="Plain Table 5"/>
    <w:basedOn w:val="a4"/>
    <w:uiPriority w:val="45"/>
    <w:rsid w:val="009D6BC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7">
    <w:name w:val="Table Web 1"/>
    <w:basedOn w:val="a4"/>
    <w:uiPriority w:val="99"/>
    <w:semiHidden/>
    <w:unhideWhenUsed/>
    <w:rsid w:val="009D6BCF"/>
    <w:pPr>
      <w:bidi/>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b">
    <w:name w:val="Table Web 2"/>
    <w:basedOn w:val="a4"/>
    <w:uiPriority w:val="99"/>
    <w:semiHidden/>
    <w:unhideWhenUsed/>
    <w:rsid w:val="009D6BCF"/>
    <w:pPr>
      <w:bidi/>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9">
    <w:name w:val="Table Web 3"/>
    <w:basedOn w:val="a4"/>
    <w:uiPriority w:val="99"/>
    <w:semiHidden/>
    <w:unhideWhenUsed/>
    <w:rsid w:val="009D6BCF"/>
    <w:pPr>
      <w:bidi/>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8">
    <w:name w:val="List Table 1 Light"/>
    <w:basedOn w:val="a4"/>
    <w:uiPriority w:val="46"/>
    <w:rsid w:val="009D6BC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9D6BCF"/>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20">
    <w:name w:val="List Table 1 Light Accent 2"/>
    <w:basedOn w:val="a4"/>
    <w:uiPriority w:val="46"/>
    <w:rsid w:val="009D6BCF"/>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1-30">
    <w:name w:val="List Table 1 Light Accent 3"/>
    <w:basedOn w:val="a4"/>
    <w:uiPriority w:val="46"/>
    <w:rsid w:val="009D6BCF"/>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1-40">
    <w:name w:val="List Table 1 Light Accent 4"/>
    <w:basedOn w:val="a4"/>
    <w:uiPriority w:val="46"/>
    <w:rsid w:val="009D6BCF"/>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1-50">
    <w:name w:val="List Table 1 Light Accent 5"/>
    <w:basedOn w:val="a4"/>
    <w:uiPriority w:val="46"/>
    <w:rsid w:val="009D6BCF"/>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1-60">
    <w:name w:val="List Table 1 Light Accent 6"/>
    <w:basedOn w:val="a4"/>
    <w:uiPriority w:val="46"/>
    <w:rsid w:val="009D6BCF"/>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2c">
    <w:name w:val="List Table 2"/>
    <w:basedOn w:val="a4"/>
    <w:uiPriority w:val="47"/>
    <w:rsid w:val="009D6BC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9D6BCF"/>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0">
    <w:name w:val="List Table 2 Accent 2"/>
    <w:basedOn w:val="a4"/>
    <w:uiPriority w:val="47"/>
    <w:rsid w:val="009D6BCF"/>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0">
    <w:name w:val="List Table 2 Accent 3"/>
    <w:basedOn w:val="a4"/>
    <w:uiPriority w:val="47"/>
    <w:rsid w:val="009D6BCF"/>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
    <w:name w:val="List Table 2 Accent 4"/>
    <w:basedOn w:val="a4"/>
    <w:uiPriority w:val="47"/>
    <w:rsid w:val="009D6BCF"/>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0">
    <w:name w:val="List Table 2 Accent 5"/>
    <w:basedOn w:val="a4"/>
    <w:uiPriority w:val="47"/>
    <w:rsid w:val="009D6BCF"/>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0">
    <w:name w:val="List Table 2 Accent 6"/>
    <w:basedOn w:val="a4"/>
    <w:uiPriority w:val="47"/>
    <w:rsid w:val="009D6BCF"/>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a">
    <w:name w:val="List Table 3"/>
    <w:basedOn w:val="a4"/>
    <w:uiPriority w:val="48"/>
    <w:rsid w:val="009D6BC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4"/>
    <w:uiPriority w:val="48"/>
    <w:rsid w:val="009D6BCF"/>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3-2">
    <w:name w:val="List Table 3 Accent 2"/>
    <w:basedOn w:val="a4"/>
    <w:uiPriority w:val="48"/>
    <w:rsid w:val="009D6BCF"/>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3-3">
    <w:name w:val="List Table 3 Accent 3"/>
    <w:basedOn w:val="a4"/>
    <w:uiPriority w:val="48"/>
    <w:rsid w:val="009D6BCF"/>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3-4">
    <w:name w:val="List Table 3 Accent 4"/>
    <w:basedOn w:val="a4"/>
    <w:uiPriority w:val="48"/>
    <w:rsid w:val="009D6BCF"/>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3-5">
    <w:name w:val="List Table 3 Accent 5"/>
    <w:basedOn w:val="a4"/>
    <w:uiPriority w:val="48"/>
    <w:rsid w:val="009D6BCF"/>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3-6">
    <w:name w:val="List Table 3 Accent 6"/>
    <w:basedOn w:val="a4"/>
    <w:uiPriority w:val="48"/>
    <w:rsid w:val="009D6BCF"/>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45">
    <w:name w:val="List Table 4"/>
    <w:basedOn w:val="a4"/>
    <w:uiPriority w:val="49"/>
    <w:rsid w:val="009D6BC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9D6BCF"/>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
    <w:name w:val="List Table 4 Accent 2"/>
    <w:basedOn w:val="a4"/>
    <w:uiPriority w:val="49"/>
    <w:rsid w:val="009D6BCF"/>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
    <w:name w:val="List Table 4 Accent 3"/>
    <w:basedOn w:val="a4"/>
    <w:uiPriority w:val="49"/>
    <w:rsid w:val="009D6BCF"/>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
    <w:name w:val="List Table 4 Accent 4"/>
    <w:basedOn w:val="a4"/>
    <w:uiPriority w:val="49"/>
    <w:rsid w:val="009D6BCF"/>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
    <w:name w:val="List Table 4 Accent 5"/>
    <w:basedOn w:val="a4"/>
    <w:uiPriority w:val="49"/>
    <w:rsid w:val="009D6BCF"/>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
    <w:name w:val="List Table 4 Accent 6"/>
    <w:basedOn w:val="a4"/>
    <w:uiPriority w:val="49"/>
    <w:rsid w:val="009D6BCF"/>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4">
    <w:name w:val="List Table 5 Dark"/>
    <w:basedOn w:val="a4"/>
    <w:uiPriority w:val="50"/>
    <w:rsid w:val="009D6BC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9D6BCF"/>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9D6BCF"/>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9D6BCF"/>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9D6BCF"/>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9D6BCF"/>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9D6BCF"/>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0">
    <w:name w:val="List Table 6 Colorful"/>
    <w:basedOn w:val="a4"/>
    <w:uiPriority w:val="51"/>
    <w:rsid w:val="009D6BC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9D6BCF"/>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
    <w:name w:val="List Table 6 Colorful Accent 2"/>
    <w:basedOn w:val="a4"/>
    <w:uiPriority w:val="51"/>
    <w:rsid w:val="009D6BCF"/>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
    <w:name w:val="List Table 6 Colorful Accent 3"/>
    <w:basedOn w:val="a4"/>
    <w:uiPriority w:val="51"/>
    <w:rsid w:val="009D6BCF"/>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
    <w:name w:val="List Table 6 Colorful Accent 4"/>
    <w:basedOn w:val="a4"/>
    <w:uiPriority w:val="51"/>
    <w:rsid w:val="009D6BCF"/>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
    <w:name w:val="List Table 6 Colorful Accent 5"/>
    <w:basedOn w:val="a4"/>
    <w:uiPriority w:val="51"/>
    <w:rsid w:val="009D6BCF"/>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
    <w:name w:val="List Table 6 Colorful Accent 6"/>
    <w:basedOn w:val="a4"/>
    <w:uiPriority w:val="51"/>
    <w:rsid w:val="009D6BCF"/>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1">
    <w:name w:val="List Table 7 Colorful"/>
    <w:basedOn w:val="a4"/>
    <w:uiPriority w:val="52"/>
    <w:rsid w:val="009D6BC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9D6BCF"/>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9D6BCF"/>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9D6BCF"/>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9D6BCF"/>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9D6BCF"/>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9D6BCF"/>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Grid Table 1 Light"/>
    <w:basedOn w:val="a4"/>
    <w:uiPriority w:val="46"/>
    <w:rsid w:val="009D6BC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4"/>
    <w:uiPriority w:val="46"/>
    <w:rsid w:val="009D6BCF"/>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1-21">
    <w:name w:val="Grid Table 1 Light Accent 2"/>
    <w:basedOn w:val="a4"/>
    <w:uiPriority w:val="46"/>
    <w:rsid w:val="009D6BCF"/>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1-31">
    <w:name w:val="Grid Table 1 Light Accent 3"/>
    <w:basedOn w:val="a4"/>
    <w:uiPriority w:val="46"/>
    <w:rsid w:val="009D6BCF"/>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1-41">
    <w:name w:val="Grid Table 1 Light Accent 4"/>
    <w:basedOn w:val="a4"/>
    <w:uiPriority w:val="46"/>
    <w:rsid w:val="009D6BCF"/>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1-51">
    <w:name w:val="Grid Table 1 Light Accent 5"/>
    <w:basedOn w:val="a4"/>
    <w:uiPriority w:val="46"/>
    <w:rsid w:val="009D6BCF"/>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1-61">
    <w:name w:val="Grid Table 1 Light Accent 6"/>
    <w:basedOn w:val="a4"/>
    <w:uiPriority w:val="46"/>
    <w:rsid w:val="009D6BCF"/>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2d">
    <w:name w:val="Grid Table 2"/>
    <w:basedOn w:val="a4"/>
    <w:uiPriority w:val="47"/>
    <w:rsid w:val="009D6BC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4"/>
    <w:uiPriority w:val="47"/>
    <w:rsid w:val="009D6BCF"/>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1">
    <w:name w:val="Grid Table 2 Accent 2"/>
    <w:basedOn w:val="a4"/>
    <w:uiPriority w:val="47"/>
    <w:rsid w:val="009D6BCF"/>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1">
    <w:name w:val="Grid Table 2 Accent 3"/>
    <w:basedOn w:val="a4"/>
    <w:uiPriority w:val="47"/>
    <w:rsid w:val="009D6BCF"/>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0">
    <w:name w:val="Grid Table 2 Accent 4"/>
    <w:basedOn w:val="a4"/>
    <w:uiPriority w:val="47"/>
    <w:rsid w:val="009D6BCF"/>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1">
    <w:name w:val="Grid Table 2 Accent 5"/>
    <w:basedOn w:val="a4"/>
    <w:uiPriority w:val="47"/>
    <w:rsid w:val="009D6BCF"/>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1">
    <w:name w:val="Grid Table 2 Accent 6"/>
    <w:basedOn w:val="a4"/>
    <w:uiPriority w:val="47"/>
    <w:rsid w:val="009D6BCF"/>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b">
    <w:name w:val="Grid Table 3"/>
    <w:basedOn w:val="a4"/>
    <w:uiPriority w:val="48"/>
    <w:rsid w:val="009D6BC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4"/>
    <w:uiPriority w:val="48"/>
    <w:rsid w:val="009D6BCF"/>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3-20">
    <w:name w:val="Grid Table 3 Accent 2"/>
    <w:basedOn w:val="a4"/>
    <w:uiPriority w:val="48"/>
    <w:rsid w:val="009D6BCF"/>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3-30">
    <w:name w:val="Grid Table 3 Accent 3"/>
    <w:basedOn w:val="a4"/>
    <w:uiPriority w:val="48"/>
    <w:rsid w:val="009D6BCF"/>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3-40">
    <w:name w:val="Grid Table 3 Accent 4"/>
    <w:basedOn w:val="a4"/>
    <w:uiPriority w:val="48"/>
    <w:rsid w:val="009D6BCF"/>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3-50">
    <w:name w:val="Grid Table 3 Accent 5"/>
    <w:basedOn w:val="a4"/>
    <w:uiPriority w:val="48"/>
    <w:rsid w:val="009D6BCF"/>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3-60">
    <w:name w:val="Grid Table 3 Accent 6"/>
    <w:basedOn w:val="a4"/>
    <w:uiPriority w:val="48"/>
    <w:rsid w:val="009D6BCF"/>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46">
    <w:name w:val="Grid Table 4"/>
    <w:basedOn w:val="a4"/>
    <w:uiPriority w:val="49"/>
    <w:rsid w:val="009D6BC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9D6BCF"/>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0">
    <w:name w:val="Grid Table 4 Accent 2"/>
    <w:basedOn w:val="a4"/>
    <w:uiPriority w:val="49"/>
    <w:rsid w:val="009D6BCF"/>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0">
    <w:name w:val="Grid Table 4 Accent 3"/>
    <w:basedOn w:val="a4"/>
    <w:uiPriority w:val="49"/>
    <w:rsid w:val="009D6BCF"/>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0">
    <w:name w:val="Grid Table 4 Accent 4"/>
    <w:basedOn w:val="a4"/>
    <w:uiPriority w:val="49"/>
    <w:rsid w:val="009D6BCF"/>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0">
    <w:name w:val="Grid Table 4 Accent 5"/>
    <w:basedOn w:val="a4"/>
    <w:uiPriority w:val="49"/>
    <w:rsid w:val="009D6BCF"/>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0">
    <w:name w:val="Grid Table 4 Accent 6"/>
    <w:basedOn w:val="a4"/>
    <w:uiPriority w:val="49"/>
    <w:rsid w:val="009D6BCF"/>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5">
    <w:name w:val="Grid Table 5 Dark"/>
    <w:basedOn w:val="a4"/>
    <w:uiPriority w:val="50"/>
    <w:rsid w:val="009D6B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9D6B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5-20">
    <w:name w:val="Grid Table 5 Dark Accent 2"/>
    <w:basedOn w:val="a4"/>
    <w:uiPriority w:val="50"/>
    <w:rsid w:val="009D6B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5-30">
    <w:name w:val="Grid Table 5 Dark Accent 3"/>
    <w:basedOn w:val="a4"/>
    <w:uiPriority w:val="50"/>
    <w:rsid w:val="009D6B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5-40">
    <w:name w:val="Grid Table 5 Dark Accent 4"/>
    <w:basedOn w:val="a4"/>
    <w:uiPriority w:val="50"/>
    <w:rsid w:val="009D6B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5-50">
    <w:name w:val="Grid Table 5 Dark Accent 5"/>
    <w:basedOn w:val="a4"/>
    <w:uiPriority w:val="50"/>
    <w:rsid w:val="009D6B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5-60">
    <w:name w:val="Grid Table 5 Dark Accent 6"/>
    <w:basedOn w:val="a4"/>
    <w:uiPriority w:val="50"/>
    <w:rsid w:val="009D6B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61">
    <w:name w:val="Grid Table 6 Colorful"/>
    <w:basedOn w:val="a4"/>
    <w:uiPriority w:val="51"/>
    <w:rsid w:val="009D6BC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9D6BCF"/>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0">
    <w:name w:val="Grid Table 6 Colorful Accent 2"/>
    <w:basedOn w:val="a4"/>
    <w:uiPriority w:val="51"/>
    <w:rsid w:val="009D6BCF"/>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0">
    <w:name w:val="Grid Table 6 Colorful Accent 3"/>
    <w:basedOn w:val="a4"/>
    <w:uiPriority w:val="51"/>
    <w:rsid w:val="009D6BCF"/>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0">
    <w:name w:val="Grid Table 6 Colorful Accent 4"/>
    <w:basedOn w:val="a4"/>
    <w:uiPriority w:val="51"/>
    <w:rsid w:val="009D6BCF"/>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0">
    <w:name w:val="Grid Table 6 Colorful Accent 5"/>
    <w:basedOn w:val="a4"/>
    <w:uiPriority w:val="51"/>
    <w:rsid w:val="009D6BCF"/>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0">
    <w:name w:val="Grid Table 6 Colorful Accent 6"/>
    <w:basedOn w:val="a4"/>
    <w:uiPriority w:val="51"/>
    <w:rsid w:val="009D6BCF"/>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2">
    <w:name w:val="Grid Table 7 Colorful"/>
    <w:basedOn w:val="a4"/>
    <w:uiPriority w:val="52"/>
    <w:rsid w:val="009D6BC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9D6BCF"/>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7-20">
    <w:name w:val="Grid Table 7 Colorful Accent 2"/>
    <w:basedOn w:val="a4"/>
    <w:uiPriority w:val="52"/>
    <w:rsid w:val="009D6BCF"/>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7-30">
    <w:name w:val="Grid Table 7 Colorful Accent 3"/>
    <w:basedOn w:val="a4"/>
    <w:uiPriority w:val="52"/>
    <w:rsid w:val="009D6BCF"/>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7-40">
    <w:name w:val="Grid Table 7 Colorful Accent 4"/>
    <w:basedOn w:val="a4"/>
    <w:uiPriority w:val="52"/>
    <w:rsid w:val="009D6BCF"/>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7-50">
    <w:name w:val="Grid Table 7 Colorful Accent 5"/>
    <w:basedOn w:val="a4"/>
    <w:uiPriority w:val="52"/>
    <w:rsid w:val="009D6BCF"/>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7-60">
    <w:name w:val="Grid Table 7 Colorful Accent 6"/>
    <w:basedOn w:val="a4"/>
    <w:uiPriority w:val="52"/>
    <w:rsid w:val="009D6BCF"/>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affa">
    <w:name w:val="Balloon Text"/>
    <w:basedOn w:val="a2"/>
    <w:link w:val="affb"/>
    <w:uiPriority w:val="99"/>
    <w:semiHidden/>
    <w:unhideWhenUsed/>
    <w:rsid w:val="009D6BCF"/>
    <w:rPr>
      <w:rFonts w:ascii="Tahoma" w:hAnsi="Tahoma" w:cs="Tahoma"/>
      <w:sz w:val="18"/>
      <w:szCs w:val="18"/>
    </w:rPr>
  </w:style>
  <w:style w:type="character" w:customStyle="1" w:styleId="affb">
    <w:name w:val="טקסט בלונים תו"/>
    <w:basedOn w:val="a3"/>
    <w:link w:val="affa"/>
    <w:uiPriority w:val="99"/>
    <w:semiHidden/>
    <w:rsid w:val="009D6BCF"/>
    <w:rPr>
      <w:rFonts w:ascii="Tahoma" w:hAnsi="Tahoma" w:cs="Tahoma"/>
      <w:sz w:val="18"/>
      <w:szCs w:val="18"/>
    </w:rPr>
  </w:style>
  <w:style w:type="paragraph" w:styleId="affc">
    <w:name w:val="Block Text"/>
    <w:basedOn w:val="a2"/>
    <w:uiPriority w:val="99"/>
    <w:semiHidden/>
    <w:unhideWhenUsed/>
    <w:rsid w:val="009D6BC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affd">
    <w:name w:val="annotation text"/>
    <w:basedOn w:val="a2"/>
    <w:link w:val="affe"/>
    <w:uiPriority w:val="99"/>
    <w:semiHidden/>
    <w:unhideWhenUsed/>
    <w:rsid w:val="009D6BCF"/>
    <w:rPr>
      <w:sz w:val="20"/>
      <w:szCs w:val="20"/>
    </w:rPr>
  </w:style>
  <w:style w:type="character" w:customStyle="1" w:styleId="affe">
    <w:name w:val="טקסט הערה תו"/>
    <w:basedOn w:val="a3"/>
    <w:link w:val="affd"/>
    <w:uiPriority w:val="99"/>
    <w:semiHidden/>
    <w:rsid w:val="009D6BCF"/>
    <w:rPr>
      <w:sz w:val="20"/>
      <w:szCs w:val="20"/>
    </w:rPr>
  </w:style>
  <w:style w:type="paragraph" w:styleId="afff">
    <w:name w:val="macro"/>
    <w:link w:val="afff0"/>
    <w:uiPriority w:val="99"/>
    <w:semiHidden/>
    <w:unhideWhenUsed/>
    <w:rsid w:val="009D6BCF"/>
    <w:pPr>
      <w:tabs>
        <w:tab w:val="left" w:pos="480"/>
        <w:tab w:val="left" w:pos="960"/>
        <w:tab w:val="left" w:pos="1440"/>
        <w:tab w:val="left" w:pos="1920"/>
        <w:tab w:val="left" w:pos="2400"/>
        <w:tab w:val="left" w:pos="2880"/>
        <w:tab w:val="left" w:pos="3360"/>
        <w:tab w:val="left" w:pos="3840"/>
        <w:tab w:val="left" w:pos="4320"/>
      </w:tabs>
      <w:bidi/>
    </w:pPr>
    <w:rPr>
      <w:rFonts w:ascii="Consolas" w:hAnsi="Consolas"/>
      <w:sz w:val="20"/>
      <w:szCs w:val="20"/>
    </w:rPr>
  </w:style>
  <w:style w:type="character" w:customStyle="1" w:styleId="afff0">
    <w:name w:val="טקסט מאקרו תו"/>
    <w:basedOn w:val="a3"/>
    <w:link w:val="afff"/>
    <w:uiPriority w:val="99"/>
    <w:semiHidden/>
    <w:rsid w:val="009D6BCF"/>
    <w:rPr>
      <w:rFonts w:ascii="Consolas" w:hAnsi="Consolas"/>
      <w:sz w:val="20"/>
      <w:szCs w:val="20"/>
    </w:rPr>
  </w:style>
  <w:style w:type="character" w:styleId="afff1">
    <w:name w:val="Placeholder Text"/>
    <w:basedOn w:val="a3"/>
    <w:uiPriority w:val="99"/>
    <w:semiHidden/>
    <w:rsid w:val="009D6BCF"/>
    <w:rPr>
      <w:color w:val="666666"/>
    </w:rPr>
  </w:style>
  <w:style w:type="paragraph" w:styleId="afff2">
    <w:name w:val="Plain Text"/>
    <w:basedOn w:val="a2"/>
    <w:link w:val="afff3"/>
    <w:uiPriority w:val="99"/>
    <w:semiHidden/>
    <w:unhideWhenUsed/>
    <w:rsid w:val="009D6BCF"/>
    <w:rPr>
      <w:rFonts w:ascii="Consolas" w:hAnsi="Consolas"/>
      <w:sz w:val="21"/>
      <w:szCs w:val="21"/>
    </w:rPr>
  </w:style>
  <w:style w:type="character" w:customStyle="1" w:styleId="afff3">
    <w:name w:val="טקסט רגיל תו"/>
    <w:basedOn w:val="a3"/>
    <w:link w:val="afff2"/>
    <w:uiPriority w:val="99"/>
    <w:semiHidden/>
    <w:rsid w:val="009D6BCF"/>
    <w:rPr>
      <w:rFonts w:ascii="Consolas" w:hAnsi="Consolas"/>
      <w:sz w:val="21"/>
      <w:szCs w:val="21"/>
    </w:rPr>
  </w:style>
  <w:style w:type="character" w:styleId="afff4">
    <w:name w:val="Book Title"/>
    <w:basedOn w:val="a3"/>
    <w:uiPriority w:val="33"/>
    <w:qFormat/>
    <w:rsid w:val="009D6BCF"/>
    <w:rPr>
      <w:b/>
      <w:bCs/>
      <w:i/>
      <w:iCs/>
      <w:spacing w:val="5"/>
    </w:rPr>
  </w:style>
  <w:style w:type="character" w:customStyle="1" w:styleId="70">
    <w:name w:val="כותרת 7 תו"/>
    <w:basedOn w:val="a3"/>
    <w:link w:val="7"/>
    <w:uiPriority w:val="9"/>
    <w:semiHidden/>
    <w:rsid w:val="009D6BCF"/>
    <w:rPr>
      <w:rFonts w:asciiTheme="majorHAnsi" w:eastAsiaTheme="majorEastAsia" w:hAnsiTheme="majorHAnsi" w:cstheme="majorBidi"/>
      <w:i/>
      <w:iCs/>
      <w:color w:val="0A2F40" w:themeColor="accent1" w:themeShade="7F"/>
    </w:rPr>
  </w:style>
  <w:style w:type="character" w:customStyle="1" w:styleId="80">
    <w:name w:val="כותרת 8 תו"/>
    <w:basedOn w:val="a3"/>
    <w:link w:val="8"/>
    <w:uiPriority w:val="9"/>
    <w:semiHidden/>
    <w:rsid w:val="009D6BCF"/>
    <w:rPr>
      <w:rFonts w:asciiTheme="majorHAnsi" w:eastAsiaTheme="majorEastAsia" w:hAnsiTheme="majorHAnsi" w:cstheme="majorBidi"/>
      <w:color w:val="272727" w:themeColor="text1" w:themeTint="D8"/>
      <w:sz w:val="21"/>
      <w:szCs w:val="21"/>
    </w:rPr>
  </w:style>
  <w:style w:type="character" w:customStyle="1" w:styleId="90">
    <w:name w:val="כותרת 9 תו"/>
    <w:basedOn w:val="a3"/>
    <w:link w:val="9"/>
    <w:uiPriority w:val="9"/>
    <w:semiHidden/>
    <w:rsid w:val="009D6BCF"/>
    <w:rPr>
      <w:rFonts w:asciiTheme="majorHAnsi" w:eastAsiaTheme="majorEastAsia" w:hAnsiTheme="majorHAnsi" w:cstheme="majorBidi"/>
      <w:i/>
      <w:iCs/>
      <w:color w:val="272727" w:themeColor="text1" w:themeTint="D8"/>
      <w:sz w:val="21"/>
      <w:szCs w:val="21"/>
    </w:rPr>
  </w:style>
  <w:style w:type="paragraph" w:styleId="afff5">
    <w:name w:val="index heading"/>
    <w:basedOn w:val="a2"/>
    <w:next w:val="Index1"/>
    <w:uiPriority w:val="99"/>
    <w:semiHidden/>
    <w:unhideWhenUsed/>
    <w:rsid w:val="009D6BCF"/>
    <w:rPr>
      <w:rFonts w:asciiTheme="majorHAnsi" w:eastAsiaTheme="majorEastAsia" w:hAnsiTheme="majorHAnsi" w:cstheme="majorBidi"/>
      <w:b/>
      <w:bCs/>
    </w:rPr>
  </w:style>
  <w:style w:type="paragraph" w:styleId="afff6">
    <w:name w:val="Note Heading"/>
    <w:basedOn w:val="a2"/>
    <w:next w:val="a2"/>
    <w:link w:val="afff7"/>
    <w:uiPriority w:val="99"/>
    <w:semiHidden/>
    <w:unhideWhenUsed/>
    <w:rsid w:val="009D6BCF"/>
  </w:style>
  <w:style w:type="character" w:customStyle="1" w:styleId="afff7">
    <w:name w:val="כותרת הערות תו"/>
    <w:basedOn w:val="a3"/>
    <w:link w:val="afff6"/>
    <w:uiPriority w:val="99"/>
    <w:semiHidden/>
    <w:rsid w:val="009D6BCF"/>
  </w:style>
  <w:style w:type="paragraph" w:styleId="afff8">
    <w:name w:val="Subtitle"/>
    <w:basedOn w:val="a2"/>
    <w:next w:val="a2"/>
    <w:link w:val="afff9"/>
    <w:uiPriority w:val="11"/>
    <w:qFormat/>
    <w:rsid w:val="009D6BC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afff9">
    <w:name w:val="כותרת משנה תו"/>
    <w:basedOn w:val="a3"/>
    <w:link w:val="afff8"/>
    <w:uiPriority w:val="11"/>
    <w:rsid w:val="009D6BCF"/>
    <w:rPr>
      <w:rFonts w:asciiTheme="minorHAnsi" w:eastAsiaTheme="minorEastAsia" w:hAnsiTheme="minorHAnsi" w:cstheme="minorBidi"/>
      <w:color w:val="5A5A5A" w:themeColor="text1" w:themeTint="A5"/>
      <w:spacing w:val="15"/>
    </w:rPr>
  </w:style>
  <w:style w:type="paragraph" w:styleId="afffa">
    <w:name w:val="Message Header"/>
    <w:basedOn w:val="a2"/>
    <w:link w:val="afffb"/>
    <w:uiPriority w:val="99"/>
    <w:semiHidden/>
    <w:unhideWhenUsed/>
    <w:rsid w:val="009D6BCF"/>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afffb">
    <w:name w:val="כותרת עליונה של הודעה תו"/>
    <w:basedOn w:val="a3"/>
    <w:link w:val="afffa"/>
    <w:uiPriority w:val="99"/>
    <w:semiHidden/>
    <w:rsid w:val="009D6BCF"/>
    <w:rPr>
      <w:rFonts w:asciiTheme="majorHAnsi" w:eastAsiaTheme="majorEastAsia" w:hAnsiTheme="majorHAnsi" w:cstheme="majorBidi"/>
      <w:sz w:val="24"/>
      <w:szCs w:val="24"/>
      <w:shd w:val="pct20" w:color="auto" w:fill="auto"/>
    </w:rPr>
  </w:style>
  <w:style w:type="paragraph" w:styleId="afffc">
    <w:name w:val="toa heading"/>
    <w:basedOn w:val="a2"/>
    <w:next w:val="a2"/>
    <w:uiPriority w:val="99"/>
    <w:semiHidden/>
    <w:unhideWhenUsed/>
    <w:rsid w:val="009D6BCF"/>
    <w:pPr>
      <w:spacing w:before="120"/>
    </w:pPr>
    <w:rPr>
      <w:rFonts w:asciiTheme="majorHAnsi" w:eastAsiaTheme="majorEastAsia" w:hAnsiTheme="majorHAnsi" w:cstheme="majorBidi"/>
      <w:b/>
      <w:bCs/>
      <w:sz w:val="24"/>
      <w:szCs w:val="24"/>
    </w:rPr>
  </w:style>
  <w:style w:type="paragraph" w:styleId="afffd">
    <w:name w:val="TOC Heading"/>
    <w:basedOn w:val="1"/>
    <w:next w:val="a2"/>
    <w:uiPriority w:val="39"/>
    <w:semiHidden/>
    <w:unhideWhenUsed/>
    <w:qFormat/>
    <w:rsid w:val="009D6BCF"/>
    <w:pPr>
      <w:keepNext/>
      <w:keepLines/>
      <w:bidi/>
      <w:spacing w:before="240"/>
      <w:outlineLvl w:val="9"/>
    </w:pPr>
    <w:rPr>
      <w:rFonts w:asciiTheme="majorHAnsi" w:eastAsiaTheme="majorEastAsia" w:hAnsiTheme="majorHAnsi" w:cstheme="majorBidi"/>
      <w:color w:val="0F4761" w:themeColor="accent1" w:themeShade="BF"/>
    </w:rPr>
  </w:style>
  <w:style w:type="paragraph" w:styleId="afffe">
    <w:name w:val="caption"/>
    <w:basedOn w:val="a2"/>
    <w:next w:val="a2"/>
    <w:uiPriority w:val="35"/>
    <w:unhideWhenUsed/>
    <w:qFormat/>
    <w:rsid w:val="009D6BCF"/>
    <w:pPr>
      <w:spacing w:after="200"/>
    </w:pPr>
    <w:rPr>
      <w:i/>
      <w:iCs/>
      <w:color w:val="0E2841" w:themeColor="text2"/>
      <w:sz w:val="18"/>
      <w:szCs w:val="18"/>
    </w:rPr>
  </w:style>
  <w:style w:type="paragraph" w:styleId="affff">
    <w:name w:val="Body Text Indent"/>
    <w:basedOn w:val="a2"/>
    <w:link w:val="affff0"/>
    <w:uiPriority w:val="99"/>
    <w:semiHidden/>
    <w:unhideWhenUsed/>
    <w:rsid w:val="009D6BCF"/>
    <w:pPr>
      <w:spacing w:after="120"/>
      <w:ind w:left="283"/>
    </w:pPr>
  </w:style>
  <w:style w:type="character" w:customStyle="1" w:styleId="affff0">
    <w:name w:val="כניסה בגוף טקסט תו"/>
    <w:basedOn w:val="a3"/>
    <w:link w:val="affff"/>
    <w:uiPriority w:val="99"/>
    <w:semiHidden/>
    <w:rsid w:val="009D6BCF"/>
  </w:style>
  <w:style w:type="paragraph" w:styleId="2e">
    <w:name w:val="Body Text Indent 2"/>
    <w:basedOn w:val="a2"/>
    <w:link w:val="2f"/>
    <w:uiPriority w:val="99"/>
    <w:semiHidden/>
    <w:unhideWhenUsed/>
    <w:rsid w:val="009D6BCF"/>
    <w:pPr>
      <w:spacing w:after="120" w:line="480" w:lineRule="auto"/>
      <w:ind w:left="283"/>
    </w:pPr>
  </w:style>
  <w:style w:type="character" w:customStyle="1" w:styleId="2f">
    <w:name w:val="כניסה בגוף טקסט 2 תו"/>
    <w:basedOn w:val="a3"/>
    <w:link w:val="2e"/>
    <w:uiPriority w:val="99"/>
    <w:semiHidden/>
    <w:rsid w:val="009D6BCF"/>
  </w:style>
  <w:style w:type="paragraph" w:styleId="3c">
    <w:name w:val="Body Text Indent 3"/>
    <w:basedOn w:val="a2"/>
    <w:link w:val="3d"/>
    <w:uiPriority w:val="99"/>
    <w:semiHidden/>
    <w:unhideWhenUsed/>
    <w:rsid w:val="009D6BCF"/>
    <w:pPr>
      <w:spacing w:after="120"/>
      <w:ind w:left="283"/>
    </w:pPr>
    <w:rPr>
      <w:sz w:val="16"/>
      <w:szCs w:val="16"/>
    </w:rPr>
  </w:style>
  <w:style w:type="character" w:customStyle="1" w:styleId="3d">
    <w:name w:val="כניסה בגוף טקסט 3 תו"/>
    <w:basedOn w:val="a3"/>
    <w:link w:val="3c"/>
    <w:uiPriority w:val="99"/>
    <w:semiHidden/>
    <w:rsid w:val="009D6BCF"/>
    <w:rPr>
      <w:sz w:val="16"/>
      <w:szCs w:val="16"/>
    </w:rPr>
  </w:style>
  <w:style w:type="paragraph" w:styleId="affff1">
    <w:name w:val="Normal Indent"/>
    <w:basedOn w:val="a2"/>
    <w:uiPriority w:val="99"/>
    <w:semiHidden/>
    <w:unhideWhenUsed/>
    <w:rsid w:val="009D6BCF"/>
    <w:pPr>
      <w:ind w:left="720"/>
    </w:pPr>
  </w:style>
  <w:style w:type="paragraph" w:styleId="affff2">
    <w:name w:val="Body Text First Indent"/>
    <w:basedOn w:val="af6"/>
    <w:link w:val="affff3"/>
    <w:uiPriority w:val="99"/>
    <w:semiHidden/>
    <w:unhideWhenUsed/>
    <w:rsid w:val="009D6BCF"/>
    <w:pPr>
      <w:spacing w:after="0"/>
      <w:ind w:firstLine="360"/>
    </w:pPr>
  </w:style>
  <w:style w:type="character" w:customStyle="1" w:styleId="affff3">
    <w:name w:val="כניסת שורה ראשונה בגוף טקסט תו"/>
    <w:basedOn w:val="af7"/>
    <w:link w:val="affff2"/>
    <w:uiPriority w:val="99"/>
    <w:semiHidden/>
    <w:rsid w:val="009D6BCF"/>
  </w:style>
  <w:style w:type="paragraph" w:styleId="2f0">
    <w:name w:val="Body Text First Indent 2"/>
    <w:basedOn w:val="affff"/>
    <w:link w:val="2f1"/>
    <w:uiPriority w:val="99"/>
    <w:semiHidden/>
    <w:unhideWhenUsed/>
    <w:rsid w:val="009D6BCF"/>
    <w:pPr>
      <w:spacing w:after="0"/>
      <w:ind w:left="360" w:firstLine="360"/>
    </w:pPr>
  </w:style>
  <w:style w:type="character" w:customStyle="1" w:styleId="2f1">
    <w:name w:val="כניסת שורה ראשונה בגוף טקסט 2 תו"/>
    <w:basedOn w:val="affff0"/>
    <w:link w:val="2f0"/>
    <w:uiPriority w:val="99"/>
    <w:semiHidden/>
    <w:rsid w:val="009D6BCF"/>
  </w:style>
  <w:style w:type="paragraph" w:styleId="HTML2">
    <w:name w:val="HTML Address"/>
    <w:basedOn w:val="a2"/>
    <w:link w:val="HTML3"/>
    <w:uiPriority w:val="99"/>
    <w:semiHidden/>
    <w:unhideWhenUsed/>
    <w:rsid w:val="009D6BCF"/>
    <w:rPr>
      <w:i/>
      <w:iCs/>
    </w:rPr>
  </w:style>
  <w:style w:type="character" w:customStyle="1" w:styleId="HTML3">
    <w:name w:val="כתובת HTML תו"/>
    <w:basedOn w:val="a3"/>
    <w:link w:val="HTML2"/>
    <w:uiPriority w:val="99"/>
    <w:semiHidden/>
    <w:rsid w:val="009D6BCF"/>
    <w:rPr>
      <w:i/>
      <w:iCs/>
    </w:rPr>
  </w:style>
  <w:style w:type="paragraph" w:styleId="affff4">
    <w:name w:val="envelope address"/>
    <w:basedOn w:val="a2"/>
    <w:uiPriority w:val="99"/>
    <w:semiHidden/>
    <w:unhideWhenUsed/>
    <w:rsid w:val="009D6BCF"/>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f5">
    <w:name w:val="envelope return"/>
    <w:basedOn w:val="a2"/>
    <w:uiPriority w:val="99"/>
    <w:semiHidden/>
    <w:unhideWhenUsed/>
    <w:rsid w:val="009D6BCF"/>
    <w:rPr>
      <w:rFonts w:asciiTheme="majorHAnsi" w:eastAsiaTheme="majorEastAsia" w:hAnsiTheme="majorHAnsi" w:cstheme="majorBidi"/>
      <w:sz w:val="20"/>
      <w:szCs w:val="20"/>
    </w:rPr>
  </w:style>
  <w:style w:type="paragraph" w:styleId="affff6">
    <w:name w:val="No Spacing"/>
    <w:uiPriority w:val="1"/>
    <w:qFormat/>
    <w:rsid w:val="009D6BCF"/>
    <w:pPr>
      <w:bidi/>
    </w:pPr>
  </w:style>
  <w:style w:type="numbering" w:styleId="a1">
    <w:name w:val="Outline List 3"/>
    <w:basedOn w:val="a5"/>
    <w:uiPriority w:val="99"/>
    <w:semiHidden/>
    <w:unhideWhenUsed/>
    <w:rsid w:val="009D6BCF"/>
    <w:pPr>
      <w:numPr>
        <w:numId w:val="4"/>
      </w:numPr>
    </w:pPr>
  </w:style>
  <w:style w:type="character" w:styleId="HTML4">
    <w:name w:val="HTML Typewriter"/>
    <w:basedOn w:val="a3"/>
    <w:uiPriority w:val="99"/>
    <w:semiHidden/>
    <w:unhideWhenUsed/>
    <w:rsid w:val="009D6BCF"/>
    <w:rPr>
      <w:rFonts w:ascii="Consolas" w:hAnsi="Consolas"/>
      <w:sz w:val="20"/>
      <w:szCs w:val="20"/>
    </w:rPr>
  </w:style>
  <w:style w:type="character" w:styleId="affff7">
    <w:name w:val="page number"/>
    <w:basedOn w:val="a3"/>
    <w:uiPriority w:val="99"/>
    <w:semiHidden/>
    <w:unhideWhenUsed/>
    <w:rsid w:val="009D6BCF"/>
  </w:style>
  <w:style w:type="character" w:styleId="affff8">
    <w:name w:val="line number"/>
    <w:basedOn w:val="a3"/>
    <w:uiPriority w:val="99"/>
    <w:semiHidden/>
    <w:unhideWhenUsed/>
    <w:rsid w:val="009D6BCF"/>
  </w:style>
  <w:style w:type="paragraph" w:styleId="affff9">
    <w:name w:val="Document Map"/>
    <w:basedOn w:val="a2"/>
    <w:link w:val="affffa"/>
    <w:uiPriority w:val="99"/>
    <w:semiHidden/>
    <w:unhideWhenUsed/>
    <w:rsid w:val="009D6BCF"/>
    <w:rPr>
      <w:rFonts w:ascii="Tahoma" w:hAnsi="Tahoma" w:cs="Tahoma"/>
      <w:sz w:val="16"/>
      <w:szCs w:val="16"/>
    </w:rPr>
  </w:style>
  <w:style w:type="character" w:customStyle="1" w:styleId="affffa">
    <w:name w:val="מפת מסמך תו"/>
    <w:basedOn w:val="a3"/>
    <w:link w:val="affff9"/>
    <w:uiPriority w:val="99"/>
    <w:semiHidden/>
    <w:rsid w:val="009D6BCF"/>
    <w:rPr>
      <w:rFonts w:ascii="Tahoma" w:hAnsi="Tahoma" w:cs="Tahoma"/>
      <w:sz w:val="16"/>
      <w:szCs w:val="16"/>
    </w:rPr>
  </w:style>
  <w:style w:type="character" w:styleId="HTML5">
    <w:name w:val="HTML Keyboard"/>
    <w:basedOn w:val="a3"/>
    <w:uiPriority w:val="99"/>
    <w:semiHidden/>
    <w:unhideWhenUsed/>
    <w:rsid w:val="009D6BCF"/>
    <w:rPr>
      <w:rFonts w:ascii="Consolas" w:hAnsi="Consolas"/>
      <w:sz w:val="20"/>
      <w:szCs w:val="20"/>
    </w:rPr>
  </w:style>
  <w:style w:type="paragraph" w:styleId="affffb">
    <w:name w:val="annotation subject"/>
    <w:basedOn w:val="affd"/>
    <w:next w:val="affd"/>
    <w:link w:val="affffc"/>
    <w:uiPriority w:val="99"/>
    <w:semiHidden/>
    <w:unhideWhenUsed/>
    <w:rsid w:val="009D6BCF"/>
    <w:rPr>
      <w:b/>
      <w:bCs/>
    </w:rPr>
  </w:style>
  <w:style w:type="character" w:customStyle="1" w:styleId="affffc">
    <w:name w:val="נושא הערה תו"/>
    <w:basedOn w:val="affe"/>
    <w:link w:val="affffb"/>
    <w:uiPriority w:val="99"/>
    <w:semiHidden/>
    <w:rsid w:val="009D6BCF"/>
    <w:rPr>
      <w:b/>
      <w:bCs/>
      <w:sz w:val="20"/>
      <w:szCs w:val="20"/>
    </w:rPr>
  </w:style>
  <w:style w:type="table" w:styleId="affffd">
    <w:name w:val="Table Theme"/>
    <w:basedOn w:val="a4"/>
    <w:uiPriority w:val="99"/>
    <w:semiHidden/>
    <w:unhideWhenUsed/>
    <w:rsid w:val="009D6BCF"/>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Closing"/>
    <w:basedOn w:val="a2"/>
    <w:link w:val="afffff"/>
    <w:uiPriority w:val="99"/>
    <w:semiHidden/>
    <w:unhideWhenUsed/>
    <w:rsid w:val="009D6BCF"/>
    <w:pPr>
      <w:ind w:left="4252"/>
    </w:pPr>
  </w:style>
  <w:style w:type="character" w:customStyle="1" w:styleId="afffff">
    <w:name w:val="סיום תו"/>
    <w:basedOn w:val="a3"/>
    <w:link w:val="affffe"/>
    <w:uiPriority w:val="99"/>
    <w:semiHidden/>
    <w:rsid w:val="009D6BCF"/>
  </w:style>
  <w:style w:type="table" w:styleId="1a">
    <w:name w:val="Table Columns 1"/>
    <w:basedOn w:val="a4"/>
    <w:uiPriority w:val="99"/>
    <w:semiHidden/>
    <w:unhideWhenUsed/>
    <w:rsid w:val="009D6BCF"/>
    <w:pPr>
      <w:bidi/>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4"/>
    <w:uiPriority w:val="99"/>
    <w:semiHidden/>
    <w:unhideWhenUsed/>
    <w:rsid w:val="009D6BCF"/>
    <w:pPr>
      <w:bidi/>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4"/>
    <w:uiPriority w:val="99"/>
    <w:semiHidden/>
    <w:unhideWhenUsed/>
    <w:rsid w:val="009D6BCF"/>
    <w:pPr>
      <w:bidi/>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9D6BCF"/>
    <w:pPr>
      <w:bidi/>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9D6BCF"/>
    <w:pPr>
      <w:bidi/>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0">
    <w:name w:val="Quote"/>
    <w:basedOn w:val="a2"/>
    <w:next w:val="a2"/>
    <w:link w:val="afffff1"/>
    <w:uiPriority w:val="29"/>
    <w:qFormat/>
    <w:rsid w:val="009D6BCF"/>
    <w:pPr>
      <w:spacing w:before="200" w:after="160"/>
      <w:ind w:left="864" w:right="864"/>
      <w:jc w:val="center"/>
    </w:pPr>
    <w:rPr>
      <w:i/>
      <w:iCs/>
      <w:color w:val="404040" w:themeColor="text1" w:themeTint="BF"/>
    </w:rPr>
  </w:style>
  <w:style w:type="character" w:customStyle="1" w:styleId="afffff1">
    <w:name w:val="ציטוט תו"/>
    <w:basedOn w:val="a3"/>
    <w:link w:val="afffff0"/>
    <w:uiPriority w:val="29"/>
    <w:rsid w:val="009D6BCF"/>
    <w:rPr>
      <w:i/>
      <w:iCs/>
      <w:color w:val="404040" w:themeColor="text1" w:themeTint="BF"/>
    </w:rPr>
  </w:style>
  <w:style w:type="paragraph" w:styleId="afffff2">
    <w:name w:val="Intense Quote"/>
    <w:basedOn w:val="a2"/>
    <w:next w:val="a2"/>
    <w:link w:val="afffff3"/>
    <w:uiPriority w:val="30"/>
    <w:qFormat/>
    <w:rsid w:val="009D6BCF"/>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afffff3">
    <w:name w:val="ציטוט חזק תו"/>
    <w:basedOn w:val="a3"/>
    <w:link w:val="afffff2"/>
    <w:uiPriority w:val="30"/>
    <w:rsid w:val="009D6BCF"/>
    <w:rPr>
      <w:i/>
      <w:iCs/>
      <w:color w:val="156082" w:themeColor="accent1"/>
    </w:rPr>
  </w:style>
  <w:style w:type="character" w:styleId="afffff4">
    <w:name w:val="Smart Link"/>
    <w:basedOn w:val="a3"/>
    <w:uiPriority w:val="99"/>
    <w:semiHidden/>
    <w:unhideWhenUsed/>
    <w:rsid w:val="009D6BCF"/>
    <w:rPr>
      <w:color w:val="0000FF"/>
      <w:u w:val="single"/>
      <w:shd w:val="clear" w:color="auto" w:fill="F3F2F1"/>
    </w:rPr>
  </w:style>
  <w:style w:type="character" w:styleId="HTML6">
    <w:name w:val="HTML Acronym"/>
    <w:basedOn w:val="a3"/>
    <w:uiPriority w:val="99"/>
    <w:semiHidden/>
    <w:unhideWhenUsed/>
    <w:rsid w:val="009D6BCF"/>
  </w:style>
  <w:style w:type="paragraph" w:styleId="afffff5">
    <w:name w:val="List"/>
    <w:basedOn w:val="a2"/>
    <w:uiPriority w:val="99"/>
    <w:semiHidden/>
    <w:unhideWhenUsed/>
    <w:rsid w:val="009D6BCF"/>
    <w:pPr>
      <w:ind w:left="283" w:hanging="283"/>
      <w:contextualSpacing/>
    </w:pPr>
  </w:style>
  <w:style w:type="paragraph" w:styleId="2f3">
    <w:name w:val="List 2"/>
    <w:basedOn w:val="a2"/>
    <w:uiPriority w:val="99"/>
    <w:semiHidden/>
    <w:unhideWhenUsed/>
    <w:rsid w:val="009D6BCF"/>
    <w:pPr>
      <w:ind w:left="566" w:hanging="283"/>
      <w:contextualSpacing/>
    </w:pPr>
  </w:style>
  <w:style w:type="paragraph" w:styleId="3f">
    <w:name w:val="List 3"/>
    <w:basedOn w:val="a2"/>
    <w:uiPriority w:val="99"/>
    <w:semiHidden/>
    <w:unhideWhenUsed/>
    <w:rsid w:val="009D6BCF"/>
    <w:pPr>
      <w:ind w:left="849" w:hanging="283"/>
      <w:contextualSpacing/>
    </w:pPr>
  </w:style>
  <w:style w:type="paragraph" w:styleId="48">
    <w:name w:val="List 4"/>
    <w:basedOn w:val="a2"/>
    <w:uiPriority w:val="99"/>
    <w:semiHidden/>
    <w:unhideWhenUsed/>
    <w:rsid w:val="009D6BCF"/>
    <w:pPr>
      <w:ind w:left="1132" w:hanging="283"/>
      <w:contextualSpacing/>
    </w:pPr>
  </w:style>
  <w:style w:type="paragraph" w:styleId="57">
    <w:name w:val="List 5"/>
    <w:basedOn w:val="a2"/>
    <w:uiPriority w:val="99"/>
    <w:semiHidden/>
    <w:unhideWhenUsed/>
    <w:rsid w:val="009D6BCF"/>
    <w:pPr>
      <w:ind w:left="1415" w:hanging="283"/>
      <w:contextualSpacing/>
    </w:pPr>
  </w:style>
  <w:style w:type="table" w:styleId="afffff6">
    <w:name w:val="Light List"/>
    <w:basedOn w:val="a4"/>
    <w:uiPriority w:val="61"/>
    <w:semiHidden/>
    <w:unhideWhenUsed/>
    <w:rsid w:val="009D6BC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semiHidden/>
    <w:unhideWhenUsed/>
    <w:rsid w:val="009D6BCF"/>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2">
    <w:name w:val="Light List Accent 2"/>
    <w:basedOn w:val="a4"/>
    <w:uiPriority w:val="61"/>
    <w:semiHidden/>
    <w:unhideWhenUsed/>
    <w:rsid w:val="009D6BCF"/>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2">
    <w:name w:val="Light List Accent 3"/>
    <w:basedOn w:val="a4"/>
    <w:uiPriority w:val="61"/>
    <w:semiHidden/>
    <w:unhideWhenUsed/>
    <w:rsid w:val="009D6BCF"/>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2">
    <w:name w:val="Light List Accent 4"/>
    <w:basedOn w:val="a4"/>
    <w:uiPriority w:val="61"/>
    <w:semiHidden/>
    <w:unhideWhenUsed/>
    <w:rsid w:val="009D6BCF"/>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1">
    <w:name w:val="Light List Accent 5"/>
    <w:basedOn w:val="a4"/>
    <w:uiPriority w:val="61"/>
    <w:semiHidden/>
    <w:unhideWhenUsed/>
    <w:rsid w:val="009D6BCF"/>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1">
    <w:name w:val="Light List Accent 6"/>
    <w:basedOn w:val="a4"/>
    <w:uiPriority w:val="61"/>
    <w:semiHidden/>
    <w:unhideWhenUsed/>
    <w:rsid w:val="009D6BCF"/>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1b">
    <w:name w:val="Table List 1"/>
    <w:basedOn w:val="a4"/>
    <w:uiPriority w:val="99"/>
    <w:semiHidden/>
    <w:unhideWhenUsed/>
    <w:rsid w:val="009D6BCF"/>
    <w:pPr>
      <w:bidi/>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4"/>
    <w:uiPriority w:val="99"/>
    <w:semiHidden/>
    <w:unhideWhenUsed/>
    <w:rsid w:val="009D6BCF"/>
    <w:pPr>
      <w:bidi/>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4"/>
    <w:uiPriority w:val="99"/>
    <w:semiHidden/>
    <w:unhideWhenUsed/>
    <w:rsid w:val="009D6BCF"/>
    <w:pPr>
      <w:bidi/>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4"/>
    <w:uiPriority w:val="99"/>
    <w:semiHidden/>
    <w:unhideWhenUsed/>
    <w:rsid w:val="009D6BCF"/>
    <w:pPr>
      <w:bidi/>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uiPriority w:val="99"/>
    <w:semiHidden/>
    <w:unhideWhenUsed/>
    <w:rsid w:val="009D6BCF"/>
    <w:pPr>
      <w:bidi/>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uiPriority w:val="99"/>
    <w:semiHidden/>
    <w:unhideWhenUsed/>
    <w:rsid w:val="009D6BCF"/>
    <w:pPr>
      <w:bidi/>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uiPriority w:val="99"/>
    <w:semiHidden/>
    <w:unhideWhenUsed/>
    <w:rsid w:val="009D6BCF"/>
    <w:pPr>
      <w:bidi/>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9D6BCF"/>
    <w:pPr>
      <w:bidi/>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c">
    <w:name w:val="Medium List 1"/>
    <w:basedOn w:val="a4"/>
    <w:uiPriority w:val="65"/>
    <w:semiHidden/>
    <w:unhideWhenUsed/>
    <w:rsid w:val="009D6BCF"/>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4"/>
    <w:uiPriority w:val="65"/>
    <w:semiHidden/>
    <w:unhideWhenUsed/>
    <w:rsid w:val="009D6BCF"/>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2">
    <w:name w:val="Medium List 1 Accent 2"/>
    <w:basedOn w:val="a4"/>
    <w:uiPriority w:val="65"/>
    <w:semiHidden/>
    <w:unhideWhenUsed/>
    <w:rsid w:val="009D6BCF"/>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2">
    <w:name w:val="Medium List 1 Accent 3"/>
    <w:basedOn w:val="a4"/>
    <w:uiPriority w:val="65"/>
    <w:semiHidden/>
    <w:unhideWhenUsed/>
    <w:rsid w:val="009D6BCF"/>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2">
    <w:name w:val="Medium List 1 Accent 4"/>
    <w:basedOn w:val="a4"/>
    <w:uiPriority w:val="65"/>
    <w:semiHidden/>
    <w:unhideWhenUsed/>
    <w:rsid w:val="009D6BCF"/>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2">
    <w:name w:val="Medium List 1 Accent 5"/>
    <w:basedOn w:val="a4"/>
    <w:uiPriority w:val="65"/>
    <w:semiHidden/>
    <w:unhideWhenUsed/>
    <w:rsid w:val="009D6BCF"/>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2">
    <w:name w:val="Medium List 1 Accent 6"/>
    <w:basedOn w:val="a4"/>
    <w:uiPriority w:val="65"/>
    <w:semiHidden/>
    <w:unhideWhenUsed/>
    <w:rsid w:val="009D6BCF"/>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f5">
    <w:name w:val="Medium List 2"/>
    <w:basedOn w:val="a4"/>
    <w:uiPriority w:val="66"/>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4"/>
    <w:uiPriority w:val="66"/>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4"/>
    <w:uiPriority w:val="66"/>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4"/>
    <w:uiPriority w:val="66"/>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4"/>
    <w:uiPriority w:val="66"/>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4"/>
    <w:uiPriority w:val="66"/>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4"/>
    <w:uiPriority w:val="66"/>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fff7">
    <w:name w:val="Dark List"/>
    <w:basedOn w:val="a4"/>
    <w:uiPriority w:val="70"/>
    <w:semiHidden/>
    <w:unhideWhenUsed/>
    <w:rsid w:val="009D6BC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4"/>
    <w:uiPriority w:val="70"/>
    <w:semiHidden/>
    <w:unhideWhenUsed/>
    <w:rsid w:val="009D6BCF"/>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3">
    <w:name w:val="Dark List Accent 2"/>
    <w:basedOn w:val="a4"/>
    <w:uiPriority w:val="70"/>
    <w:semiHidden/>
    <w:unhideWhenUsed/>
    <w:rsid w:val="009D6BCF"/>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3">
    <w:name w:val="Dark List Accent 3"/>
    <w:basedOn w:val="a4"/>
    <w:uiPriority w:val="70"/>
    <w:semiHidden/>
    <w:unhideWhenUsed/>
    <w:rsid w:val="009D6BCF"/>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3">
    <w:name w:val="Dark List Accent 4"/>
    <w:basedOn w:val="a4"/>
    <w:uiPriority w:val="70"/>
    <w:semiHidden/>
    <w:unhideWhenUsed/>
    <w:rsid w:val="009D6BCF"/>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4"/>
    <w:uiPriority w:val="70"/>
    <w:semiHidden/>
    <w:unhideWhenUsed/>
    <w:rsid w:val="009D6BCF"/>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4"/>
    <w:uiPriority w:val="70"/>
    <w:semiHidden/>
    <w:unhideWhenUsed/>
    <w:rsid w:val="009D6BCF"/>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a">
    <w:name w:val="List Number"/>
    <w:basedOn w:val="a2"/>
    <w:uiPriority w:val="99"/>
    <w:unhideWhenUsed/>
    <w:rsid w:val="009D6BCF"/>
    <w:pPr>
      <w:numPr>
        <w:numId w:val="5"/>
      </w:numPr>
      <w:contextualSpacing/>
    </w:pPr>
  </w:style>
  <w:style w:type="paragraph" w:styleId="2">
    <w:name w:val="List Number 2"/>
    <w:basedOn w:val="a2"/>
    <w:uiPriority w:val="99"/>
    <w:semiHidden/>
    <w:unhideWhenUsed/>
    <w:rsid w:val="009D6BCF"/>
    <w:pPr>
      <w:numPr>
        <w:numId w:val="6"/>
      </w:numPr>
      <w:contextualSpacing/>
    </w:pPr>
  </w:style>
  <w:style w:type="paragraph" w:styleId="3">
    <w:name w:val="List Number 3"/>
    <w:basedOn w:val="a2"/>
    <w:uiPriority w:val="99"/>
    <w:semiHidden/>
    <w:unhideWhenUsed/>
    <w:rsid w:val="009D6BCF"/>
    <w:pPr>
      <w:numPr>
        <w:numId w:val="7"/>
      </w:numPr>
      <w:contextualSpacing/>
    </w:pPr>
  </w:style>
  <w:style w:type="paragraph" w:styleId="4">
    <w:name w:val="List Number 4"/>
    <w:basedOn w:val="a2"/>
    <w:uiPriority w:val="99"/>
    <w:semiHidden/>
    <w:unhideWhenUsed/>
    <w:rsid w:val="009D6BCF"/>
    <w:pPr>
      <w:numPr>
        <w:numId w:val="8"/>
      </w:numPr>
      <w:contextualSpacing/>
    </w:pPr>
  </w:style>
  <w:style w:type="paragraph" w:styleId="5">
    <w:name w:val="List Number 5"/>
    <w:basedOn w:val="a2"/>
    <w:uiPriority w:val="99"/>
    <w:semiHidden/>
    <w:unhideWhenUsed/>
    <w:rsid w:val="009D6BCF"/>
    <w:pPr>
      <w:numPr>
        <w:numId w:val="9"/>
      </w:numPr>
      <w:contextualSpacing/>
    </w:pPr>
  </w:style>
  <w:style w:type="paragraph" w:styleId="a0">
    <w:name w:val="List Bullet"/>
    <w:basedOn w:val="a2"/>
    <w:uiPriority w:val="99"/>
    <w:semiHidden/>
    <w:unhideWhenUsed/>
    <w:rsid w:val="009D6BCF"/>
    <w:pPr>
      <w:numPr>
        <w:numId w:val="10"/>
      </w:numPr>
      <w:contextualSpacing/>
    </w:pPr>
  </w:style>
  <w:style w:type="paragraph" w:styleId="20">
    <w:name w:val="List Bullet 2"/>
    <w:basedOn w:val="a2"/>
    <w:uiPriority w:val="99"/>
    <w:semiHidden/>
    <w:unhideWhenUsed/>
    <w:rsid w:val="009D6BCF"/>
    <w:pPr>
      <w:numPr>
        <w:numId w:val="11"/>
      </w:numPr>
      <w:contextualSpacing/>
    </w:pPr>
  </w:style>
  <w:style w:type="paragraph" w:styleId="30">
    <w:name w:val="List Bullet 3"/>
    <w:basedOn w:val="a2"/>
    <w:uiPriority w:val="99"/>
    <w:semiHidden/>
    <w:unhideWhenUsed/>
    <w:rsid w:val="009D6BCF"/>
    <w:pPr>
      <w:numPr>
        <w:numId w:val="12"/>
      </w:numPr>
      <w:contextualSpacing/>
    </w:pPr>
  </w:style>
  <w:style w:type="paragraph" w:styleId="40">
    <w:name w:val="List Bullet 4"/>
    <w:basedOn w:val="a2"/>
    <w:uiPriority w:val="99"/>
    <w:semiHidden/>
    <w:unhideWhenUsed/>
    <w:rsid w:val="009D6BCF"/>
    <w:pPr>
      <w:numPr>
        <w:numId w:val="13"/>
      </w:numPr>
      <w:contextualSpacing/>
    </w:pPr>
  </w:style>
  <w:style w:type="paragraph" w:styleId="50">
    <w:name w:val="List Bullet 5"/>
    <w:basedOn w:val="a2"/>
    <w:uiPriority w:val="99"/>
    <w:semiHidden/>
    <w:unhideWhenUsed/>
    <w:rsid w:val="009D6BCF"/>
    <w:pPr>
      <w:numPr>
        <w:numId w:val="14"/>
      </w:numPr>
      <w:contextualSpacing/>
    </w:pPr>
  </w:style>
  <w:style w:type="table" w:styleId="afffff8">
    <w:name w:val="Colorful List"/>
    <w:basedOn w:val="a4"/>
    <w:uiPriority w:val="72"/>
    <w:semiHidden/>
    <w:unhideWhenUsed/>
    <w:rsid w:val="009D6BCF"/>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semiHidden/>
    <w:unhideWhenUsed/>
    <w:rsid w:val="009D6BCF"/>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4"/>
    <w:uiPriority w:val="72"/>
    <w:semiHidden/>
    <w:unhideWhenUsed/>
    <w:rsid w:val="009D6BCF"/>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4"/>
    <w:uiPriority w:val="72"/>
    <w:semiHidden/>
    <w:unhideWhenUsed/>
    <w:rsid w:val="009D6BCF"/>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4"/>
    <w:uiPriority w:val="72"/>
    <w:semiHidden/>
    <w:unhideWhenUsed/>
    <w:rsid w:val="009D6BCF"/>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3">
    <w:name w:val="Colorful List Accent 5"/>
    <w:basedOn w:val="a4"/>
    <w:uiPriority w:val="72"/>
    <w:semiHidden/>
    <w:unhideWhenUsed/>
    <w:rsid w:val="009D6BCF"/>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3">
    <w:name w:val="Colorful List Accent 6"/>
    <w:basedOn w:val="a4"/>
    <w:uiPriority w:val="72"/>
    <w:semiHidden/>
    <w:unhideWhenUsed/>
    <w:rsid w:val="009D6BCF"/>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paragraph" w:styleId="afffff9">
    <w:name w:val="table of figures"/>
    <w:basedOn w:val="a2"/>
    <w:next w:val="a2"/>
    <w:uiPriority w:val="99"/>
    <w:semiHidden/>
    <w:unhideWhenUsed/>
    <w:rsid w:val="009D6BCF"/>
  </w:style>
  <w:style w:type="paragraph" w:styleId="afffffa">
    <w:name w:val="table of authorities"/>
    <w:basedOn w:val="a2"/>
    <w:next w:val="a2"/>
    <w:uiPriority w:val="99"/>
    <w:semiHidden/>
    <w:unhideWhenUsed/>
    <w:rsid w:val="009D6BCF"/>
    <w:pPr>
      <w:ind w:left="220" w:hanging="220"/>
    </w:pPr>
  </w:style>
  <w:style w:type="table" w:styleId="afffffb">
    <w:name w:val="Light Grid"/>
    <w:basedOn w:val="a4"/>
    <w:uiPriority w:val="62"/>
    <w:semiHidden/>
    <w:unhideWhenUsed/>
    <w:rsid w:val="009D6BC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5">
    <w:name w:val="Light Grid Accent 1"/>
    <w:basedOn w:val="a4"/>
    <w:uiPriority w:val="62"/>
    <w:semiHidden/>
    <w:unhideWhenUsed/>
    <w:rsid w:val="009D6BCF"/>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5">
    <w:name w:val="Light Grid Accent 2"/>
    <w:basedOn w:val="a4"/>
    <w:uiPriority w:val="62"/>
    <w:semiHidden/>
    <w:unhideWhenUsed/>
    <w:rsid w:val="009D6BCF"/>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5">
    <w:name w:val="Light Grid Accent 3"/>
    <w:basedOn w:val="a4"/>
    <w:uiPriority w:val="62"/>
    <w:semiHidden/>
    <w:unhideWhenUsed/>
    <w:rsid w:val="009D6BCF"/>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5">
    <w:name w:val="Light Grid Accent 4"/>
    <w:basedOn w:val="a4"/>
    <w:uiPriority w:val="62"/>
    <w:semiHidden/>
    <w:unhideWhenUsed/>
    <w:rsid w:val="009D6BCF"/>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4">
    <w:name w:val="Light Grid Accent 5"/>
    <w:basedOn w:val="a4"/>
    <w:uiPriority w:val="62"/>
    <w:semiHidden/>
    <w:unhideWhenUsed/>
    <w:rsid w:val="009D6BCF"/>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4">
    <w:name w:val="Light Grid Accent 6"/>
    <w:basedOn w:val="a4"/>
    <w:uiPriority w:val="62"/>
    <w:semiHidden/>
    <w:unhideWhenUsed/>
    <w:rsid w:val="009D6BCF"/>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6">
    <w:name w:val="Medium Grid 1 Accent 1"/>
    <w:basedOn w:val="a4"/>
    <w:uiPriority w:val="67"/>
    <w:semiHidden/>
    <w:unhideWhenUsed/>
    <w:rsid w:val="009D6BCF"/>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d">
    <w:name w:val="Medium Grid 1"/>
    <w:basedOn w:val="a4"/>
    <w:uiPriority w:val="67"/>
    <w:semiHidden/>
    <w:unhideWhenUsed/>
    <w:rsid w:val="009D6BC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3">
    <w:name w:val="Medium Grid 1 Accent 2"/>
    <w:basedOn w:val="a4"/>
    <w:uiPriority w:val="67"/>
    <w:semiHidden/>
    <w:unhideWhenUsed/>
    <w:rsid w:val="009D6BCF"/>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3">
    <w:name w:val="Medium Grid 1 Accent 3"/>
    <w:basedOn w:val="a4"/>
    <w:uiPriority w:val="67"/>
    <w:semiHidden/>
    <w:unhideWhenUsed/>
    <w:rsid w:val="009D6BCF"/>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3">
    <w:name w:val="Medium Grid 1 Accent 4"/>
    <w:basedOn w:val="a4"/>
    <w:uiPriority w:val="67"/>
    <w:semiHidden/>
    <w:unhideWhenUsed/>
    <w:rsid w:val="009D6BCF"/>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3">
    <w:name w:val="Medium Grid 1 Accent 5"/>
    <w:basedOn w:val="a4"/>
    <w:uiPriority w:val="67"/>
    <w:semiHidden/>
    <w:unhideWhenUsed/>
    <w:rsid w:val="009D6BCF"/>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3">
    <w:name w:val="Medium Grid 1 Accent 6"/>
    <w:basedOn w:val="a4"/>
    <w:uiPriority w:val="67"/>
    <w:semiHidden/>
    <w:unhideWhenUsed/>
    <w:rsid w:val="009D6BCF"/>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f6">
    <w:name w:val="Medium Grid 2"/>
    <w:basedOn w:val="a4"/>
    <w:uiPriority w:val="68"/>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4"/>
    <w:uiPriority w:val="68"/>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3">
    <w:name w:val="Medium Grid 2 Accent 2"/>
    <w:basedOn w:val="a4"/>
    <w:uiPriority w:val="68"/>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3">
    <w:name w:val="Medium Grid 2 Accent 3"/>
    <w:basedOn w:val="a4"/>
    <w:uiPriority w:val="68"/>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2">
    <w:name w:val="Medium Grid 2 Accent 4"/>
    <w:basedOn w:val="a4"/>
    <w:uiPriority w:val="68"/>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3">
    <w:name w:val="Medium Grid 2 Accent 5"/>
    <w:basedOn w:val="a4"/>
    <w:uiPriority w:val="68"/>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3">
    <w:name w:val="Medium Grid 2 Accent 6"/>
    <w:basedOn w:val="a4"/>
    <w:uiPriority w:val="68"/>
    <w:semiHidden/>
    <w:unhideWhenUsed/>
    <w:rsid w:val="009D6BCF"/>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f1">
    <w:name w:val="Medium Grid 3"/>
    <w:basedOn w:val="a4"/>
    <w:uiPriority w:val="69"/>
    <w:semiHidden/>
    <w:unhideWhenUsed/>
    <w:rsid w:val="009D6BC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4"/>
    <w:uiPriority w:val="69"/>
    <w:semiHidden/>
    <w:unhideWhenUsed/>
    <w:rsid w:val="009D6BC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1">
    <w:name w:val="Medium Grid 3 Accent 2"/>
    <w:basedOn w:val="a4"/>
    <w:uiPriority w:val="69"/>
    <w:semiHidden/>
    <w:unhideWhenUsed/>
    <w:rsid w:val="009D6BC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1">
    <w:name w:val="Medium Grid 3 Accent 3"/>
    <w:basedOn w:val="a4"/>
    <w:uiPriority w:val="69"/>
    <w:semiHidden/>
    <w:unhideWhenUsed/>
    <w:rsid w:val="009D6BC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1">
    <w:name w:val="Medium Grid 3 Accent 4"/>
    <w:basedOn w:val="a4"/>
    <w:uiPriority w:val="69"/>
    <w:semiHidden/>
    <w:unhideWhenUsed/>
    <w:rsid w:val="009D6BC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1">
    <w:name w:val="Medium Grid 3 Accent 5"/>
    <w:basedOn w:val="a4"/>
    <w:uiPriority w:val="69"/>
    <w:semiHidden/>
    <w:unhideWhenUsed/>
    <w:rsid w:val="009D6BC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1">
    <w:name w:val="Medium Grid 3 Accent 6"/>
    <w:basedOn w:val="a4"/>
    <w:uiPriority w:val="69"/>
    <w:semiHidden/>
    <w:unhideWhenUsed/>
    <w:rsid w:val="009D6BC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fffc">
    <w:name w:val="Table Grid"/>
    <w:basedOn w:val="a4"/>
    <w:uiPriority w:val="39"/>
    <w:rsid w:val="009D6B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Grid 1"/>
    <w:basedOn w:val="a4"/>
    <w:uiPriority w:val="99"/>
    <w:semiHidden/>
    <w:unhideWhenUsed/>
    <w:rsid w:val="009D6BCF"/>
    <w:pPr>
      <w:bidi/>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7">
    <w:name w:val="Table Grid 2"/>
    <w:basedOn w:val="a4"/>
    <w:uiPriority w:val="99"/>
    <w:semiHidden/>
    <w:unhideWhenUsed/>
    <w:rsid w:val="009D6BCF"/>
    <w:pPr>
      <w:bidi/>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4"/>
    <w:uiPriority w:val="99"/>
    <w:semiHidden/>
    <w:unhideWhenUsed/>
    <w:rsid w:val="009D6BCF"/>
    <w:pPr>
      <w:bidi/>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9D6BCF"/>
    <w:pPr>
      <w:bidi/>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9D6BCF"/>
    <w:pPr>
      <w:bidi/>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9D6BCF"/>
    <w:pPr>
      <w:bidi/>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uiPriority w:val="99"/>
    <w:semiHidden/>
    <w:unhideWhenUsed/>
    <w:rsid w:val="009D6BCF"/>
    <w:pPr>
      <w:bidi/>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9D6BCF"/>
    <w:pPr>
      <w:bidi/>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d">
    <w:name w:val="Grid Table Light"/>
    <w:basedOn w:val="a4"/>
    <w:uiPriority w:val="40"/>
    <w:rsid w:val="009D6BC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fffe">
    <w:name w:val="Colorful Grid"/>
    <w:basedOn w:val="a4"/>
    <w:uiPriority w:val="73"/>
    <w:semiHidden/>
    <w:unhideWhenUsed/>
    <w:rsid w:val="009D6BCF"/>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4"/>
    <w:uiPriority w:val="73"/>
    <w:semiHidden/>
    <w:unhideWhenUsed/>
    <w:rsid w:val="009D6BCF"/>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6">
    <w:name w:val="Colorful Grid Accent 2"/>
    <w:basedOn w:val="a4"/>
    <w:uiPriority w:val="73"/>
    <w:semiHidden/>
    <w:unhideWhenUsed/>
    <w:rsid w:val="009D6BCF"/>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6">
    <w:name w:val="Colorful Grid Accent 3"/>
    <w:basedOn w:val="a4"/>
    <w:uiPriority w:val="73"/>
    <w:semiHidden/>
    <w:unhideWhenUsed/>
    <w:rsid w:val="009D6BCF"/>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6">
    <w:name w:val="Colorful Grid Accent 4"/>
    <w:basedOn w:val="a4"/>
    <w:uiPriority w:val="73"/>
    <w:semiHidden/>
    <w:unhideWhenUsed/>
    <w:rsid w:val="009D6BCF"/>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4"/>
    <w:uiPriority w:val="73"/>
    <w:semiHidden/>
    <w:unhideWhenUsed/>
    <w:rsid w:val="009D6BCF"/>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4"/>
    <w:uiPriority w:val="73"/>
    <w:semiHidden/>
    <w:unhideWhenUsed/>
    <w:rsid w:val="009D6BCF"/>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affffff">
    <w:name w:val="Date"/>
    <w:basedOn w:val="a2"/>
    <w:next w:val="a2"/>
    <w:link w:val="affffff0"/>
    <w:uiPriority w:val="99"/>
    <w:semiHidden/>
    <w:unhideWhenUsed/>
    <w:rsid w:val="009D6BCF"/>
  </w:style>
  <w:style w:type="character" w:customStyle="1" w:styleId="affffff0">
    <w:name w:val="תאריך תו"/>
    <w:basedOn w:val="a3"/>
    <w:link w:val="affffff"/>
    <w:uiPriority w:val="99"/>
    <w:semiHidden/>
    <w:rsid w:val="009D6BCF"/>
  </w:style>
  <w:style w:type="character" w:styleId="Hashtag">
    <w:name w:val="Hashtag"/>
    <w:basedOn w:val="a3"/>
    <w:uiPriority w:val="99"/>
    <w:semiHidden/>
    <w:unhideWhenUsed/>
    <w:rsid w:val="009D6BC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FA1545-5D3F-4C87-847B-43919FFF0657}">
  <we:reference id="wa200010725" version="1.0.0.1" store="he-IL" storeType="OMEX"/>
  <we:alternateReferences>
    <we:reference id="WA200010725" version="1.0.0.1" store="WA200010725" storeType="OMEX"/>
  </we:alternateReferences>
  <we:properties>
    <we:property name="claude.fileId" value="&quot;f719d19f-cf86-4910-acf9-470cac33574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51543B70BD5BB42A75A7AD6563ED4D3" ma:contentTypeVersion="18" ma:contentTypeDescription="Create a new document." ma:contentTypeScope="" ma:versionID="4fa3e8713a3011f6ae8f1b8d8cc663ee">
  <xsd:schema xmlns:xsd="http://www.w3.org/2001/XMLSchema" xmlns:xs="http://www.w3.org/2001/XMLSchema" xmlns:p="http://schemas.microsoft.com/office/2006/metadata/properties" xmlns:ns2="1d49d09b-e7a5-4b2f-b9fa-3300c4edf6d1" xmlns:ns3="3d550918-ebd0-40b1-b683-f252a4ccf514" targetNamespace="http://schemas.microsoft.com/office/2006/metadata/properties" ma:root="true" ma:fieldsID="8cb8a92f181d85d01c419b5f74c2f59a" ns2:_="" ns3:_="">
    <xsd:import namespace="1d49d09b-e7a5-4b2f-b9fa-3300c4edf6d1"/>
    <xsd:import namespace="3d550918-ebd0-40b1-b683-f252a4ccf51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49d09b-e7a5-4b2f-b9fa-3300c4edf6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02c65b9-0991-4c4e-8e74-7b3c5d61fe5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550918-ebd0-40b1-b683-f252a4ccf51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1e612a-3eb4-4f37-aefc-e18003e8a995}" ma:internalName="TaxCatchAll" ma:showField="CatchAllData" ma:web="3d550918-ebd0-40b1-b683-f252a4ccf5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49d09b-e7a5-4b2f-b9fa-3300c4edf6d1">
      <Terms xmlns="http://schemas.microsoft.com/office/infopath/2007/PartnerControls"/>
    </lcf76f155ced4ddcb4097134ff3c332f>
    <TaxCatchAll xmlns="3d550918-ebd0-40b1-b683-f252a4ccf514" xsi:nil="true"/>
  </documentManagement>
</p:properties>
</file>

<file path=customXml/itemProps1.xml><?xml version="1.0" encoding="utf-8"?>
<ds:datastoreItem xmlns:ds="http://schemas.openxmlformats.org/officeDocument/2006/customXml" ds:itemID="{7878194B-6EFC-4B72-94EA-33D93F4BB590}">
  <ds:schemaRefs>
    <ds:schemaRef ds:uri="http://schemas.microsoft.com/sharepoint/v3/contenttype/forms"/>
  </ds:schemaRefs>
</ds:datastoreItem>
</file>

<file path=customXml/itemProps2.xml><?xml version="1.0" encoding="utf-8"?>
<ds:datastoreItem xmlns:ds="http://schemas.openxmlformats.org/officeDocument/2006/customXml" ds:itemID="{2E6C9A1A-19D5-4E9B-B16D-BDEE9F6F8C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49d09b-e7a5-4b2f-b9fa-3300c4edf6d1"/>
    <ds:schemaRef ds:uri="3d550918-ebd0-40b1-b683-f252a4ccf5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287DF6-1732-4545-82DE-78ADABC06BD1}">
  <ds:schemaRefs>
    <ds:schemaRef ds:uri="http://schemas.microsoft.com/office/2006/metadata/properties"/>
    <ds:schemaRef ds:uri="http://schemas.microsoft.com/office/infopath/2007/PartnerControls"/>
    <ds:schemaRef ds:uri="1d49d09b-e7a5-4b2f-b9fa-3300c4edf6d1"/>
    <ds:schemaRef ds:uri="3d550918-ebd0-40b1-b683-f252a4ccf51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1929</Words>
  <Characters>9380</Characters>
  <Application>Microsoft Office Word</Application>
  <DocSecurity>0</DocSecurity>
  <Lines>268</Lines>
  <Paragraphs>109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Omri  Shamgar</cp:lastModifiedBy>
  <cp:revision>2</cp:revision>
  <cp:lastPrinted>2026-08-10T08:09:00Z</cp:lastPrinted>
  <dcterms:created xsi:type="dcterms:W3CDTF">2026-08-12T06:02:00Z</dcterms:created>
  <dcterms:modified xsi:type="dcterms:W3CDTF">2026-08-12T06:02:00Z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0x010100C51543B70BD5BB42A75A7AD6563ED4D3</vt:lpwstr>
  </property>
  <property fmtid="{D5CDD505-2E9C-101B-9397-08002B2CF9AE}" pid="3" name="MediaServiceImageTags">
    <vt:lpwstr/>
  </property>
</Properties>
</file>