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rPr>
          <w:rFonts w:ascii="David" w:hAnsi="David" w:cs="David"/>
          <w:b/>
          <w:color w:val="2E74B5"/>
          <w:sz w:val="32"/>
          <w:rtl/>
        </w:rPr>
        <w:t>תיעוד מודל הטבת המס - פחת מואץ</w:t>
      </w:r>
    </w:p>
    <w:p>
      <w:pPr>
        <w:bidi/>
        <w:jc w:val="right"/>
      </w:pPr>
      <w:r>
        <w:rPr>
          <w:rFonts w:ascii="David" w:hAnsi="David" w:cs="David"/>
          <w:b w:val="0"/>
          <w:i w:val="0"/>
          <w:sz w:val="22"/>
          <w:rtl/>
        </w:rPr>
        <w:t>מסמך זה מרכז את כל ההנחות, שיטות החישוב וקבצי מקור הנתונים ששימשו לבניית מודל הטבת המס (פחת מואץ), בהתאם לבקשת דניאל. המסמך מלווה את הקובץ tax_incentive_model (הגרסה הסופית שהוגשה) ואת פרק הטבות המס בתוכנית הלאומית.</w:t>
      </w:r>
    </w:p>
    <w:p>
      <w:pPr>
        <w:pStyle w:val="Heading1"/>
        <w:bidi/>
        <w:jc w:val="right"/>
      </w:pPr>
      <w:r>
        <w:rPr>
          <w:rFonts w:ascii="David" w:hAnsi="David" w:cs="David"/>
          <w:b/>
          <w:color w:val="2E74B5"/>
          <w:sz w:val="32"/>
          <w:rtl/>
        </w:rPr>
        <w:t>1. מבנה המודל</w:t>
      </w:r>
    </w:p>
    <w:p>
      <w:pPr>
        <w:bidi/>
        <w:jc w:val="right"/>
      </w:pPr>
      <w:r>
        <w:rPr>
          <w:rFonts w:ascii="David" w:hAnsi="David" w:cs="David"/>
          <w:b w:val="0"/>
          <w:i w:val="0"/>
          <w:sz w:val="22"/>
          <w:rtl/>
        </w:rPr>
        <w:t>המודל בנוי בפורמט האחיד של התוכנית הלאומית (המשותף לשלושת פרקי התמריצים: מענקים, הטבת מס וקרן הלוואות), וכולל שני גיליונות:</w:t>
      </w:r>
    </w:p>
    <w:p>
      <w:pPr>
        <w:bidi/>
        <w:jc w:val="right"/>
      </w:pPr>
      <w:r>
        <w:rPr>
          <w:rFonts w:ascii="David" w:hAnsi="David" w:cs="David"/>
          <w:b w:val="0"/>
          <w:i w:val="0"/>
          <w:sz w:val="22"/>
          <w:rtl/>
        </w:rPr>
        <w:t>- "נתונים והנחות - כללי": גיליון הנחות משותף לכלל פרקי התוכנית (שיעורי היוון, מקדמי המרה, מקדמי פליטה, עלויות חיצוניות, מחירי אנרגיה). גיליון זה חוזר בצורה זהה בכל שלושת מודלי התמריצים.</w:t>
      </w:r>
    </w:p>
    <w:p>
      <w:pPr>
        <w:bidi/>
        <w:jc w:val="right"/>
      </w:pPr>
      <w:r>
        <w:rPr>
          <w:rFonts w:ascii="David" w:hAnsi="David" w:cs="David"/>
          <w:b w:val="0"/>
          <w:i w:val="0"/>
          <w:sz w:val="22"/>
          <w:rtl/>
        </w:rPr>
        <w:t>- "ניתוח פחת מואץ": גיליון הניתוח הייעודי למודל זה, בנוי בשבעה חלקים ממוספרים לפי תבנית התוכנית הלאומית:</w:t>
      </w:r>
    </w:p>
    <w:p>
      <w:pPr>
        <w:bidi/>
        <w:jc w:val="right"/>
      </w:pPr>
      <w:r>
        <w:rPr>
          <w:rFonts w:ascii="David" w:hAnsi="David" w:cs="David"/>
          <w:b w:val="0"/>
          <w:i w:val="0"/>
          <w:sz w:val="22"/>
          <w:rtl/>
        </w:rPr>
        <w:t xml:space="preserve">   1. תחזית ביקוש לאנרגיה סופית טרם הפעלת האמצעי</w:t>
      </w:r>
    </w:p>
    <w:p>
      <w:pPr>
        <w:bidi/>
        <w:jc w:val="right"/>
      </w:pPr>
      <w:r>
        <w:rPr>
          <w:rFonts w:ascii="David" w:hAnsi="David" w:cs="David"/>
          <w:b w:val="0"/>
          <w:i w:val="0"/>
          <w:sz w:val="22"/>
          <w:rtl/>
        </w:rPr>
        <w:t xml:space="preserve">   2. רכיבים לחישוב אינטראקציות בין אמצעים (חפיפה עם פרק המענקים וקרן ההלוואות)</w:t>
      </w:r>
    </w:p>
    <w:p>
      <w:pPr>
        <w:bidi/>
        <w:jc w:val="right"/>
      </w:pPr>
      <w:r>
        <w:rPr>
          <w:rFonts w:ascii="David" w:hAnsi="David" w:cs="David"/>
          <w:b w:val="0"/>
          <w:i w:val="0"/>
          <w:sz w:val="22"/>
          <w:rtl/>
        </w:rPr>
        <w:t xml:space="preserve">   3. נתונים והנחות נוספות (פרמטרים פיננסיים ופרמטרי מדיניות, שלוש הטכנולוגיות)</w:t>
      </w:r>
    </w:p>
    <w:p>
      <w:pPr>
        <w:bidi/>
        <w:jc w:val="right"/>
      </w:pPr>
      <w:r>
        <w:rPr>
          <w:rFonts w:ascii="David" w:hAnsi="David" w:cs="David"/>
          <w:b w:val="0"/>
          <w:i w:val="0"/>
          <w:sz w:val="22"/>
          <w:rtl/>
        </w:rPr>
        <w:t xml:space="preserve">   4. חישובים (לוחות פחת, תזרימי מזומנים, תוצאות ברמת היחידה, פריסת 1,000 יחידות)</w:t>
      </w:r>
    </w:p>
    <w:p>
      <w:pPr>
        <w:bidi/>
        <w:jc w:val="right"/>
      </w:pPr>
      <w:r>
        <w:rPr>
          <w:rFonts w:ascii="David" w:hAnsi="David" w:cs="David"/>
          <w:b w:val="0"/>
          <w:i w:val="0"/>
          <w:sz w:val="22"/>
          <w:rtl/>
        </w:rPr>
        <w:t xml:space="preserve">   5. תוצאות (חיסכון אנרגטי, הפחתת פליטות, עלויות חיצוניות, תועלת כלכלית משקית)</w:t>
      </w:r>
    </w:p>
    <w:p>
      <w:pPr>
        <w:bidi/>
        <w:jc w:val="right"/>
      </w:pPr>
      <w:r>
        <w:rPr>
          <w:rFonts w:ascii="David" w:hAnsi="David" w:cs="David"/>
          <w:b w:val="0"/>
          <w:i w:val="0"/>
          <w:sz w:val="22"/>
          <w:rtl/>
        </w:rPr>
        <w:t xml:space="preserve">   6. הערכה כמותית של אינטראקציות עם אמצעים אחרים</w:t>
      </w:r>
    </w:p>
    <w:p>
      <w:pPr>
        <w:bidi/>
        <w:jc w:val="right"/>
      </w:pPr>
      <w:r>
        <w:rPr>
          <w:rFonts w:ascii="David" w:hAnsi="David" w:cs="David"/>
          <w:b w:val="0"/>
          <w:i w:val="0"/>
          <w:sz w:val="22"/>
          <w:rtl/>
        </w:rPr>
        <w:t xml:space="preserve">   7. תחזית ביקוש לאנרגיה סופית לאחר הפעלת האמצעי</w:t>
      </w:r>
    </w:p>
    <w:p>
      <w:pPr>
        <w:pStyle w:val="Heading1"/>
        <w:bidi/>
        <w:jc w:val="right"/>
      </w:pPr>
      <w:r>
        <w:rPr>
          <w:rFonts w:ascii="David" w:hAnsi="David" w:cs="David"/>
          <w:b/>
          <w:color w:val="2E74B5"/>
          <w:sz w:val="32"/>
          <w:rtl/>
        </w:rPr>
        <w:t>2. הנחות כלליות (משותפות לשלושת פרקי התמריצים)</w:t>
      </w:r>
    </w:p>
    <w:p>
      <w:pPr>
        <w:bidi/>
        <w:jc w:val="right"/>
      </w:pPr>
      <w:r>
        <w:rPr>
          <w:rFonts w:ascii="David" w:hAnsi="David" w:cs="David"/>
          <w:b w:val="0"/>
          <w:i w:val="0"/>
          <w:sz w:val="22"/>
          <w:rtl/>
        </w:rPr>
        <w:t>הגיליון "נתונים והנחות - כללי" משותף לכל מודלי התוכנית הלאומית. הפרמטרים שמודל הטבת המס שואב ממנו בפועל:</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Pr>
                <w:rFonts w:ascii="David" w:hAnsi="David"/>
                <w:b/>
                <w:sz w:val="21"/>
                <w:rtl/>
              </w:rPr>
              <w:t>פרמטר</w:t>
            </w:r>
          </w:p>
        </w:tc>
        <w:tc>
          <w:tcPr>
            <w:tcW w:type="dxa" w:w="2160"/>
          </w:tcPr>
          <w:p>
            <w:pPr>
              <w:bidi/>
              <w:jc w:val="right"/>
            </w:pPr>
            <w:r>
              <w:rPr>
                <w:rFonts w:ascii="David" w:hAnsi="David"/>
                <w:b/>
                <w:sz w:val="21"/>
                <w:rtl/>
              </w:rPr>
              <w:t>ערך</w:t>
            </w:r>
          </w:p>
        </w:tc>
        <w:tc>
          <w:tcPr>
            <w:tcW w:type="dxa" w:w="2160"/>
          </w:tcPr>
          <w:p>
            <w:pPr>
              <w:bidi/>
              <w:jc w:val="right"/>
            </w:pPr>
            <w:r>
              <w:rPr>
                <w:rFonts w:ascii="David" w:hAnsi="David"/>
                <w:b/>
                <w:sz w:val="21"/>
                <w:rtl/>
              </w:rPr>
              <w:t>יחידות</w:t>
            </w:r>
          </w:p>
        </w:tc>
        <w:tc>
          <w:tcPr>
            <w:tcW w:type="dxa" w:w="2160"/>
          </w:tcPr>
          <w:p>
            <w:pPr>
              <w:bidi/>
              <w:jc w:val="right"/>
            </w:pPr>
            <w:r>
              <w:rPr>
                <w:rFonts w:ascii="David" w:hAnsi="David"/>
                <w:b/>
                <w:sz w:val="21"/>
                <w:rtl/>
              </w:rPr>
              <w:t>מקור</w:t>
            </w:r>
          </w:p>
        </w:tc>
      </w:tr>
      <w:tr>
        <w:tc>
          <w:tcPr>
            <w:tcW w:type="dxa" w:w="2160"/>
          </w:tcPr>
          <w:p>
            <w:pPr>
              <w:bidi/>
              <w:jc w:val="right"/>
            </w:pPr>
            <w:r>
              <w:rPr>
                <w:rFonts w:ascii="David" w:hAnsi="David"/>
                <w:sz w:val="20"/>
                <w:rtl/>
              </w:rPr>
              <w:t>שיעור היוון פרטי/יזמי</w:t>
            </w:r>
          </w:p>
        </w:tc>
        <w:tc>
          <w:tcPr>
            <w:tcW w:type="dxa" w:w="2160"/>
          </w:tcPr>
          <w:p>
            <w:pPr>
              <w:bidi/>
              <w:jc w:val="right"/>
            </w:pPr>
            <w:r>
              <w:rPr>
                <w:rFonts w:ascii="David" w:hAnsi="David"/>
                <w:sz w:val="20"/>
                <w:rtl/>
              </w:rPr>
              <w:t>6%</w:t>
            </w:r>
          </w:p>
        </w:tc>
        <w:tc>
          <w:tcPr>
            <w:tcW w:type="dxa" w:w="2160"/>
          </w:tcPr>
          <w:p>
            <w:pPr>
              <w:bidi/>
              <w:jc w:val="right"/>
            </w:pPr>
            <w:r>
              <w:rPr>
                <w:rFonts w:ascii="David" w:hAnsi="David"/>
                <w:sz w:val="20"/>
                <w:rtl/>
              </w:rPr>
              <w:t>%</w:t>
            </w:r>
          </w:p>
        </w:tc>
        <w:tc>
          <w:tcPr>
            <w:tcW w:type="dxa" w:w="2160"/>
          </w:tcPr>
          <w:p>
            <w:pPr>
              <w:bidi/>
              <w:jc w:val="right"/>
            </w:pPr>
            <w:r>
              <w:rPr>
                <w:rFonts w:ascii="David" w:hAnsi="David"/>
                <w:sz w:val="20"/>
                <w:rtl/>
              </w:rPr>
              <w:t>סוכם עם דניאל</w:t>
            </w:r>
          </w:p>
        </w:tc>
      </w:tr>
      <w:tr>
        <w:tc>
          <w:tcPr>
            <w:tcW w:type="dxa" w:w="2160"/>
          </w:tcPr>
          <w:p>
            <w:pPr>
              <w:bidi/>
              <w:jc w:val="right"/>
            </w:pPr>
            <w:r>
              <w:rPr>
                <w:rFonts w:ascii="David" w:hAnsi="David"/>
                <w:sz w:val="20"/>
                <w:rtl/>
              </w:rPr>
              <w:t>שיעור היוון חברתי</w:t>
            </w:r>
          </w:p>
        </w:tc>
        <w:tc>
          <w:tcPr>
            <w:tcW w:type="dxa" w:w="2160"/>
          </w:tcPr>
          <w:p>
            <w:pPr>
              <w:bidi/>
              <w:jc w:val="right"/>
            </w:pPr>
            <w:r>
              <w:rPr>
                <w:rFonts w:ascii="David" w:hAnsi="David"/>
                <w:sz w:val="20"/>
                <w:rtl/>
              </w:rPr>
              <w:t>3%</w:t>
            </w:r>
          </w:p>
        </w:tc>
        <w:tc>
          <w:tcPr>
            <w:tcW w:type="dxa" w:w="2160"/>
          </w:tcPr>
          <w:p>
            <w:pPr>
              <w:bidi/>
              <w:jc w:val="right"/>
            </w:pPr>
            <w:r>
              <w:rPr>
                <w:rFonts w:ascii="David" w:hAnsi="David"/>
                <w:sz w:val="20"/>
                <w:rtl/>
              </w:rPr>
              <w:t>%</w:t>
            </w:r>
          </w:p>
        </w:tc>
        <w:tc>
          <w:tcPr>
            <w:tcW w:type="dxa" w:w="2160"/>
          </w:tcPr>
          <w:p>
            <w:pPr>
              <w:bidi/>
              <w:jc w:val="right"/>
            </w:pPr>
            <w:r>
              <w:rPr>
                <w:rFonts w:ascii="David" w:hAnsi="David"/>
                <w:sz w:val="20"/>
                <w:rtl/>
              </w:rPr>
              <w:t>שיעור ההיוון הממשלתי הריאלי</w:t>
            </w:r>
          </w:p>
        </w:tc>
      </w:tr>
      <w:tr>
        <w:tc>
          <w:tcPr>
            <w:tcW w:type="dxa" w:w="2160"/>
          </w:tcPr>
          <w:p>
            <w:pPr>
              <w:bidi/>
              <w:jc w:val="right"/>
            </w:pPr>
            <w:r>
              <w:rPr>
                <w:rFonts w:ascii="David" w:hAnsi="David"/>
                <w:sz w:val="20"/>
                <w:rtl/>
              </w:rPr>
              <w:t>שעות בשנה</w:t>
            </w:r>
          </w:p>
        </w:tc>
        <w:tc>
          <w:tcPr>
            <w:tcW w:type="dxa" w:w="2160"/>
          </w:tcPr>
          <w:p>
            <w:pPr>
              <w:bidi/>
              <w:jc w:val="right"/>
            </w:pPr>
            <w:r>
              <w:rPr>
                <w:rFonts w:ascii="David" w:hAnsi="David"/>
                <w:sz w:val="20"/>
                <w:rtl/>
              </w:rPr>
              <w:t>8,760</w:t>
            </w:r>
          </w:p>
        </w:tc>
        <w:tc>
          <w:tcPr>
            <w:tcW w:type="dxa" w:w="2160"/>
          </w:tcPr>
          <w:p>
            <w:pPr>
              <w:bidi/>
              <w:jc w:val="right"/>
            </w:pPr>
            <w:r>
              <w:rPr>
                <w:rFonts w:ascii="David" w:hAnsi="David"/>
                <w:sz w:val="20"/>
                <w:rtl/>
              </w:rPr>
              <w:t>שעות</w:t>
            </w:r>
          </w:p>
        </w:tc>
        <w:tc>
          <w:tcPr>
            <w:tcW w:type="dxa" w:w="2160"/>
          </w:tcPr>
          <w:p>
            <w:pPr>
              <w:bidi/>
              <w:jc w:val="right"/>
            </w:pPr>
            <w:r>
              <w:rPr>
                <w:rFonts w:ascii="David" w:hAnsi="David"/>
                <w:sz w:val="20"/>
                <w:rtl/>
              </w:rPr>
              <w:t>קבוע לוחני</w:t>
            </w:r>
          </w:p>
        </w:tc>
      </w:tr>
      <w:tr>
        <w:tc>
          <w:tcPr>
            <w:tcW w:type="dxa" w:w="2160"/>
          </w:tcPr>
          <w:p>
            <w:pPr>
              <w:bidi/>
              <w:jc w:val="right"/>
            </w:pPr>
            <w:r>
              <w:rPr>
                <w:rFonts w:ascii="David" w:hAnsi="David"/>
                <w:sz w:val="20"/>
                <w:rtl/>
              </w:rPr>
              <w:t>מע"מ</w:t>
            </w:r>
          </w:p>
        </w:tc>
        <w:tc>
          <w:tcPr>
            <w:tcW w:type="dxa" w:w="2160"/>
          </w:tcPr>
          <w:p>
            <w:pPr>
              <w:bidi/>
              <w:jc w:val="right"/>
            </w:pPr>
            <w:r>
              <w:rPr>
                <w:rFonts w:ascii="David" w:hAnsi="David"/>
                <w:sz w:val="20"/>
                <w:rtl/>
              </w:rPr>
              <w:t>18%</w:t>
            </w:r>
          </w:p>
        </w:tc>
        <w:tc>
          <w:tcPr>
            <w:tcW w:type="dxa" w:w="2160"/>
          </w:tcPr>
          <w:p>
            <w:pPr>
              <w:bidi/>
              <w:jc w:val="right"/>
            </w:pPr>
            <w:r>
              <w:rPr>
                <w:rFonts w:ascii="David" w:hAnsi="David"/>
                <w:sz w:val="20"/>
                <w:rtl/>
              </w:rPr>
              <w:t>%</w:t>
            </w:r>
          </w:p>
        </w:tc>
        <w:tc>
          <w:tcPr>
            <w:tcW w:type="dxa" w:w="2160"/>
          </w:tcPr>
          <w:p>
            <w:pPr>
              <w:bidi/>
              <w:jc w:val="right"/>
            </w:pPr>
            <w:r>
              <w:rPr>
                <w:rFonts w:ascii="David" w:hAnsi="David"/>
                <w:sz w:val="20"/>
                <w:rtl/>
              </w:rPr>
              <w:t>קבוע</w:t>
            </w:r>
          </w:p>
        </w:tc>
      </w:tr>
    </w:tbl>
    <w:p/>
    <w:p>
      <w:pPr>
        <w:bidi/>
        <w:jc w:val="right"/>
      </w:pPr>
      <w:r>
        <w:rPr>
          <w:rFonts w:ascii="David" w:hAnsi="David" w:cs="David"/>
          <w:b w:val="0"/>
          <w:i w:val="0"/>
          <w:sz w:val="22"/>
          <w:rtl/>
        </w:rPr>
        <w:t>מלוא רשימת המקדמים בגיליון הכללי (המרות יחידות MRV, מקדמי פליטה, עלויות חיצוניות, מחירי אנרגיה משקיים) משמשת בעיקר את חישובי סעיף 5 (תוצאות: הפחתת פליטות וצמצום עלויות חיצוניות), ומתועדת בשלמותה בגיליון עצמו.</w:t>
      </w:r>
    </w:p>
    <w:p>
      <w:pPr>
        <w:pStyle w:val="Heading1"/>
        <w:bidi/>
        <w:jc w:val="right"/>
      </w:pPr>
      <w:r>
        <w:rPr>
          <w:rFonts w:ascii="David" w:hAnsi="David" w:cs="David"/>
          <w:b/>
          <w:color w:val="2E74B5"/>
          <w:sz w:val="32"/>
          <w:rtl/>
        </w:rPr>
        <w:t>3. תעריף החשמל התעשייתי (מחושב בתוך גיליון הניתוח)</w:t>
      </w:r>
    </w:p>
    <w:p>
      <w:pPr>
        <w:bidi/>
        <w:jc w:val="right"/>
      </w:pPr>
      <w:r>
        <w:rPr>
          <w:rFonts w:ascii="David" w:hAnsi="David" w:cs="David"/>
          <w:b w:val="0"/>
          <w:i w:val="0"/>
          <w:sz w:val="22"/>
          <w:rtl/>
        </w:rPr>
        <w:t>תעריף החשמל הממוצע המשוקלל לתעשייה (36.97 אג' לקוט"ש, ללא מע"מ) מחושב בטבלת עזר עצמאית בתוך גיליון "ניתוח פחת מואץ" (טווח AK27:AM38), ואינו נתון קבוע שהוזן ידנית:</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Pr>
                <w:rFonts w:ascii="David" w:hAnsi="David"/>
                <w:b/>
                <w:sz w:val="21"/>
                <w:rtl/>
              </w:rPr>
              <w:t>עונה</w:t>
            </w:r>
          </w:p>
        </w:tc>
        <w:tc>
          <w:tcPr>
            <w:tcW w:type="dxa" w:w="2160"/>
          </w:tcPr>
          <w:p>
            <w:pPr>
              <w:bidi/>
              <w:jc w:val="right"/>
            </w:pPr>
            <w:r>
              <w:rPr>
                <w:rFonts w:ascii="David" w:hAnsi="David"/>
                <w:b/>
                <w:sz w:val="21"/>
                <w:rtl/>
              </w:rPr>
              <w:t>מש"ב</w:t>
            </w:r>
          </w:p>
        </w:tc>
        <w:tc>
          <w:tcPr>
            <w:tcW w:type="dxa" w:w="2160"/>
          </w:tcPr>
          <w:p>
            <w:pPr>
              <w:bidi/>
              <w:jc w:val="right"/>
            </w:pPr>
            <w:r>
              <w:rPr>
                <w:rFonts w:ascii="David" w:hAnsi="David"/>
                <w:b/>
                <w:sz w:val="21"/>
                <w:rtl/>
              </w:rPr>
              <w:t>תעריף (אג'/קוט"ש)</w:t>
            </w:r>
          </w:p>
        </w:tc>
        <w:tc>
          <w:tcPr>
            <w:tcW w:type="dxa" w:w="2160"/>
          </w:tcPr>
          <w:p>
            <w:pPr>
              <w:bidi/>
              <w:jc w:val="right"/>
            </w:pPr>
            <w:r>
              <w:rPr>
                <w:rFonts w:ascii="David" w:hAnsi="David"/>
                <w:b/>
                <w:sz w:val="21"/>
                <w:rtl/>
              </w:rPr>
              <w:t>ימים בעונה</w:t>
            </w:r>
          </w:p>
        </w:tc>
      </w:tr>
      <w:tr>
        <w:tc>
          <w:tcPr>
            <w:tcW w:type="dxa" w:w="2160"/>
          </w:tcPr>
          <w:p>
            <w:pPr>
              <w:bidi/>
              <w:jc w:val="right"/>
            </w:pPr>
            <w:r>
              <w:rPr>
                <w:rFonts w:ascii="David" w:hAnsi="David"/>
                <w:sz w:val="20"/>
                <w:rtl/>
              </w:rPr>
              <w:t>חורף (דצמבר-פברואר)</w:t>
            </w:r>
          </w:p>
        </w:tc>
        <w:tc>
          <w:tcPr>
            <w:tcW w:type="dxa" w:w="2160"/>
          </w:tcPr>
          <w:p>
            <w:pPr>
              <w:bidi/>
              <w:jc w:val="right"/>
            </w:pPr>
            <w:r>
              <w:rPr>
                <w:rFonts w:ascii="David" w:hAnsi="David"/>
                <w:sz w:val="20"/>
                <w:rtl/>
              </w:rPr>
              <w:t>שפל</w:t>
            </w:r>
          </w:p>
        </w:tc>
        <w:tc>
          <w:tcPr>
            <w:tcW w:type="dxa" w:w="2160"/>
          </w:tcPr>
          <w:p>
            <w:pPr>
              <w:bidi/>
              <w:jc w:val="right"/>
            </w:pPr>
            <w:r>
              <w:rPr>
                <w:rFonts w:ascii="David" w:hAnsi="David"/>
                <w:sz w:val="20"/>
                <w:rtl/>
              </w:rPr>
              <w:t>29.73</w:t>
            </w:r>
          </w:p>
        </w:tc>
        <w:tc>
          <w:tcPr>
            <w:tcW w:type="dxa" w:w="2160"/>
          </w:tcPr>
          <w:p>
            <w:pPr>
              <w:bidi/>
              <w:jc w:val="right"/>
            </w:pPr>
            <w:r>
              <w:rPr>
                <w:rFonts w:ascii="David" w:hAnsi="David"/>
                <w:sz w:val="20"/>
                <w:rtl/>
              </w:rPr>
              <w:t>90</w:t>
            </w:r>
          </w:p>
        </w:tc>
      </w:tr>
      <w:tr>
        <w:tc>
          <w:tcPr>
            <w:tcW w:type="dxa" w:w="2160"/>
          </w:tcPr>
          <w:p>
            <w:pPr>
              <w:bidi/>
              <w:jc w:val="right"/>
            </w:pPr>
            <w:r>
              <w:rPr>
                <w:rFonts w:ascii="David" w:hAnsi="David"/>
                <w:sz w:val="20"/>
                <w:rtl/>
              </w:rPr>
              <w:t>חורף (דצמבר-פברואר)</w:t>
            </w:r>
          </w:p>
        </w:tc>
        <w:tc>
          <w:tcPr>
            <w:tcW w:type="dxa" w:w="2160"/>
          </w:tcPr>
          <w:p>
            <w:pPr>
              <w:bidi/>
              <w:jc w:val="right"/>
            </w:pPr>
            <w:r>
              <w:rPr>
                <w:rFonts w:ascii="David" w:hAnsi="David"/>
                <w:sz w:val="20"/>
                <w:rtl/>
              </w:rPr>
              <w:t>פסגה</w:t>
            </w:r>
          </w:p>
        </w:tc>
        <w:tc>
          <w:tcPr>
            <w:tcW w:type="dxa" w:w="2160"/>
          </w:tcPr>
          <w:p>
            <w:pPr>
              <w:bidi/>
              <w:jc w:val="right"/>
            </w:pPr>
            <w:r>
              <w:rPr>
                <w:rFonts w:ascii="David" w:hAnsi="David"/>
                <w:sz w:val="20"/>
                <w:rtl/>
              </w:rPr>
              <w:t>85.77</w:t>
            </w:r>
          </w:p>
        </w:tc>
        <w:tc>
          <w:tcPr>
            <w:tcW w:type="dxa" w:w="2160"/>
          </w:tcPr>
          <w:p>
            <w:pPr>
              <w:bidi/>
              <w:jc w:val="right"/>
            </w:pPr>
            <w:r>
              <w:rPr>
                <w:rFonts w:ascii="David" w:hAnsi="David"/>
                <w:sz w:val="20"/>
                <w:rtl/>
              </w:rPr>
              <w:t>90</w:t>
            </w:r>
          </w:p>
        </w:tc>
      </w:tr>
      <w:tr>
        <w:tc>
          <w:tcPr>
            <w:tcW w:type="dxa" w:w="2160"/>
          </w:tcPr>
          <w:p>
            <w:pPr>
              <w:bidi/>
              <w:jc w:val="right"/>
            </w:pPr>
            <w:r>
              <w:rPr>
                <w:rFonts w:ascii="David" w:hAnsi="David"/>
                <w:sz w:val="20"/>
                <w:rtl/>
              </w:rPr>
              <w:t>מעבר (מרץ-יוני, אוקטובר-נובמבר)</w:t>
            </w:r>
          </w:p>
        </w:tc>
        <w:tc>
          <w:tcPr>
            <w:tcW w:type="dxa" w:w="2160"/>
          </w:tcPr>
          <w:p>
            <w:pPr>
              <w:bidi/>
              <w:jc w:val="right"/>
            </w:pPr>
            <w:r>
              <w:rPr>
                <w:rFonts w:ascii="David" w:hAnsi="David"/>
                <w:sz w:val="20"/>
                <w:rtl/>
              </w:rPr>
              <w:t>שפל</w:t>
            </w:r>
          </w:p>
        </w:tc>
        <w:tc>
          <w:tcPr>
            <w:tcW w:type="dxa" w:w="2160"/>
          </w:tcPr>
          <w:p>
            <w:pPr>
              <w:bidi/>
              <w:jc w:val="right"/>
            </w:pPr>
            <w:r>
              <w:rPr>
                <w:rFonts w:ascii="David" w:hAnsi="David"/>
                <w:sz w:val="20"/>
                <w:rtl/>
              </w:rPr>
              <w:t>29.03</w:t>
            </w:r>
          </w:p>
        </w:tc>
        <w:tc>
          <w:tcPr>
            <w:tcW w:type="dxa" w:w="2160"/>
          </w:tcPr>
          <w:p>
            <w:pPr>
              <w:bidi/>
              <w:jc w:val="right"/>
            </w:pPr>
            <w:r>
              <w:rPr>
                <w:rFonts w:ascii="David" w:hAnsi="David"/>
                <w:sz w:val="20"/>
                <w:rtl/>
              </w:rPr>
              <w:t>183</w:t>
            </w:r>
          </w:p>
        </w:tc>
      </w:tr>
      <w:tr>
        <w:tc>
          <w:tcPr>
            <w:tcW w:type="dxa" w:w="2160"/>
          </w:tcPr>
          <w:p>
            <w:pPr>
              <w:bidi/>
              <w:jc w:val="right"/>
            </w:pPr>
            <w:r>
              <w:rPr>
                <w:rFonts w:ascii="David" w:hAnsi="David"/>
                <w:sz w:val="20"/>
                <w:rtl/>
              </w:rPr>
              <w:t>מעבר (מרץ-יוני, אוקטובר-נובמבר)</w:t>
            </w:r>
          </w:p>
        </w:tc>
        <w:tc>
          <w:tcPr>
            <w:tcW w:type="dxa" w:w="2160"/>
          </w:tcPr>
          <w:p>
            <w:pPr>
              <w:bidi/>
              <w:jc w:val="right"/>
            </w:pPr>
            <w:r>
              <w:rPr>
                <w:rFonts w:ascii="David" w:hAnsi="David"/>
                <w:sz w:val="20"/>
                <w:rtl/>
              </w:rPr>
              <w:t>פסגה</w:t>
            </w:r>
          </w:p>
        </w:tc>
        <w:tc>
          <w:tcPr>
            <w:tcW w:type="dxa" w:w="2160"/>
          </w:tcPr>
          <w:p>
            <w:pPr>
              <w:bidi/>
              <w:jc w:val="right"/>
            </w:pPr>
            <w:r>
              <w:rPr>
                <w:rFonts w:ascii="David" w:hAnsi="David"/>
                <w:sz w:val="20"/>
                <w:rtl/>
              </w:rPr>
              <w:t>32.17</w:t>
            </w:r>
          </w:p>
        </w:tc>
        <w:tc>
          <w:tcPr>
            <w:tcW w:type="dxa" w:w="2160"/>
          </w:tcPr>
          <w:p>
            <w:pPr>
              <w:bidi/>
              <w:jc w:val="right"/>
            </w:pPr>
            <w:r>
              <w:rPr>
                <w:rFonts w:ascii="David" w:hAnsi="David"/>
                <w:sz w:val="20"/>
                <w:rtl/>
              </w:rPr>
              <w:t>183</w:t>
            </w:r>
          </w:p>
        </w:tc>
      </w:tr>
      <w:tr>
        <w:tc>
          <w:tcPr>
            <w:tcW w:type="dxa" w:w="2160"/>
          </w:tcPr>
          <w:p>
            <w:pPr>
              <w:bidi/>
              <w:jc w:val="right"/>
            </w:pPr>
            <w:r>
              <w:rPr>
                <w:rFonts w:ascii="David" w:hAnsi="David"/>
                <w:sz w:val="20"/>
                <w:rtl/>
              </w:rPr>
              <w:t>קיץ (יולי-ספטמבר)</w:t>
            </w:r>
          </w:p>
        </w:tc>
        <w:tc>
          <w:tcPr>
            <w:tcW w:type="dxa" w:w="2160"/>
          </w:tcPr>
          <w:p>
            <w:pPr>
              <w:bidi/>
              <w:jc w:val="right"/>
            </w:pPr>
            <w:r>
              <w:rPr>
                <w:rFonts w:ascii="David" w:hAnsi="David"/>
                <w:sz w:val="20"/>
                <w:rtl/>
              </w:rPr>
              <w:t>שפל</w:t>
            </w:r>
          </w:p>
        </w:tc>
        <w:tc>
          <w:tcPr>
            <w:tcW w:type="dxa" w:w="2160"/>
          </w:tcPr>
          <w:p>
            <w:pPr>
              <w:bidi/>
              <w:jc w:val="right"/>
            </w:pPr>
            <w:r>
              <w:rPr>
                <w:rFonts w:ascii="David" w:hAnsi="David"/>
                <w:sz w:val="20"/>
                <w:rtl/>
              </w:rPr>
              <w:t>32.86</w:t>
            </w:r>
          </w:p>
        </w:tc>
        <w:tc>
          <w:tcPr>
            <w:tcW w:type="dxa" w:w="2160"/>
          </w:tcPr>
          <w:p>
            <w:pPr>
              <w:bidi/>
              <w:jc w:val="right"/>
            </w:pPr>
            <w:r>
              <w:rPr>
                <w:rFonts w:ascii="David" w:hAnsi="David"/>
                <w:sz w:val="20"/>
                <w:rtl/>
              </w:rPr>
              <w:t>92</w:t>
            </w:r>
          </w:p>
        </w:tc>
      </w:tr>
      <w:tr>
        <w:tc>
          <w:tcPr>
            <w:tcW w:type="dxa" w:w="2160"/>
          </w:tcPr>
          <w:p>
            <w:pPr>
              <w:bidi/>
              <w:jc w:val="right"/>
            </w:pPr>
            <w:r>
              <w:rPr>
                <w:rFonts w:ascii="David" w:hAnsi="David"/>
                <w:sz w:val="20"/>
                <w:rtl/>
              </w:rPr>
              <w:t>קיץ (יולי-ספטמבר)</w:t>
            </w:r>
          </w:p>
        </w:tc>
        <w:tc>
          <w:tcPr>
            <w:tcW w:type="dxa" w:w="2160"/>
          </w:tcPr>
          <w:p>
            <w:pPr>
              <w:bidi/>
              <w:jc w:val="right"/>
            </w:pPr>
            <w:r>
              <w:rPr>
                <w:rFonts w:ascii="David" w:hAnsi="David"/>
                <w:sz w:val="20"/>
                <w:rtl/>
              </w:rPr>
              <w:t>פסגה</w:t>
            </w:r>
          </w:p>
        </w:tc>
        <w:tc>
          <w:tcPr>
            <w:tcW w:type="dxa" w:w="2160"/>
          </w:tcPr>
          <w:p>
            <w:pPr>
              <w:bidi/>
              <w:jc w:val="right"/>
            </w:pPr>
            <w:r>
              <w:rPr>
                <w:rFonts w:ascii="David" w:hAnsi="David"/>
                <w:sz w:val="20"/>
                <w:rtl/>
              </w:rPr>
              <w:t>133.13</w:t>
            </w:r>
          </w:p>
        </w:tc>
        <w:tc>
          <w:tcPr>
            <w:tcW w:type="dxa" w:w="2160"/>
          </w:tcPr>
          <w:p>
            <w:pPr>
              <w:bidi/>
              <w:jc w:val="right"/>
            </w:pPr>
            <w:r>
              <w:rPr>
                <w:rFonts w:ascii="David" w:hAnsi="David"/>
                <w:sz w:val="20"/>
                <w:rtl/>
              </w:rPr>
              <w:t>92</w:t>
            </w:r>
          </w:p>
        </w:tc>
      </w:tr>
    </w:tbl>
    <w:p/>
    <w:p>
      <w:pPr>
        <w:bidi/>
        <w:jc w:val="right"/>
      </w:pPr>
      <w:r>
        <w:rPr>
          <w:rFonts w:ascii="David" w:hAnsi="David" w:cs="David"/>
          <w:b w:val="0"/>
          <w:i w:val="0"/>
          <w:sz w:val="22"/>
          <w:rtl/>
        </w:rPr>
        <w:t>התעריף הממוצע הוא ממוצע משוקלל לפי מספר השעות בכל שילוב עונה/מש"ב לאורך השנה (SUMPRODUCT של התעריפים כנגד השעות, חלקי סה"כ השעות בשנה). מקור לוח התעריפים: נספח ה' - לוחות תעריפים החל מ-1.1.2026, לוח 5.2-1 "תעו"ז לפי רמות מתח", רשות החשמל. https://www.gov.il/BlobFolder/policy/78206/he/Files_Hachlatot_luhot_tariff_221225.pdf</w:t>
      </w:r>
    </w:p>
    <w:p>
      <w:pPr>
        <w:pStyle w:val="Heading1"/>
        <w:bidi/>
        <w:jc w:val="right"/>
      </w:pPr>
      <w:r>
        <w:rPr>
          <w:rFonts w:ascii="David" w:hAnsi="David" w:cs="David"/>
          <w:b/>
          <w:color w:val="2E74B5"/>
          <w:sz w:val="32"/>
          <w:rtl/>
        </w:rPr>
        <w:t>4. פרמטרים פיננסיים ומדיניות (סעיף 3 בגיליון הניתוח)</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right"/>
            </w:pPr>
            <w:r>
              <w:rPr>
                <w:rFonts w:ascii="David" w:hAnsi="David"/>
                <w:b/>
                <w:sz w:val="21"/>
                <w:rtl/>
              </w:rPr>
              <w:t>פרמטר</w:t>
            </w:r>
          </w:p>
        </w:tc>
        <w:tc>
          <w:tcPr>
            <w:tcW w:type="dxa" w:w="2880"/>
          </w:tcPr>
          <w:p>
            <w:pPr>
              <w:bidi/>
              <w:jc w:val="right"/>
            </w:pPr>
            <w:r>
              <w:rPr>
                <w:rFonts w:ascii="David" w:hAnsi="David"/>
                <w:b/>
                <w:sz w:val="21"/>
                <w:rtl/>
              </w:rPr>
              <w:t>ערך</w:t>
            </w:r>
          </w:p>
        </w:tc>
        <w:tc>
          <w:tcPr>
            <w:tcW w:type="dxa" w:w="2880"/>
          </w:tcPr>
          <w:p>
            <w:pPr>
              <w:bidi/>
              <w:jc w:val="right"/>
            </w:pPr>
            <w:r>
              <w:rPr>
                <w:rFonts w:ascii="David" w:hAnsi="David"/>
                <w:b/>
                <w:sz w:val="21"/>
                <w:rtl/>
              </w:rPr>
              <w:t>הערה</w:t>
            </w:r>
          </w:p>
        </w:tc>
      </w:tr>
      <w:tr>
        <w:tc>
          <w:tcPr>
            <w:tcW w:type="dxa" w:w="2880"/>
          </w:tcPr>
          <w:p>
            <w:pPr>
              <w:bidi/>
              <w:jc w:val="right"/>
            </w:pPr>
            <w:r>
              <w:rPr>
                <w:rFonts w:ascii="David" w:hAnsi="David"/>
                <w:sz w:val="20"/>
                <w:rtl/>
              </w:rPr>
              <w:t>שנת בסיס (שנה 0)</w:t>
            </w:r>
          </w:p>
        </w:tc>
        <w:tc>
          <w:tcPr>
            <w:tcW w:type="dxa" w:w="2880"/>
          </w:tcPr>
          <w:p>
            <w:pPr>
              <w:bidi/>
              <w:jc w:val="right"/>
            </w:pPr>
            <w:r>
              <w:rPr>
                <w:rFonts w:ascii="David" w:hAnsi="David"/>
                <w:sz w:val="20"/>
                <w:rtl/>
              </w:rPr>
              <w:t>2026</w:t>
            </w:r>
          </w:p>
        </w:tc>
        <w:tc>
          <w:tcPr>
            <w:tcW w:type="dxa" w:w="2880"/>
          </w:tcPr>
          <w:p>
            <w:pPr>
              <w:bidi/>
              <w:jc w:val="right"/>
            </w:pPr>
            <w:r>
              <w:rPr>
                <w:rFonts w:ascii="David" w:hAnsi="David"/>
                <w:sz w:val="20"/>
                <w:rtl/>
              </w:rPr>
              <w:t>כל לוחות התזרים בסעיף 4 נמדדים ביחס לשנה זו</w:t>
            </w:r>
          </w:p>
        </w:tc>
      </w:tr>
      <w:tr>
        <w:tc>
          <w:tcPr>
            <w:tcW w:type="dxa" w:w="2880"/>
          </w:tcPr>
          <w:p>
            <w:pPr>
              <w:bidi/>
              <w:jc w:val="right"/>
            </w:pPr>
            <w:r>
              <w:rPr>
                <w:rFonts w:ascii="David" w:hAnsi="David"/>
                <w:sz w:val="20"/>
                <w:rtl/>
              </w:rPr>
              <w:t>שיעור מס חברות</w:t>
            </w:r>
          </w:p>
        </w:tc>
        <w:tc>
          <w:tcPr>
            <w:tcW w:type="dxa" w:w="2880"/>
          </w:tcPr>
          <w:p>
            <w:pPr>
              <w:bidi/>
              <w:jc w:val="right"/>
            </w:pPr>
            <w:r>
              <w:rPr>
                <w:rFonts w:ascii="David" w:hAnsi="David"/>
                <w:sz w:val="20"/>
                <w:rtl/>
              </w:rPr>
              <w:t>23%</w:t>
            </w:r>
          </w:p>
        </w:tc>
        <w:tc>
          <w:tcPr>
            <w:tcW w:type="dxa" w:w="2880"/>
          </w:tcPr>
          <w:p>
            <w:pPr>
              <w:bidi/>
              <w:jc w:val="right"/>
            </w:pPr>
            <w:r>
              <w:rPr>
                <w:rFonts w:ascii="David" w:hAnsi="David"/>
                <w:sz w:val="20"/>
                <w:rtl/>
              </w:rPr>
              <w:t>רשות המסים</w:t>
            </w:r>
          </w:p>
        </w:tc>
      </w:tr>
      <w:tr>
        <w:tc>
          <w:tcPr>
            <w:tcW w:type="dxa" w:w="2880"/>
          </w:tcPr>
          <w:p>
            <w:pPr>
              <w:bidi/>
              <w:jc w:val="right"/>
            </w:pPr>
            <w:r>
              <w:rPr>
                <w:rFonts w:ascii="David" w:hAnsi="David"/>
                <w:sz w:val="20"/>
                <w:rtl/>
              </w:rPr>
              <w:t>מכפיל שיעור הפחת</w:t>
            </w:r>
          </w:p>
        </w:tc>
        <w:tc>
          <w:tcPr>
            <w:tcW w:type="dxa" w:w="2880"/>
          </w:tcPr>
          <w:p>
            <w:pPr>
              <w:bidi/>
              <w:jc w:val="right"/>
            </w:pPr>
            <w:r>
              <w:rPr>
                <w:rFonts w:ascii="David" w:hAnsi="David"/>
                <w:sz w:val="20"/>
                <w:rtl/>
              </w:rPr>
              <w:t>2.0</w:t>
            </w:r>
          </w:p>
        </w:tc>
        <w:tc>
          <w:tcPr>
            <w:tcW w:type="dxa" w:w="2880"/>
          </w:tcPr>
          <w:p>
            <w:pPr>
              <w:bidi/>
              <w:jc w:val="right"/>
            </w:pPr>
            <w:r>
              <w:rPr>
                <w:rFonts w:ascii="David" w:hAnsi="David"/>
                <w:sz w:val="20"/>
                <w:rtl/>
              </w:rPr>
              <w:t>פרמטר המדיניות המרכזי הנבחן. 1.0=ללא תמריץ, 2.0=כפול/5 שנים, 5.0=שנתיים</w:t>
            </w:r>
          </w:p>
        </w:tc>
      </w:tr>
      <w:tr>
        <w:tc>
          <w:tcPr>
            <w:tcW w:type="dxa" w:w="2880"/>
          </w:tcPr>
          <w:p>
            <w:pPr>
              <w:bidi/>
              <w:jc w:val="right"/>
            </w:pPr>
            <w:r>
              <w:rPr>
                <w:rFonts w:ascii="David" w:hAnsi="David"/>
                <w:sz w:val="20"/>
                <w:rtl/>
              </w:rPr>
              <w:t>סף החזר השקעה (קריטריון אימוץ)</w:t>
            </w:r>
          </w:p>
        </w:tc>
        <w:tc>
          <w:tcPr>
            <w:tcW w:type="dxa" w:w="2880"/>
          </w:tcPr>
          <w:p>
            <w:pPr>
              <w:bidi/>
              <w:jc w:val="right"/>
            </w:pPr>
            <w:r>
              <w:rPr>
                <w:rFonts w:ascii="David" w:hAnsi="David"/>
                <w:sz w:val="20"/>
                <w:rtl/>
              </w:rPr>
              <w:t>3 שנים</w:t>
            </w:r>
          </w:p>
        </w:tc>
        <w:tc>
          <w:tcPr>
            <w:tcW w:type="dxa" w:w="2880"/>
          </w:tcPr>
          <w:p>
            <w:pPr>
              <w:bidi/>
              <w:jc w:val="right"/>
            </w:pPr>
            <w:r>
              <w:rPr>
                <w:rFonts w:ascii="David" w:hAnsi="David"/>
                <w:sz w:val="20"/>
                <w:rtl/>
              </w:rPr>
              <w:t>מספרו של רפי, אושר על ידי דניאל כמסקנה החזקה ביותר של הפרק</w:t>
            </w:r>
          </w:p>
        </w:tc>
      </w:tr>
      <w:tr>
        <w:tc>
          <w:tcPr>
            <w:tcW w:type="dxa" w:w="2880"/>
          </w:tcPr>
          <w:p>
            <w:pPr>
              <w:bidi/>
              <w:jc w:val="right"/>
            </w:pPr>
            <w:r>
              <w:rPr>
                <w:rFonts w:ascii="David" w:hAnsi="David"/>
                <w:sz w:val="20"/>
                <w:rtl/>
              </w:rPr>
              <w:t>שיעור פחת סטנדרטי - ציוד מכני</w:t>
            </w:r>
          </w:p>
        </w:tc>
        <w:tc>
          <w:tcPr>
            <w:tcW w:type="dxa" w:w="2880"/>
          </w:tcPr>
          <w:p>
            <w:pPr>
              <w:bidi/>
              <w:jc w:val="right"/>
            </w:pPr>
            <w:r>
              <w:rPr>
                <w:rFonts w:ascii="David" w:hAnsi="David"/>
                <w:sz w:val="20"/>
                <w:rtl/>
              </w:rPr>
              <w:t>10% לשנה</w:t>
            </w:r>
          </w:p>
        </w:tc>
        <w:tc>
          <w:tcPr>
            <w:tcW w:type="dxa" w:w="2880"/>
          </w:tcPr>
          <w:p>
            <w:pPr>
              <w:bidi/>
              <w:jc w:val="right"/>
            </w:pPr>
            <w:r>
              <w:rPr>
                <w:rFonts w:ascii="David" w:hAnsi="David"/>
                <w:sz w:val="20"/>
                <w:rtl/>
              </w:rPr>
              <w:t>תקנות מס הכנסה - תקנות פחת</w:t>
            </w:r>
          </w:p>
        </w:tc>
      </w:tr>
      <w:tr>
        <w:tc>
          <w:tcPr>
            <w:tcW w:type="dxa" w:w="2880"/>
          </w:tcPr>
          <w:p>
            <w:pPr>
              <w:bidi/>
              <w:jc w:val="right"/>
            </w:pPr>
            <w:r>
              <w:rPr>
                <w:rFonts w:ascii="David" w:hAnsi="David"/>
                <w:sz w:val="20"/>
                <w:rtl/>
              </w:rPr>
              <w:t>מספר יחידות בפריסה לכל טכנולוגיה</w:t>
            </w:r>
          </w:p>
        </w:tc>
        <w:tc>
          <w:tcPr>
            <w:tcW w:type="dxa" w:w="2880"/>
          </w:tcPr>
          <w:p>
            <w:pPr>
              <w:bidi/>
              <w:jc w:val="right"/>
            </w:pPr>
            <w:r>
              <w:rPr>
                <w:rFonts w:ascii="David" w:hAnsi="David"/>
                <w:sz w:val="20"/>
                <w:rtl/>
              </w:rPr>
              <w:t>1,000</w:t>
            </w:r>
          </w:p>
        </w:tc>
        <w:tc>
          <w:tcPr>
            <w:tcW w:type="dxa" w:w="2880"/>
          </w:tcPr>
          <w:p>
            <w:pPr>
              <w:bidi/>
              <w:jc w:val="right"/>
            </w:pPr>
            <w:r>
              <w:rPr>
                <w:rFonts w:ascii="David" w:hAnsi="David"/>
                <w:sz w:val="20"/>
                <w:rtl/>
              </w:rPr>
              <w:t>תחליף זמני לאמידת שוק אמיתית, לא מייצג היקף שוק בפועל</w:t>
            </w:r>
          </w:p>
        </w:tc>
      </w:tr>
    </w:tbl>
    <w:p/>
    <w:p>
      <w:pPr>
        <w:pStyle w:val="Heading1"/>
        <w:bidi/>
        <w:jc w:val="right"/>
      </w:pPr>
      <w:r>
        <w:rPr>
          <w:rFonts w:ascii="David" w:hAnsi="David" w:cs="David"/>
          <w:b/>
          <w:color w:val="2E74B5"/>
          <w:sz w:val="32"/>
          <w:rtl/>
        </w:rPr>
        <w:t>5. הנחות טכנולוגיה - שלוש הטכנולוגיות</w:t>
      </w:r>
    </w:p>
    <w:p>
      <w:pPr>
        <w:bidi/>
        <w:jc w:val="right"/>
      </w:pPr>
      <w:r>
        <w:rPr>
          <w:rFonts w:ascii="David" w:hAnsi="David" w:cs="David"/>
          <w:b w:val="0"/>
          <w:i w:val="0"/>
          <w:sz w:val="22"/>
          <w:rtl/>
        </w:rPr>
        <w:t>כל טכנולוגיה נבנתה בנקודת קיבולת ממוצעת אחת (קונסולידציה משתי נקודות קיבולת שנבדקו בשלב המקורי של איסוף הנתונים), עם השוואה בין ציוד קונבנציונלי (בסיס) לציוד יעיל.</w:t>
      </w:r>
    </w:p>
    <w:p>
      <w:pPr>
        <w:bidi/>
        <w:jc w:val="right"/>
      </w:pPr>
      <w:r>
        <w:rPr>
          <w:rFonts w:ascii="David" w:hAnsi="David" w:cs="David"/>
          <w:b/>
          <w:i w:val="0"/>
          <w:sz w:val="23"/>
          <w:rtl/>
        </w:rPr>
        <w:t>5.1 משאבות חום - 55 kW</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right"/>
            </w:pPr>
            <w:r>
              <w:rPr>
                <w:rFonts w:ascii="David" w:hAnsi="David"/>
                <w:b/>
                <w:sz w:val="21"/>
                <w:rtl/>
              </w:rPr>
              <w:t>פרמטר</w:t>
            </w:r>
          </w:p>
        </w:tc>
        <w:tc>
          <w:tcPr>
            <w:tcW w:type="dxa" w:w="2880"/>
          </w:tcPr>
          <w:p>
            <w:pPr>
              <w:bidi/>
              <w:jc w:val="right"/>
            </w:pPr>
            <w:r>
              <w:rPr>
                <w:rFonts w:ascii="David" w:hAnsi="David"/>
                <w:b/>
                <w:sz w:val="21"/>
                <w:rtl/>
              </w:rPr>
              <w:t>ערך</w:t>
            </w:r>
          </w:p>
        </w:tc>
        <w:tc>
          <w:tcPr>
            <w:tcW w:type="dxa" w:w="2880"/>
          </w:tcPr>
          <w:p>
            <w:pPr>
              <w:bidi/>
              <w:jc w:val="right"/>
            </w:pPr>
            <w:r>
              <w:rPr>
                <w:rFonts w:ascii="David" w:hAnsi="David"/>
                <w:b/>
                <w:sz w:val="21"/>
                <w:rtl/>
              </w:rPr>
              <w:t>מקור</w:t>
            </w:r>
          </w:p>
        </w:tc>
      </w:tr>
      <w:tr>
        <w:tc>
          <w:tcPr>
            <w:tcW w:type="dxa" w:w="2880"/>
          </w:tcPr>
          <w:p>
            <w:pPr>
              <w:bidi/>
              <w:jc w:val="right"/>
            </w:pPr>
            <w:r>
              <w:rPr>
                <w:rFonts w:ascii="David" w:hAnsi="David"/>
                <w:sz w:val="20"/>
                <w:rtl/>
              </w:rPr>
              <w:t>קיבולת מותקנת</w:t>
            </w:r>
          </w:p>
        </w:tc>
        <w:tc>
          <w:tcPr>
            <w:tcW w:type="dxa" w:w="2880"/>
          </w:tcPr>
          <w:p>
            <w:pPr>
              <w:bidi/>
              <w:jc w:val="right"/>
            </w:pPr>
            <w:r>
              <w:rPr>
                <w:rFonts w:ascii="David" w:hAnsi="David"/>
                <w:sz w:val="20"/>
                <w:rtl/>
              </w:rPr>
              <w:t>55 kW</w:t>
            </w:r>
          </w:p>
        </w:tc>
        <w:tc>
          <w:tcPr>
            <w:tcW w:type="dxa" w:w="2880"/>
          </w:tcPr>
          <w:p>
            <w:pPr>
              <w:bidi/>
              <w:jc w:val="right"/>
            </w:pPr>
            <w:r>
              <w:rPr>
                <w:rFonts w:ascii="David" w:hAnsi="David"/>
                <w:sz w:val="20"/>
                <w:rtl/>
              </w:rPr>
              <w:t>קונסולידציה משתי נקודות קיבולת (40kW/70kW)</w:t>
            </w:r>
          </w:p>
        </w:tc>
      </w:tr>
      <w:tr>
        <w:tc>
          <w:tcPr>
            <w:tcW w:type="dxa" w:w="2880"/>
          </w:tcPr>
          <w:p>
            <w:pPr>
              <w:bidi/>
              <w:jc w:val="right"/>
            </w:pPr>
            <w:r>
              <w:rPr>
                <w:rFonts w:ascii="David" w:hAnsi="David"/>
                <w:sz w:val="20"/>
                <w:rtl/>
              </w:rPr>
              <w:t>שעות פעילות שנתיות</w:t>
            </w:r>
          </w:p>
        </w:tc>
        <w:tc>
          <w:tcPr>
            <w:tcW w:type="dxa" w:w="2880"/>
          </w:tcPr>
          <w:p>
            <w:pPr>
              <w:bidi/>
              <w:jc w:val="right"/>
            </w:pPr>
            <w:r>
              <w:rPr>
                <w:rFonts w:ascii="David" w:hAnsi="David"/>
                <w:sz w:val="20"/>
                <w:rtl/>
              </w:rPr>
              <w:t>5,000</w:t>
            </w:r>
          </w:p>
        </w:tc>
        <w:tc>
          <w:tcPr>
            <w:tcW w:type="dxa" w:w="2880"/>
          </w:tcPr>
          <w:p>
            <w:pPr>
              <w:bidi/>
              <w:jc w:val="right"/>
            </w:pPr>
            <w:r>
              <w:rPr>
                <w:rFonts w:ascii="David" w:hAnsi="David"/>
                <w:sz w:val="20"/>
                <w:rtl/>
              </w:rPr>
              <w:t>מספרו של רפי (הנחת עבודה, לא מאומת עצמאית)</w:t>
            </w:r>
          </w:p>
        </w:tc>
      </w:tr>
      <w:tr>
        <w:tc>
          <w:tcPr>
            <w:tcW w:type="dxa" w:w="2880"/>
          </w:tcPr>
          <w:p>
            <w:pPr>
              <w:bidi/>
              <w:jc w:val="right"/>
            </w:pPr>
            <w:r>
              <w:rPr>
                <w:rFonts w:ascii="David" w:hAnsi="David"/>
                <w:sz w:val="20"/>
                <w:rtl/>
              </w:rPr>
              <w:t>COP - ציוד יעיל</w:t>
            </w:r>
          </w:p>
        </w:tc>
        <w:tc>
          <w:tcPr>
            <w:tcW w:type="dxa" w:w="2880"/>
          </w:tcPr>
          <w:p>
            <w:pPr>
              <w:bidi/>
              <w:jc w:val="right"/>
            </w:pPr>
            <w:r>
              <w:rPr>
                <w:rFonts w:ascii="David" w:hAnsi="David"/>
                <w:sz w:val="20"/>
                <w:rtl/>
              </w:rPr>
              <w:t>3.68</w:t>
            </w:r>
          </w:p>
        </w:tc>
        <w:tc>
          <w:tcPr>
            <w:tcW w:type="dxa" w:w="2880"/>
          </w:tcPr>
          <w:p>
            <w:pPr>
              <w:bidi/>
              <w:jc w:val="right"/>
            </w:pPr>
            <w:r>
              <w:rPr>
                <w:rFonts w:ascii="David" w:hAnsi="David"/>
                <w:sz w:val="20"/>
                <w:rtl/>
              </w:rPr>
              <w:t>Sprsun, ממוצע שני המוצרים</w:t>
            </w:r>
          </w:p>
        </w:tc>
      </w:tr>
      <w:tr>
        <w:tc>
          <w:tcPr>
            <w:tcW w:type="dxa" w:w="2880"/>
          </w:tcPr>
          <w:p>
            <w:pPr>
              <w:bidi/>
              <w:jc w:val="right"/>
            </w:pPr>
            <w:r>
              <w:rPr>
                <w:rFonts w:ascii="David" w:hAnsi="David"/>
                <w:sz w:val="20"/>
                <w:rtl/>
              </w:rPr>
              <w:t>COP - ציוד בסיסי (תקן מינימלי)</w:t>
            </w:r>
          </w:p>
        </w:tc>
        <w:tc>
          <w:tcPr>
            <w:tcW w:type="dxa" w:w="2880"/>
          </w:tcPr>
          <w:p>
            <w:pPr>
              <w:bidi/>
              <w:jc w:val="right"/>
            </w:pPr>
            <w:r>
              <w:rPr>
                <w:rFonts w:ascii="David" w:hAnsi="David"/>
                <w:sz w:val="20"/>
                <w:rtl/>
              </w:rPr>
              <w:t>3.3</w:t>
            </w:r>
          </w:p>
        </w:tc>
        <w:tc>
          <w:tcPr>
            <w:tcW w:type="dxa" w:w="2880"/>
          </w:tcPr>
          <w:p>
            <w:pPr>
              <w:bidi/>
              <w:jc w:val="right"/>
            </w:pPr>
            <w:r>
              <w:rPr>
                <w:rFonts w:ascii="David" w:hAnsi="David"/>
                <w:sz w:val="20"/>
                <w:rtl/>
              </w:rPr>
              <w:t>DOE FEMP / ASHRAE 90.1-2019, ב-47°F</w:t>
            </w:r>
          </w:p>
        </w:tc>
      </w:tr>
      <w:tr>
        <w:tc>
          <w:tcPr>
            <w:tcW w:type="dxa" w:w="2880"/>
          </w:tcPr>
          <w:p>
            <w:pPr>
              <w:bidi/>
              <w:jc w:val="right"/>
            </w:pPr>
            <w:r>
              <w:rPr>
                <w:rFonts w:ascii="David" w:hAnsi="David"/>
                <w:sz w:val="20"/>
                <w:rtl/>
              </w:rPr>
              <w:t>CapEx - ציוד יעיל</w:t>
            </w:r>
          </w:p>
        </w:tc>
        <w:tc>
          <w:tcPr>
            <w:tcW w:type="dxa" w:w="2880"/>
          </w:tcPr>
          <w:p>
            <w:pPr>
              <w:bidi/>
              <w:jc w:val="right"/>
            </w:pPr>
            <w:r>
              <w:rPr>
                <w:rFonts w:ascii="David" w:hAnsi="David"/>
                <w:sz w:val="20"/>
                <w:rtl/>
              </w:rPr>
              <w:t>₪57,750 (₪1,050/kW)</w:t>
            </w:r>
          </w:p>
        </w:tc>
        <w:tc>
          <w:tcPr>
            <w:tcW w:type="dxa" w:w="2880"/>
          </w:tcPr>
          <w:p>
            <w:pPr>
              <w:bidi/>
              <w:jc w:val="right"/>
            </w:pPr>
            <w:r>
              <w:rPr>
                <w:rFonts w:ascii="David" w:hAnsi="David"/>
                <w:sz w:val="20"/>
                <w:rtl/>
              </w:rPr>
              <w:t>נתוני תכנית המענקים</w:t>
            </w:r>
          </w:p>
        </w:tc>
      </w:tr>
      <w:tr>
        <w:tc>
          <w:tcPr>
            <w:tcW w:type="dxa" w:w="2880"/>
          </w:tcPr>
          <w:p>
            <w:pPr>
              <w:bidi/>
              <w:jc w:val="right"/>
            </w:pPr>
            <w:r>
              <w:rPr>
                <w:rFonts w:ascii="David" w:hAnsi="David"/>
                <w:sz w:val="20"/>
                <w:rtl/>
              </w:rPr>
              <w:t>CapEx - ציוד בסיסי</w:t>
            </w:r>
          </w:p>
        </w:tc>
        <w:tc>
          <w:tcPr>
            <w:tcW w:type="dxa" w:w="2880"/>
          </w:tcPr>
          <w:p>
            <w:pPr>
              <w:bidi/>
              <w:jc w:val="right"/>
            </w:pPr>
            <w:r>
              <w:rPr>
                <w:rFonts w:ascii="David" w:hAnsi="David"/>
                <w:sz w:val="20"/>
                <w:rtl/>
              </w:rPr>
              <w:t>₪48,125 (₪875/kW)</w:t>
            </w:r>
          </w:p>
        </w:tc>
        <w:tc>
          <w:tcPr>
            <w:tcW w:type="dxa" w:w="2880"/>
          </w:tcPr>
          <w:p>
            <w:pPr>
              <w:bidi/>
              <w:jc w:val="right"/>
            </w:pPr>
            <w:r>
              <w:rPr>
                <w:rFonts w:ascii="David" w:hAnsi="David"/>
                <w:sz w:val="20"/>
                <w:rtl/>
              </w:rPr>
              <w:t>נגזר: ₪1,050 חלקי 1.20, פרמיית יעילות מוערכת 15-25% - הערכה, לא ציטוט ישיר</w:t>
            </w:r>
          </w:p>
        </w:tc>
      </w:tr>
      <w:tr>
        <w:tc>
          <w:tcPr>
            <w:tcW w:type="dxa" w:w="2880"/>
          </w:tcPr>
          <w:p>
            <w:pPr>
              <w:bidi/>
              <w:jc w:val="right"/>
            </w:pPr>
            <w:r>
              <w:rPr>
                <w:rFonts w:ascii="David" w:hAnsi="David"/>
                <w:sz w:val="20"/>
                <w:rtl/>
              </w:rPr>
              <w:t>אורך חיים (בסיסי ויעיל)</w:t>
            </w:r>
          </w:p>
        </w:tc>
        <w:tc>
          <w:tcPr>
            <w:tcW w:type="dxa" w:w="2880"/>
          </w:tcPr>
          <w:p>
            <w:pPr>
              <w:bidi/>
              <w:jc w:val="right"/>
            </w:pPr>
            <w:r>
              <w:rPr>
                <w:rFonts w:ascii="David" w:hAnsi="David"/>
                <w:sz w:val="20"/>
                <w:rtl/>
              </w:rPr>
              <w:t>15 שנים</w:t>
            </w:r>
          </w:p>
        </w:tc>
        <w:tc>
          <w:tcPr>
            <w:tcW w:type="dxa" w:w="2880"/>
          </w:tcPr>
          <w:p>
            <w:pPr>
              <w:bidi/>
              <w:jc w:val="right"/>
            </w:pPr>
            <w:r>
              <w:rPr>
                <w:rFonts w:ascii="David" w:hAnsi="David"/>
                <w:sz w:val="20"/>
                <w:rtl/>
              </w:rPr>
              <w:t>ממצאי הנדסה / הנחת עבודה</w:t>
            </w:r>
          </w:p>
        </w:tc>
      </w:tr>
      <w:tr>
        <w:tc>
          <w:tcPr>
            <w:tcW w:type="dxa" w:w="2880"/>
          </w:tcPr>
          <w:p>
            <w:pPr>
              <w:bidi/>
              <w:jc w:val="right"/>
            </w:pPr>
            <w:r>
              <w:rPr>
                <w:rFonts w:ascii="David" w:hAnsi="David"/>
                <w:sz w:val="20"/>
                <w:rtl/>
              </w:rPr>
              <w:t>גורם שחיקת ביצועים</w:t>
            </w:r>
          </w:p>
        </w:tc>
        <w:tc>
          <w:tcPr>
            <w:tcW w:type="dxa" w:w="2880"/>
          </w:tcPr>
          <w:p>
            <w:pPr>
              <w:bidi/>
              <w:jc w:val="right"/>
            </w:pPr>
            <w:r>
              <w:rPr>
                <w:rFonts w:ascii="David" w:hAnsi="David"/>
                <w:sz w:val="20"/>
                <w:rtl/>
              </w:rPr>
              <w:t>0.5%/שנה</w:t>
            </w:r>
          </w:p>
        </w:tc>
        <w:tc>
          <w:tcPr>
            <w:tcW w:type="dxa" w:w="2880"/>
          </w:tcPr>
          <w:p>
            <w:pPr>
              <w:bidi/>
              <w:jc w:val="right"/>
            </w:pPr>
            <w:r>
              <w:rPr>
                <w:rFonts w:ascii="David" w:hAnsi="David"/>
                <w:sz w:val="20"/>
                <w:rtl/>
              </w:rPr>
              <w:t>הנחת עבודה, סימטרי בין ציוד בסיסי ויעיל</w:t>
            </w:r>
          </w:p>
        </w:tc>
      </w:tr>
    </w:tbl>
    <w:p/>
    <w:p>
      <w:pPr>
        <w:bidi/>
        <w:jc w:val="right"/>
      </w:pPr>
      <w:r>
        <w:rPr>
          <w:rFonts w:ascii="David" w:hAnsi="David" w:cs="David"/>
          <w:b/>
          <w:i w:val="0"/>
          <w:sz w:val="23"/>
          <w:rtl/>
        </w:rPr>
        <w:t>5.2 צ'ילרים - 120 טון קירור</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right"/>
            </w:pPr>
            <w:r>
              <w:rPr>
                <w:rFonts w:ascii="David" w:hAnsi="David"/>
                <w:b/>
                <w:sz w:val="21"/>
                <w:rtl/>
              </w:rPr>
              <w:t>פרמטר</w:t>
            </w:r>
          </w:p>
        </w:tc>
        <w:tc>
          <w:tcPr>
            <w:tcW w:type="dxa" w:w="2880"/>
          </w:tcPr>
          <w:p>
            <w:pPr>
              <w:bidi/>
              <w:jc w:val="right"/>
            </w:pPr>
            <w:r>
              <w:rPr>
                <w:rFonts w:ascii="David" w:hAnsi="David"/>
                <w:b/>
                <w:sz w:val="21"/>
                <w:rtl/>
              </w:rPr>
              <w:t>ערך</w:t>
            </w:r>
          </w:p>
        </w:tc>
        <w:tc>
          <w:tcPr>
            <w:tcW w:type="dxa" w:w="2880"/>
          </w:tcPr>
          <w:p>
            <w:pPr>
              <w:bidi/>
              <w:jc w:val="right"/>
            </w:pPr>
            <w:r>
              <w:rPr>
                <w:rFonts w:ascii="David" w:hAnsi="David"/>
                <w:b/>
                <w:sz w:val="21"/>
                <w:rtl/>
              </w:rPr>
              <w:t>מקור</w:t>
            </w:r>
          </w:p>
        </w:tc>
      </w:tr>
      <w:tr>
        <w:tc>
          <w:tcPr>
            <w:tcW w:type="dxa" w:w="2880"/>
          </w:tcPr>
          <w:p>
            <w:pPr>
              <w:bidi/>
              <w:jc w:val="right"/>
            </w:pPr>
            <w:r>
              <w:rPr>
                <w:rFonts w:ascii="David" w:hAnsi="David"/>
                <w:sz w:val="20"/>
                <w:rtl/>
              </w:rPr>
              <w:t>קיבולת מותקנת</w:t>
            </w:r>
          </w:p>
        </w:tc>
        <w:tc>
          <w:tcPr>
            <w:tcW w:type="dxa" w:w="2880"/>
          </w:tcPr>
          <w:p>
            <w:pPr>
              <w:bidi/>
              <w:jc w:val="right"/>
            </w:pPr>
            <w:r>
              <w:rPr>
                <w:rFonts w:ascii="David" w:hAnsi="David"/>
                <w:sz w:val="20"/>
                <w:rtl/>
              </w:rPr>
              <w:t>120 RT</w:t>
            </w:r>
          </w:p>
        </w:tc>
        <w:tc>
          <w:tcPr>
            <w:tcW w:type="dxa" w:w="2880"/>
          </w:tcPr>
          <w:p>
            <w:pPr>
              <w:bidi/>
              <w:jc w:val="right"/>
            </w:pPr>
            <w:r>
              <w:rPr>
                <w:rFonts w:ascii="David" w:hAnsi="David"/>
                <w:sz w:val="20"/>
                <w:rtl/>
              </w:rPr>
              <w:t>חציון פרויקטי צ'ילרים ממומנים בתכנית המענקים (117 RT בפועל, עוגל ל-120)</w:t>
            </w:r>
          </w:p>
        </w:tc>
      </w:tr>
      <w:tr>
        <w:tc>
          <w:tcPr>
            <w:tcW w:type="dxa" w:w="2880"/>
          </w:tcPr>
          <w:p>
            <w:pPr>
              <w:bidi/>
              <w:jc w:val="right"/>
            </w:pPr>
            <w:r>
              <w:rPr>
                <w:rFonts w:ascii="David" w:hAnsi="David"/>
                <w:sz w:val="20"/>
                <w:rtl/>
              </w:rPr>
              <w:t>שעות פעילות שנתיות</w:t>
            </w:r>
          </w:p>
        </w:tc>
        <w:tc>
          <w:tcPr>
            <w:tcW w:type="dxa" w:w="2880"/>
          </w:tcPr>
          <w:p>
            <w:pPr>
              <w:bidi/>
              <w:jc w:val="right"/>
            </w:pPr>
            <w:r>
              <w:rPr>
                <w:rFonts w:ascii="David" w:hAnsi="David"/>
                <w:sz w:val="20"/>
                <w:rtl/>
              </w:rPr>
              <w:t>3,000</w:t>
            </w:r>
          </w:p>
        </w:tc>
        <w:tc>
          <w:tcPr>
            <w:tcW w:type="dxa" w:w="2880"/>
          </w:tcPr>
          <w:p>
            <w:pPr>
              <w:bidi/>
              <w:jc w:val="right"/>
            </w:pPr>
            <w:r>
              <w:rPr>
                <w:rFonts w:ascii="David" w:hAnsi="David"/>
                <w:sz w:val="20"/>
                <w:rtl/>
              </w:rPr>
              <w:t>הנחת עבודה</w:t>
            </w:r>
          </w:p>
        </w:tc>
      </w:tr>
      <w:tr>
        <w:tc>
          <w:tcPr>
            <w:tcW w:type="dxa" w:w="2880"/>
          </w:tcPr>
          <w:p>
            <w:pPr>
              <w:bidi/>
              <w:jc w:val="right"/>
            </w:pPr>
            <w:r>
              <w:rPr>
                <w:rFonts w:ascii="David" w:hAnsi="David"/>
                <w:sz w:val="20"/>
                <w:rtl/>
              </w:rPr>
              <w:t>יעילות - ציוד בסיסי</w:t>
            </w:r>
          </w:p>
        </w:tc>
        <w:tc>
          <w:tcPr>
            <w:tcW w:type="dxa" w:w="2880"/>
          </w:tcPr>
          <w:p>
            <w:pPr>
              <w:bidi/>
              <w:jc w:val="right"/>
            </w:pPr>
            <w:r>
              <w:rPr>
                <w:rFonts w:ascii="David" w:hAnsi="David"/>
                <w:sz w:val="20"/>
                <w:rtl/>
              </w:rPr>
              <w:t>0.775 kW/ton</w:t>
            </w:r>
          </w:p>
        </w:tc>
        <w:tc>
          <w:tcPr>
            <w:tcW w:type="dxa" w:w="2880"/>
          </w:tcPr>
          <w:p>
            <w:pPr>
              <w:bidi/>
              <w:jc w:val="right"/>
            </w:pPr>
            <w:r>
              <w:rPr>
                <w:rFonts w:ascii="David" w:hAnsi="David"/>
                <w:sz w:val="20"/>
                <w:rtl/>
              </w:rPr>
              <w:t>ASHRAE 90.1, טבלה 6.8.1-3</w:t>
            </w:r>
          </w:p>
        </w:tc>
      </w:tr>
      <w:tr>
        <w:tc>
          <w:tcPr>
            <w:tcW w:type="dxa" w:w="2880"/>
          </w:tcPr>
          <w:p>
            <w:pPr>
              <w:bidi/>
              <w:jc w:val="right"/>
            </w:pPr>
            <w:r>
              <w:rPr>
                <w:rFonts w:ascii="David" w:hAnsi="David"/>
                <w:sz w:val="20"/>
                <w:rtl/>
              </w:rPr>
              <w:t>יעילות - ציוד יעיל</w:t>
            </w:r>
          </w:p>
        </w:tc>
        <w:tc>
          <w:tcPr>
            <w:tcW w:type="dxa" w:w="2880"/>
          </w:tcPr>
          <w:p>
            <w:pPr>
              <w:bidi/>
              <w:jc w:val="right"/>
            </w:pPr>
            <w:r>
              <w:rPr>
                <w:rFonts w:ascii="David" w:hAnsi="David"/>
                <w:sz w:val="20"/>
                <w:rtl/>
              </w:rPr>
              <w:t>0.64 kW/ton</w:t>
            </w:r>
          </w:p>
        </w:tc>
        <w:tc>
          <w:tcPr>
            <w:tcW w:type="dxa" w:w="2880"/>
          </w:tcPr>
          <w:p>
            <w:pPr>
              <w:bidi/>
              <w:jc w:val="right"/>
            </w:pPr>
            <w:r>
              <w:rPr>
                <w:rFonts w:ascii="David" w:hAnsi="David"/>
                <w:sz w:val="20"/>
                <w:rtl/>
              </w:rPr>
              <w:t>DOE FEMP - Purchasing Energy-Efficient Water-Cooled Electric Chillers</w:t>
            </w:r>
          </w:p>
        </w:tc>
      </w:tr>
      <w:tr>
        <w:tc>
          <w:tcPr>
            <w:tcW w:type="dxa" w:w="2880"/>
          </w:tcPr>
          <w:p>
            <w:pPr>
              <w:bidi/>
              <w:jc w:val="right"/>
            </w:pPr>
            <w:r>
              <w:rPr>
                <w:rFonts w:ascii="David" w:hAnsi="David"/>
                <w:sz w:val="20"/>
                <w:rtl/>
              </w:rPr>
              <w:t>CapEx - ציוד יעיל</w:t>
            </w:r>
          </w:p>
        </w:tc>
        <w:tc>
          <w:tcPr>
            <w:tcW w:type="dxa" w:w="2880"/>
          </w:tcPr>
          <w:p>
            <w:pPr>
              <w:bidi/>
              <w:jc w:val="right"/>
            </w:pPr>
            <w:r>
              <w:rPr>
                <w:rFonts w:ascii="David" w:hAnsi="David"/>
                <w:sz w:val="20"/>
                <w:rtl/>
              </w:rPr>
              <w:t>₪4,186/טון</w:t>
            </w:r>
          </w:p>
        </w:tc>
        <w:tc>
          <w:tcPr>
            <w:tcW w:type="dxa" w:w="2880"/>
          </w:tcPr>
          <w:p>
            <w:pPr>
              <w:bidi/>
              <w:jc w:val="right"/>
            </w:pPr>
            <w:r>
              <w:rPr>
                <w:rFonts w:ascii="David" w:hAnsi="David"/>
                <w:sz w:val="20"/>
                <w:rtl/>
              </w:rPr>
              <w:t>חציון נתוני תכנית המענקים (96 פרויקטים, 2017-2022)</w:t>
            </w:r>
          </w:p>
        </w:tc>
      </w:tr>
      <w:tr>
        <w:tc>
          <w:tcPr>
            <w:tcW w:type="dxa" w:w="2880"/>
          </w:tcPr>
          <w:p>
            <w:pPr>
              <w:bidi/>
              <w:jc w:val="right"/>
            </w:pPr>
            <w:r>
              <w:rPr>
                <w:rFonts w:ascii="David" w:hAnsi="David"/>
                <w:sz w:val="20"/>
                <w:rtl/>
              </w:rPr>
              <w:t>CapEx - ציוד בסיסי</w:t>
            </w:r>
          </w:p>
        </w:tc>
        <w:tc>
          <w:tcPr>
            <w:tcW w:type="dxa" w:w="2880"/>
          </w:tcPr>
          <w:p>
            <w:pPr>
              <w:bidi/>
              <w:jc w:val="right"/>
            </w:pPr>
            <w:r>
              <w:rPr>
                <w:rFonts w:ascii="David" w:hAnsi="David"/>
                <w:sz w:val="20"/>
                <w:rtl/>
              </w:rPr>
              <w:t>₪3,562/טון</w:t>
            </w:r>
          </w:p>
        </w:tc>
        <w:tc>
          <w:tcPr>
            <w:tcW w:type="dxa" w:w="2880"/>
          </w:tcPr>
          <w:p>
            <w:pPr>
              <w:bidi/>
              <w:jc w:val="right"/>
            </w:pPr>
            <w:r>
              <w:rPr>
                <w:rFonts w:ascii="David" w:hAnsi="David"/>
                <w:sz w:val="20"/>
                <w:rtl/>
              </w:rPr>
              <w:t>נגזר: ₪4,186 חלקי 1.175, פרמיית יעילות 10-25% (DOE FEMP ומקורות שוק) - הערכה</w:t>
            </w:r>
          </w:p>
        </w:tc>
      </w:tr>
      <w:tr>
        <w:tc>
          <w:tcPr>
            <w:tcW w:type="dxa" w:w="2880"/>
          </w:tcPr>
          <w:p>
            <w:pPr>
              <w:bidi/>
              <w:jc w:val="right"/>
            </w:pPr>
            <w:r>
              <w:rPr>
                <w:rFonts w:ascii="David" w:hAnsi="David"/>
                <w:sz w:val="20"/>
                <w:rtl/>
              </w:rPr>
              <w:t>אורך חיים (בסיסי ויעיל)</w:t>
            </w:r>
          </w:p>
        </w:tc>
        <w:tc>
          <w:tcPr>
            <w:tcW w:type="dxa" w:w="2880"/>
          </w:tcPr>
          <w:p>
            <w:pPr>
              <w:bidi/>
              <w:jc w:val="right"/>
            </w:pPr>
            <w:r>
              <w:rPr>
                <w:rFonts w:ascii="David" w:hAnsi="David"/>
                <w:sz w:val="20"/>
                <w:rtl/>
              </w:rPr>
              <w:t>15 שנים</w:t>
            </w:r>
          </w:p>
        </w:tc>
        <w:tc>
          <w:tcPr>
            <w:tcW w:type="dxa" w:w="2880"/>
          </w:tcPr>
          <w:p>
            <w:pPr>
              <w:bidi/>
              <w:jc w:val="right"/>
            </w:pPr>
            <w:r>
              <w:rPr>
                <w:rFonts w:ascii="David" w:hAnsi="David"/>
                <w:sz w:val="20"/>
                <w:rtl/>
              </w:rPr>
              <w:t>ממצאי הנדסה / הנחת עבודה (הושוו זה לזה, ראו הערה בהמשך)</w:t>
            </w:r>
          </w:p>
        </w:tc>
      </w:tr>
      <w:tr>
        <w:tc>
          <w:tcPr>
            <w:tcW w:type="dxa" w:w="2880"/>
          </w:tcPr>
          <w:p>
            <w:pPr>
              <w:bidi/>
              <w:jc w:val="right"/>
            </w:pPr>
            <w:r>
              <w:rPr>
                <w:rFonts w:ascii="David" w:hAnsi="David"/>
                <w:sz w:val="20"/>
                <w:rtl/>
              </w:rPr>
              <w:t>גורם שחיקת ביצועים</w:t>
            </w:r>
          </w:p>
        </w:tc>
        <w:tc>
          <w:tcPr>
            <w:tcW w:type="dxa" w:w="2880"/>
          </w:tcPr>
          <w:p>
            <w:pPr>
              <w:bidi/>
              <w:jc w:val="right"/>
            </w:pPr>
            <w:r>
              <w:rPr>
                <w:rFonts w:ascii="David" w:hAnsi="David"/>
                <w:sz w:val="20"/>
                <w:rtl/>
              </w:rPr>
              <w:t>0.5%/שנה</w:t>
            </w:r>
          </w:p>
        </w:tc>
        <w:tc>
          <w:tcPr>
            <w:tcW w:type="dxa" w:w="2880"/>
          </w:tcPr>
          <w:p>
            <w:pPr>
              <w:bidi/>
              <w:jc w:val="right"/>
            </w:pPr>
            <w:r>
              <w:rPr>
                <w:rFonts w:ascii="David" w:hAnsi="David"/>
                <w:sz w:val="20"/>
                <w:rtl/>
              </w:rPr>
              <w:t>הנחת עבודה</w:t>
            </w:r>
          </w:p>
        </w:tc>
      </w:tr>
    </w:tbl>
    <w:p/>
    <w:p>
      <w:pPr>
        <w:bidi/>
        <w:jc w:val="right"/>
      </w:pPr>
      <w:r>
        <w:rPr>
          <w:rFonts w:ascii="David" w:hAnsi="David" w:cs="David"/>
          <w:b/>
          <w:i w:val="0"/>
          <w:sz w:val="23"/>
          <w:rtl/>
        </w:rPr>
        <w:t>5.3 מדחסי VSD - 97.5 kW</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jc w:val="right"/>
            </w:pPr>
            <w:r>
              <w:rPr>
                <w:rFonts w:ascii="David" w:hAnsi="David"/>
                <w:b/>
                <w:sz w:val="21"/>
                <w:rtl/>
              </w:rPr>
              <w:t>פרמטר</w:t>
            </w:r>
          </w:p>
        </w:tc>
        <w:tc>
          <w:tcPr>
            <w:tcW w:type="dxa" w:w="2880"/>
          </w:tcPr>
          <w:p>
            <w:pPr>
              <w:bidi/>
              <w:jc w:val="right"/>
            </w:pPr>
            <w:r>
              <w:rPr>
                <w:rFonts w:ascii="David" w:hAnsi="David"/>
                <w:b/>
                <w:sz w:val="21"/>
                <w:rtl/>
              </w:rPr>
              <w:t>ערך</w:t>
            </w:r>
          </w:p>
        </w:tc>
        <w:tc>
          <w:tcPr>
            <w:tcW w:type="dxa" w:w="2880"/>
          </w:tcPr>
          <w:p>
            <w:pPr>
              <w:bidi/>
              <w:jc w:val="right"/>
            </w:pPr>
            <w:r>
              <w:rPr>
                <w:rFonts w:ascii="David" w:hAnsi="David"/>
                <w:b/>
                <w:sz w:val="21"/>
                <w:rtl/>
              </w:rPr>
              <w:t>מקור</w:t>
            </w:r>
          </w:p>
        </w:tc>
      </w:tr>
      <w:tr>
        <w:tc>
          <w:tcPr>
            <w:tcW w:type="dxa" w:w="2880"/>
          </w:tcPr>
          <w:p>
            <w:pPr>
              <w:bidi/>
              <w:jc w:val="right"/>
            </w:pPr>
            <w:r>
              <w:rPr>
                <w:rFonts w:ascii="David" w:hAnsi="David"/>
                <w:sz w:val="20"/>
                <w:rtl/>
              </w:rPr>
              <w:t>קיבולת מותקנת</w:t>
            </w:r>
          </w:p>
        </w:tc>
        <w:tc>
          <w:tcPr>
            <w:tcW w:type="dxa" w:w="2880"/>
          </w:tcPr>
          <w:p>
            <w:pPr>
              <w:bidi/>
              <w:jc w:val="right"/>
            </w:pPr>
            <w:r>
              <w:rPr>
                <w:rFonts w:ascii="David" w:hAnsi="David"/>
                <w:sz w:val="20"/>
                <w:rtl/>
              </w:rPr>
              <w:t>97.5 kW</w:t>
            </w:r>
          </w:p>
        </w:tc>
        <w:tc>
          <w:tcPr>
            <w:tcW w:type="dxa" w:w="2880"/>
          </w:tcPr>
          <w:p>
            <w:pPr>
              <w:bidi/>
              <w:jc w:val="right"/>
            </w:pPr>
            <w:r>
              <w:rPr>
                <w:rFonts w:ascii="David" w:hAnsi="David"/>
                <w:sz w:val="20"/>
                <w:rtl/>
              </w:rPr>
              <w:t>קונסולידציה משתי נקודות קיבולת (45kW/150kW)</w:t>
            </w:r>
          </w:p>
        </w:tc>
      </w:tr>
      <w:tr>
        <w:tc>
          <w:tcPr>
            <w:tcW w:type="dxa" w:w="2880"/>
          </w:tcPr>
          <w:p>
            <w:pPr>
              <w:bidi/>
              <w:jc w:val="right"/>
            </w:pPr>
            <w:r>
              <w:rPr>
                <w:rFonts w:ascii="David" w:hAnsi="David"/>
                <w:sz w:val="20"/>
                <w:rtl/>
              </w:rPr>
              <w:t>שעות פעילות שנתיות</w:t>
            </w:r>
          </w:p>
        </w:tc>
        <w:tc>
          <w:tcPr>
            <w:tcW w:type="dxa" w:w="2880"/>
          </w:tcPr>
          <w:p>
            <w:pPr>
              <w:bidi/>
              <w:jc w:val="right"/>
            </w:pPr>
            <w:r>
              <w:rPr>
                <w:rFonts w:ascii="David" w:hAnsi="David"/>
                <w:sz w:val="20"/>
                <w:rtl/>
              </w:rPr>
              <w:t>5,000</w:t>
            </w:r>
          </w:p>
        </w:tc>
        <w:tc>
          <w:tcPr>
            <w:tcW w:type="dxa" w:w="2880"/>
          </w:tcPr>
          <w:p>
            <w:pPr>
              <w:bidi/>
              <w:jc w:val="right"/>
            </w:pPr>
            <w:r>
              <w:rPr>
                <w:rFonts w:ascii="David" w:hAnsi="David"/>
                <w:sz w:val="20"/>
                <w:rtl/>
              </w:rPr>
              <w:t>הנחת עבודה</w:t>
            </w:r>
          </w:p>
        </w:tc>
      </w:tr>
      <w:tr>
        <w:tc>
          <w:tcPr>
            <w:tcW w:type="dxa" w:w="2880"/>
          </w:tcPr>
          <w:p>
            <w:pPr>
              <w:bidi/>
              <w:jc w:val="right"/>
            </w:pPr>
            <w:r>
              <w:rPr>
                <w:rFonts w:ascii="David" w:hAnsi="David"/>
                <w:sz w:val="20"/>
                <w:rtl/>
              </w:rPr>
              <w:t>הספק סגולי - ציוד בסיסי</w:t>
            </w:r>
          </w:p>
        </w:tc>
        <w:tc>
          <w:tcPr>
            <w:tcW w:type="dxa" w:w="2880"/>
          </w:tcPr>
          <w:p>
            <w:pPr>
              <w:bidi/>
              <w:jc w:val="right"/>
            </w:pPr>
            <w:r>
              <w:rPr>
                <w:rFonts w:ascii="David" w:hAnsi="David"/>
                <w:sz w:val="20"/>
                <w:rtl/>
              </w:rPr>
              <w:t>21.5 kW/100cfm</w:t>
            </w:r>
          </w:p>
        </w:tc>
        <w:tc>
          <w:tcPr>
            <w:tcW w:type="dxa" w:w="2880"/>
          </w:tcPr>
          <w:p>
            <w:pPr>
              <w:bidi/>
              <w:jc w:val="right"/>
            </w:pPr>
            <w:r>
              <w:rPr>
                <w:rFonts w:ascii="David" w:hAnsi="David"/>
                <w:sz w:val="20"/>
                <w:rtl/>
              </w:rPr>
              <w:t>CAGI, בדיקה לפי תקן ISO 1217</w:t>
            </w:r>
          </w:p>
        </w:tc>
      </w:tr>
      <w:tr>
        <w:tc>
          <w:tcPr>
            <w:tcW w:type="dxa" w:w="2880"/>
          </w:tcPr>
          <w:p>
            <w:pPr>
              <w:bidi/>
              <w:jc w:val="right"/>
            </w:pPr>
            <w:r>
              <w:rPr>
                <w:rFonts w:ascii="David" w:hAnsi="David"/>
                <w:sz w:val="20"/>
                <w:rtl/>
              </w:rPr>
              <w:t>הספק סגולי - ציוד יעיל</w:t>
            </w:r>
          </w:p>
        </w:tc>
        <w:tc>
          <w:tcPr>
            <w:tcW w:type="dxa" w:w="2880"/>
          </w:tcPr>
          <w:p>
            <w:pPr>
              <w:bidi/>
              <w:jc w:val="right"/>
            </w:pPr>
            <w:r>
              <w:rPr>
                <w:rFonts w:ascii="David" w:hAnsi="David"/>
                <w:sz w:val="20"/>
                <w:rtl/>
              </w:rPr>
              <w:t>16.5 kW/100cfm</w:t>
            </w:r>
          </w:p>
        </w:tc>
        <w:tc>
          <w:tcPr>
            <w:tcW w:type="dxa" w:w="2880"/>
          </w:tcPr>
          <w:p>
            <w:pPr>
              <w:bidi/>
              <w:jc w:val="right"/>
            </w:pPr>
            <w:r>
              <w:rPr>
                <w:rFonts w:ascii="David" w:hAnsi="David"/>
                <w:sz w:val="20"/>
                <w:rtl/>
              </w:rPr>
              <w:t>CAGI, בדיקה לפי תקן ISO 1217</w:t>
            </w:r>
          </w:p>
        </w:tc>
      </w:tr>
      <w:tr>
        <w:tc>
          <w:tcPr>
            <w:tcW w:type="dxa" w:w="2880"/>
          </w:tcPr>
          <w:p>
            <w:pPr>
              <w:bidi/>
              <w:jc w:val="right"/>
            </w:pPr>
            <w:r>
              <w:rPr>
                <w:rFonts w:ascii="David" w:hAnsi="David"/>
                <w:sz w:val="20"/>
                <w:rtl/>
              </w:rPr>
              <w:t>CapEx - ציוד יעיל</w:t>
            </w:r>
          </w:p>
        </w:tc>
        <w:tc>
          <w:tcPr>
            <w:tcW w:type="dxa" w:w="2880"/>
          </w:tcPr>
          <w:p>
            <w:pPr>
              <w:bidi/>
              <w:jc w:val="right"/>
            </w:pPr>
            <w:r>
              <w:rPr>
                <w:rFonts w:ascii="David" w:hAnsi="David"/>
                <w:sz w:val="20"/>
                <w:rtl/>
              </w:rPr>
              <w:t>₪1,500/kW</w:t>
            </w:r>
          </w:p>
        </w:tc>
        <w:tc>
          <w:tcPr>
            <w:tcW w:type="dxa" w:w="2880"/>
          </w:tcPr>
          <w:p>
            <w:pPr>
              <w:bidi/>
              <w:jc w:val="right"/>
            </w:pPr>
            <w:r>
              <w:rPr>
                <w:rFonts w:ascii="David" w:hAnsi="David"/>
                <w:sz w:val="20"/>
                <w:rtl/>
              </w:rPr>
              <w:t>חציון נתוני תכנית המענקים (3 פרויקטים)</w:t>
            </w:r>
          </w:p>
        </w:tc>
      </w:tr>
      <w:tr>
        <w:tc>
          <w:tcPr>
            <w:tcW w:type="dxa" w:w="2880"/>
          </w:tcPr>
          <w:p>
            <w:pPr>
              <w:bidi/>
              <w:jc w:val="right"/>
            </w:pPr>
            <w:r>
              <w:rPr>
                <w:rFonts w:ascii="David" w:hAnsi="David"/>
                <w:sz w:val="20"/>
                <w:rtl/>
              </w:rPr>
              <w:t>CapEx - ציוד בסיסי</w:t>
            </w:r>
          </w:p>
        </w:tc>
        <w:tc>
          <w:tcPr>
            <w:tcW w:type="dxa" w:w="2880"/>
          </w:tcPr>
          <w:p>
            <w:pPr>
              <w:bidi/>
              <w:jc w:val="right"/>
            </w:pPr>
            <w:r>
              <w:rPr>
                <w:rFonts w:ascii="David" w:hAnsi="David"/>
                <w:sz w:val="20"/>
                <w:rtl/>
              </w:rPr>
              <w:t>₪1,224/kW</w:t>
            </w:r>
          </w:p>
        </w:tc>
        <w:tc>
          <w:tcPr>
            <w:tcW w:type="dxa" w:w="2880"/>
          </w:tcPr>
          <w:p>
            <w:pPr>
              <w:bidi/>
              <w:jc w:val="right"/>
            </w:pPr>
            <w:r>
              <w:rPr>
                <w:rFonts w:ascii="David" w:hAnsi="David"/>
                <w:sz w:val="20"/>
                <w:rtl/>
              </w:rPr>
              <w:t>נגזר: ₪1,500 חלקי 1.225, פרמיית VSD מול מהירות קבועה 15-30%</w:t>
            </w:r>
          </w:p>
        </w:tc>
      </w:tr>
      <w:tr>
        <w:tc>
          <w:tcPr>
            <w:tcW w:type="dxa" w:w="2880"/>
          </w:tcPr>
          <w:p>
            <w:pPr>
              <w:bidi/>
              <w:jc w:val="right"/>
            </w:pPr>
            <w:r>
              <w:rPr>
                <w:rFonts w:ascii="David" w:hAnsi="David"/>
                <w:sz w:val="20"/>
                <w:rtl/>
              </w:rPr>
              <w:t>אורך חיים (בסיסי ויעיל)</w:t>
            </w:r>
          </w:p>
        </w:tc>
        <w:tc>
          <w:tcPr>
            <w:tcW w:type="dxa" w:w="2880"/>
          </w:tcPr>
          <w:p>
            <w:pPr>
              <w:bidi/>
              <w:jc w:val="right"/>
            </w:pPr>
            <w:r>
              <w:rPr>
                <w:rFonts w:ascii="David" w:hAnsi="David"/>
                <w:sz w:val="20"/>
                <w:rtl/>
              </w:rPr>
              <w:t>12 שנים</w:t>
            </w:r>
          </w:p>
        </w:tc>
        <w:tc>
          <w:tcPr>
            <w:tcW w:type="dxa" w:w="2880"/>
          </w:tcPr>
          <w:p>
            <w:pPr>
              <w:bidi/>
              <w:jc w:val="right"/>
            </w:pPr>
            <w:r>
              <w:rPr>
                <w:rFonts w:ascii="David" w:hAnsi="David"/>
                <w:sz w:val="20"/>
                <w:rtl/>
              </w:rPr>
              <w:t>ממצאי הנדסה / הנחת עבודה</w:t>
            </w:r>
          </w:p>
        </w:tc>
      </w:tr>
      <w:tr>
        <w:tc>
          <w:tcPr>
            <w:tcW w:type="dxa" w:w="2880"/>
          </w:tcPr>
          <w:p>
            <w:pPr>
              <w:bidi/>
              <w:jc w:val="right"/>
            </w:pPr>
            <w:r>
              <w:rPr>
                <w:rFonts w:ascii="David" w:hAnsi="David"/>
                <w:sz w:val="20"/>
                <w:rtl/>
              </w:rPr>
              <w:t>גורם שחיקת ביצועים</w:t>
            </w:r>
          </w:p>
        </w:tc>
        <w:tc>
          <w:tcPr>
            <w:tcW w:type="dxa" w:w="2880"/>
          </w:tcPr>
          <w:p>
            <w:pPr>
              <w:bidi/>
              <w:jc w:val="right"/>
            </w:pPr>
            <w:r>
              <w:rPr>
                <w:rFonts w:ascii="David" w:hAnsi="David"/>
                <w:sz w:val="20"/>
                <w:rtl/>
              </w:rPr>
              <w:t>0%/שנה</w:t>
            </w:r>
          </w:p>
        </w:tc>
        <w:tc>
          <w:tcPr>
            <w:tcW w:type="dxa" w:w="2880"/>
          </w:tcPr>
          <w:p>
            <w:pPr>
              <w:bidi/>
              <w:jc w:val="right"/>
            </w:pPr>
            <w:r>
              <w:rPr>
                <w:rFonts w:ascii="David" w:hAnsi="David"/>
                <w:sz w:val="20"/>
                <w:rtl/>
              </w:rPr>
              <w:t>מדחסי בורגה אינם נשחקים משמעותית לפי התייעצות עם רפי</w:t>
            </w:r>
          </w:p>
        </w:tc>
      </w:tr>
    </w:tbl>
    <w:p/>
    <w:p>
      <w:pPr>
        <w:bidi/>
        <w:jc w:val="right"/>
      </w:pPr>
      <w:r>
        <w:rPr>
          <w:rFonts w:ascii="David" w:hAnsi="David" w:cs="David"/>
          <w:b w:val="0"/>
          <w:i w:val="0"/>
          <w:sz w:val="22"/>
          <w:rtl/>
        </w:rPr>
        <w:t>הערה: אופק הניתוח לכל טכנולוגיה נקבע לפי אורך חיי הציוד הבסיסי. עבור צ'ילרים, שנתיים נוספות של חיי הציוד היעיל (17 שנים במקור) אינן נספרות - כיוון שמרני שננקט במכוון.</w:t>
      </w:r>
    </w:p>
    <w:p>
      <w:pPr>
        <w:pStyle w:val="Heading1"/>
        <w:bidi/>
        <w:jc w:val="right"/>
      </w:pPr>
      <w:r>
        <w:rPr>
          <w:rFonts w:ascii="David" w:hAnsi="David" w:cs="David"/>
          <w:b/>
          <w:color w:val="2E74B5"/>
          <w:sz w:val="32"/>
          <w:rtl/>
        </w:rPr>
        <w:t>6. שיטת החישוב</w:t>
      </w:r>
    </w:p>
    <w:p>
      <w:pPr>
        <w:bidi/>
        <w:jc w:val="right"/>
      </w:pPr>
      <w:r>
        <w:rPr>
          <w:rFonts w:ascii="David" w:hAnsi="David" w:cs="David"/>
          <w:b w:val="0"/>
          <w:i w:val="0"/>
          <w:sz w:val="22"/>
          <w:rtl/>
        </w:rPr>
        <w:t>הניתוח בוחן שלוש חלופות רכישה לכל טכנולוגיה: א׳ - ציוד קונבנציונלי (הנוהג הקיים), ב׳ - ציוד יעיל בלוח הפחת הסטנדרטי, ג׳ - ציוד יעיל בלוח הפחת המואץ. ההבדל בין ב׳ ל-א׳ מבטא את הכדאיות הכלכלית הטבעית של השדרוג; ההבדל בין ג׳ ל-ב׳ מבטא את שווי ההטבה.</w:t>
      </w:r>
    </w:p>
    <w:p>
      <w:pPr>
        <w:bidi/>
        <w:jc w:val="right"/>
      </w:pPr>
      <w:r>
        <w:rPr>
          <w:rFonts w:ascii="David" w:hAnsi="David" w:cs="David"/>
          <w:b/>
          <w:i w:val="0"/>
          <w:sz w:val="22"/>
          <w:rtl/>
        </w:rPr>
        <w:t>שלב 1 - צריכת אנרגיה שנתית</w:t>
      </w:r>
    </w:p>
    <w:p>
      <w:pPr>
        <w:bidi/>
        <w:jc w:val="right"/>
      </w:pPr>
      <w:r>
        <w:rPr>
          <w:rFonts w:ascii="David" w:hAnsi="David" w:cs="David"/>
          <w:b w:val="0"/>
          <w:i w:val="0"/>
          <w:sz w:val="22"/>
          <w:rtl/>
        </w:rPr>
        <w:t>קיבולת מותקנת × שעות פעילות שנתיות × מדד היעילות של הטכנולוגיה (קילוואט/טון בצ'ילרים, הספק סגולי במדחסים, COP במשאבות חום). שעות הפעילות זהות בין החלופות.</w:t>
      </w:r>
    </w:p>
    <w:p>
      <w:pPr>
        <w:bidi/>
        <w:jc w:val="right"/>
      </w:pPr>
      <w:r>
        <w:rPr>
          <w:rFonts w:ascii="David" w:hAnsi="David" w:cs="David"/>
          <w:b/>
          <w:i w:val="0"/>
          <w:sz w:val="22"/>
          <w:rtl/>
        </w:rPr>
        <w:t>שלב 2 - המרה לעלות תפעול</w:t>
      </w:r>
    </w:p>
    <w:p>
      <w:pPr>
        <w:bidi/>
        <w:jc w:val="right"/>
      </w:pPr>
      <w:r>
        <w:rPr>
          <w:rFonts w:ascii="David" w:hAnsi="David" w:cs="David"/>
          <w:b w:val="0"/>
          <w:i w:val="0"/>
          <w:sz w:val="22"/>
          <w:rtl/>
        </w:rPr>
        <w:t>הצריכה השנתית מוכפלת בתעריף החשמל הממוצע המשוקלל (36.97 אג'/קוט"ש, ראו סעיף 3 לעיל).</w:t>
      </w:r>
    </w:p>
    <w:p>
      <w:pPr>
        <w:bidi/>
        <w:jc w:val="right"/>
      </w:pPr>
      <w:r>
        <w:rPr>
          <w:rFonts w:ascii="David" w:hAnsi="David" w:cs="David"/>
          <w:b/>
          <w:i w:val="0"/>
          <w:sz w:val="22"/>
          <w:rtl/>
        </w:rPr>
        <w:t>שלב 3 - לוחות פחת ומגן מס</w:t>
      </w:r>
    </w:p>
    <w:p>
      <w:pPr>
        <w:bidi/>
        <w:jc w:val="right"/>
      </w:pPr>
      <w:r>
        <w:rPr>
          <w:rFonts w:ascii="David" w:hAnsi="David" w:cs="David"/>
          <w:b w:val="0"/>
          <w:i w:val="0"/>
          <w:sz w:val="22"/>
          <w:rtl/>
        </w:rPr>
        <w:t>בחלופות א׳ וב׳: פחת רגיל (10% לשנה, 10 שנים). בחלופה ג׳: פחת לפי המכפיל הנבחן (2.0 כברירת מחדל), מקצר את תקופת הפריסה בהתאם. לוח הפחת המואץ בנוי כך שסך הניכוי שווה בדיוק ל-100% מה-CapEx: השנה האחרונה בטווח סופגת את שארית העיגול. מגן המס בכל שנה = הפחת המוכר × שיעור מס חברות (23%).</w:t>
      </w:r>
    </w:p>
    <w:p>
      <w:pPr>
        <w:bidi/>
        <w:jc w:val="right"/>
      </w:pPr>
      <w:r>
        <w:rPr>
          <w:rFonts w:ascii="David" w:hAnsi="David" w:cs="David"/>
          <w:b/>
          <w:i w:val="0"/>
          <w:sz w:val="22"/>
          <w:rtl/>
        </w:rPr>
        <w:t>שלב 4 - תזרים מזומנים והיוון</w:t>
      </w:r>
    </w:p>
    <w:p>
      <w:pPr>
        <w:bidi/>
        <w:jc w:val="right"/>
      </w:pPr>
      <w:r>
        <w:rPr>
          <w:rFonts w:ascii="David" w:hAnsi="David" w:cs="David"/>
          <w:b w:val="0"/>
          <w:i w:val="0"/>
          <w:sz w:val="22"/>
          <w:rtl/>
        </w:rPr>
        <w:t>תזרים שנתי ל-20 שנה (השקעה הונית בשנה הראשונה, עלות אנרגיה ומגן מס בהמשך), מהוון ב-6% (שיעור פרטי/יזמי).</w:t>
      </w:r>
    </w:p>
    <w:p>
      <w:pPr>
        <w:bidi/>
        <w:jc w:val="right"/>
      </w:pPr>
      <w:r>
        <w:rPr>
          <w:rFonts w:ascii="David" w:hAnsi="David" w:cs="David"/>
          <w:b/>
          <w:i w:val="0"/>
          <w:sz w:val="22"/>
          <w:rtl/>
        </w:rPr>
        <w:t>שלב 5 - מדדי הכרעה</w:t>
      </w:r>
    </w:p>
    <w:p>
      <w:pPr>
        <w:bidi/>
        <w:jc w:val="right"/>
      </w:pPr>
      <w:r>
        <w:rPr>
          <w:rFonts w:ascii="David" w:hAnsi="David" w:cs="David"/>
          <w:b w:val="0"/>
          <w:i w:val="0"/>
          <w:sz w:val="22"/>
          <w:rtl/>
        </w:rPr>
        <w:t>תקופת החזר מהוונת (הצטברות החיסכון השנתי ומגן המס עד לכיסוי תוספת עלות ההון, עם אינטרפולציה לינארית לשנה חלקית) עבור חלופה ב׳ ו-ג׳ בנפרד. אם ב׳ עומדת בסף 3 השנים - ההשקעה כדאית גם ללא ההטבה. אם רק ג׳ עומדת בסף - ההטבה היא שהפכה את ההחלטה (תוספתיות). אם אף אחת לא עומדת - ההטבה אינה מספיקה.</w:t>
      </w:r>
    </w:p>
    <w:p>
      <w:pPr>
        <w:bidi/>
        <w:jc w:val="right"/>
      </w:pPr>
      <w:r>
        <w:rPr>
          <w:rFonts w:ascii="David" w:hAnsi="David" w:cs="David"/>
          <w:b/>
          <w:i w:val="0"/>
          <w:sz w:val="22"/>
          <w:rtl/>
        </w:rPr>
        <w:t>עלות פיסקלית למדינה</w:t>
      </w:r>
    </w:p>
    <w:p>
      <w:pPr>
        <w:bidi/>
        <w:jc w:val="right"/>
      </w:pPr>
      <w:r>
        <w:rPr>
          <w:rFonts w:ascii="David" w:hAnsi="David" w:cs="David"/>
          <w:b w:val="0"/>
          <w:i w:val="0"/>
          <w:sz w:val="22"/>
          <w:rtl/>
        </w:rPr>
        <w:t>מחושבת כערך הנוכחי של דחיית המס (הפרש הערך הנוכחי של תשלומי המס בין חלופה ב׳ לחלופה ג׳), מהוון בשיעור ההיוון החברתי (3%), ולא כערך הניכוי המלא - בשונה ממענק שהוא הוצאה תקציבית מלאה.</w:t>
      </w:r>
    </w:p>
    <w:p>
      <w:pPr>
        <w:bidi/>
        <w:jc w:val="right"/>
      </w:pPr>
      <w:r>
        <w:rPr>
          <w:rFonts w:ascii="David" w:hAnsi="David" w:cs="David"/>
          <w:b/>
          <w:i w:val="0"/>
          <w:sz w:val="22"/>
          <w:rtl/>
        </w:rPr>
        <w:t>תוצאות ברמת 1,000 יחידות (עקרון התוספתיות)</w:t>
      </w:r>
    </w:p>
    <w:p>
      <w:pPr>
        <w:bidi/>
        <w:jc w:val="right"/>
      </w:pPr>
      <w:r>
        <w:rPr>
          <w:rFonts w:ascii="David" w:hAnsi="David" w:cs="David"/>
          <w:b w:val="0"/>
          <w:i w:val="0"/>
          <w:sz w:val="22"/>
          <w:rtl/>
        </w:rPr>
        <w:t>הערך הכלכלי מחושב באופן שונה בהתאם לתוצאת התוספתיות: עבור טכנולוגיה תוספתית (משאבות חום, צ'ילרים) - הפרש השווי הנוכחי הנקי בין חלופה ב׳ לחלופה א׳ (B-A). עבור טכנולוגיה שאינה תוספתית (VSD) - אין ערך כלכלי מיוחס למדיניות, והערך משתקף כעלות פיסקלית בלבד (בסימן שלילי). העלות הפיסקלית עצמה חלה על כל הטכנולוגיות ללא תלות בתוספתיות, שכן מפעל רציונלי יתבע את ההטבה גם כשהיא אינה משנה את החלטתו. היחידות נפרסות באופן אחיד לאורך אופק הניתוח של כל טכנולוגיה (1,000 חלקי אורך החיים), ללא היוון מחדש בין מחזורי התקנה שונים לשנת הבסיס של התוכנית - נקודה מתודולוגית פתוחה שטרם הושוותה מול פרק המענקים.</w:t>
      </w:r>
    </w:p>
    <w:p>
      <w:pPr>
        <w:pStyle w:val="Heading1"/>
        <w:bidi/>
        <w:jc w:val="right"/>
      </w:pPr>
      <w:r>
        <w:rPr>
          <w:rFonts w:ascii="David" w:hAnsi="David" w:cs="David"/>
          <w:b/>
          <w:color w:val="2E74B5"/>
          <w:sz w:val="32"/>
          <w:rtl/>
        </w:rPr>
        <w:t>7. קבצי מקור נתונים</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jc w:val="right"/>
            </w:pPr>
            <w:r>
              <w:rPr>
                <w:rFonts w:ascii="David" w:hAnsi="David"/>
                <w:b/>
                <w:sz w:val="21"/>
                <w:rtl/>
              </w:rPr>
              <w:t>קובץ / מקור</w:t>
            </w:r>
          </w:p>
        </w:tc>
        <w:tc>
          <w:tcPr>
            <w:tcW w:type="dxa" w:w="4320"/>
          </w:tcPr>
          <w:p>
            <w:pPr>
              <w:bidi/>
              <w:jc w:val="right"/>
            </w:pPr>
            <w:r>
              <w:rPr>
                <w:rFonts w:ascii="David" w:hAnsi="David"/>
                <w:b/>
                <w:sz w:val="21"/>
                <w:rtl/>
              </w:rPr>
              <w:t>שימוש</w:t>
            </w:r>
          </w:p>
        </w:tc>
      </w:tr>
      <w:tr>
        <w:tc>
          <w:tcPr>
            <w:tcW w:type="dxa" w:w="4320"/>
          </w:tcPr>
          <w:p>
            <w:pPr>
              <w:bidi/>
              <w:jc w:val="right"/>
            </w:pPr>
            <w:r>
              <w:rPr>
                <w:rFonts w:ascii="David" w:hAnsi="David"/>
                <w:sz w:val="20"/>
                <w:rtl/>
              </w:rPr>
              <w:t>tax_incentive_model (הקובץ הסופי שהוגש)</w:t>
            </w:r>
          </w:p>
        </w:tc>
        <w:tc>
          <w:tcPr>
            <w:tcW w:type="dxa" w:w="4320"/>
          </w:tcPr>
          <w:p>
            <w:pPr>
              <w:bidi/>
              <w:jc w:val="right"/>
            </w:pPr>
            <w:r>
              <w:rPr>
                <w:rFonts w:ascii="David" w:hAnsi="David"/>
                <w:sz w:val="20"/>
                <w:rtl/>
              </w:rPr>
              <w:t>קובץ המודל המלא, שני הגיליונות</w:t>
            </w:r>
          </w:p>
        </w:tc>
      </w:tr>
      <w:tr>
        <w:tc>
          <w:tcPr>
            <w:tcW w:type="dxa" w:w="4320"/>
          </w:tcPr>
          <w:p>
            <w:pPr>
              <w:bidi/>
              <w:jc w:val="right"/>
            </w:pPr>
            <w:r>
              <w:rPr>
                <w:rFonts w:ascii="David" w:hAnsi="David"/>
                <w:sz w:val="20"/>
                <w:rtl/>
              </w:rPr>
              <w:t>generate_tax_model_v4.py</w:t>
            </w:r>
          </w:p>
        </w:tc>
        <w:tc>
          <w:tcPr>
            <w:tcW w:type="dxa" w:w="4320"/>
          </w:tcPr>
          <w:p>
            <w:pPr>
              <w:bidi/>
              <w:jc w:val="right"/>
            </w:pPr>
            <w:r>
              <w:rPr>
                <w:rFonts w:ascii="David" w:hAnsi="David"/>
                <w:sz w:val="20"/>
                <w:rtl/>
              </w:rPr>
              <w:t>סקריפט הבנייה המקורי של מבנה שלוש הטכנולוגיות (קונסולידציית קיבולת, תיקוני נוסחאות)</w:t>
            </w:r>
          </w:p>
        </w:tc>
      </w:tr>
      <w:tr>
        <w:tc>
          <w:tcPr>
            <w:tcW w:type="dxa" w:w="4320"/>
          </w:tcPr>
          <w:p>
            <w:pPr>
              <w:bidi/>
              <w:jc w:val="right"/>
            </w:pPr>
            <w:r>
              <w:rPr>
                <w:rFonts w:ascii="David" w:hAnsi="David"/>
                <w:sz w:val="20"/>
                <w:rtl/>
              </w:rPr>
              <w:t>baseline-technology-data.md</w:t>
            </w:r>
          </w:p>
        </w:tc>
        <w:tc>
          <w:tcPr>
            <w:tcW w:type="dxa" w:w="4320"/>
          </w:tcPr>
          <w:p>
            <w:pPr>
              <w:bidi/>
              <w:jc w:val="right"/>
            </w:pPr>
            <w:r>
              <w:rPr>
                <w:rFonts w:ascii="David" w:hAnsi="David"/>
                <w:sz w:val="20"/>
                <w:rtl/>
              </w:rPr>
              <w:t>תיעוד מקורי מלא של כל נקודת נתון טכנולוגית (COP, יעילות, CapEx) עם קישורים למקורות הבינלאומיים</w:t>
            </w:r>
          </w:p>
        </w:tc>
      </w:tr>
      <w:tr>
        <w:tc>
          <w:tcPr>
            <w:tcW w:type="dxa" w:w="4320"/>
          </w:tcPr>
          <w:p>
            <w:pPr>
              <w:bidi/>
              <w:jc w:val="right"/>
            </w:pPr>
            <w:r>
              <w:rPr>
                <w:rFonts w:ascii="David" w:hAnsi="David"/>
                <w:sz w:val="20"/>
                <w:rtl/>
              </w:rPr>
              <w:t>capex_all_rounds_annotated.xlsx (חילוץ תכנית המענקים)</w:t>
            </w:r>
          </w:p>
        </w:tc>
        <w:tc>
          <w:tcPr>
            <w:tcW w:type="dxa" w:w="4320"/>
          </w:tcPr>
          <w:p>
            <w:pPr>
              <w:bidi/>
              <w:jc w:val="right"/>
            </w:pPr>
            <w:r>
              <w:rPr>
                <w:rFonts w:ascii="David" w:hAnsi="David"/>
                <w:sz w:val="20"/>
                <w:rtl/>
              </w:rPr>
              <w:t>מקור נתוני ה-CapEx היעיל בפועל (צ'ילרים, משאבות חום, VSD) - חציון פרויקטים ממומנים 2017-2022</w:t>
            </w:r>
          </w:p>
        </w:tc>
      </w:tr>
      <w:tr>
        <w:tc>
          <w:tcPr>
            <w:tcW w:type="dxa" w:w="4320"/>
          </w:tcPr>
          <w:p>
            <w:pPr>
              <w:bidi/>
              <w:jc w:val="right"/>
            </w:pPr>
            <w:r>
              <w:rPr>
                <w:rFonts w:ascii="David" w:hAnsi="David"/>
                <w:sz w:val="20"/>
                <w:rtl/>
              </w:rPr>
              <w:t>DOE FEMP - Minimum Efficiency Requirements Tables</w:t>
            </w:r>
          </w:p>
        </w:tc>
        <w:tc>
          <w:tcPr>
            <w:tcW w:type="dxa" w:w="4320"/>
          </w:tcPr>
          <w:p>
            <w:pPr>
              <w:bidi/>
              <w:jc w:val="right"/>
            </w:pPr>
            <w:r>
              <w:rPr>
                <w:rFonts w:ascii="David" w:hAnsi="David"/>
                <w:sz w:val="20"/>
                <w:rtl/>
              </w:rPr>
              <w:t>תקן COP בסיסי למשאבות חום (3.3, ASHRAE 90.1-2019)</w:t>
            </w:r>
          </w:p>
        </w:tc>
      </w:tr>
      <w:tr>
        <w:tc>
          <w:tcPr>
            <w:tcW w:type="dxa" w:w="4320"/>
          </w:tcPr>
          <w:p>
            <w:pPr>
              <w:bidi/>
              <w:jc w:val="right"/>
            </w:pPr>
            <w:r>
              <w:rPr>
                <w:rFonts w:ascii="David" w:hAnsi="David"/>
                <w:sz w:val="20"/>
                <w:rtl/>
              </w:rPr>
              <w:t>ASHRAE 90.1 Table 6.8.1-3</w:t>
            </w:r>
          </w:p>
        </w:tc>
        <w:tc>
          <w:tcPr>
            <w:tcW w:type="dxa" w:w="4320"/>
          </w:tcPr>
          <w:p>
            <w:pPr>
              <w:bidi/>
              <w:jc w:val="right"/>
            </w:pPr>
            <w:r>
              <w:rPr>
                <w:rFonts w:ascii="David" w:hAnsi="David"/>
                <w:sz w:val="20"/>
                <w:rtl/>
              </w:rPr>
              <w:t>תקן יעילות בסיסית לצ'ילרים (0.775 kW/ton)</w:t>
            </w:r>
          </w:p>
        </w:tc>
      </w:tr>
      <w:tr>
        <w:tc>
          <w:tcPr>
            <w:tcW w:type="dxa" w:w="4320"/>
          </w:tcPr>
          <w:p>
            <w:pPr>
              <w:bidi/>
              <w:jc w:val="right"/>
            </w:pPr>
            <w:r>
              <w:rPr>
                <w:rFonts w:ascii="David" w:hAnsi="David"/>
                <w:sz w:val="20"/>
                <w:rtl/>
              </w:rPr>
              <w:t>DOE FEMP - Water-Cooled Electric Chillers</w:t>
            </w:r>
          </w:p>
        </w:tc>
        <w:tc>
          <w:tcPr>
            <w:tcW w:type="dxa" w:w="4320"/>
          </w:tcPr>
          <w:p>
            <w:pPr>
              <w:bidi/>
              <w:jc w:val="right"/>
            </w:pPr>
            <w:r>
              <w:rPr>
                <w:rFonts w:ascii="David" w:hAnsi="David"/>
                <w:sz w:val="20"/>
                <w:rtl/>
              </w:rPr>
              <w:t>רמת יעילות מומלצת לצ'ילרים יעילים (0.64 kW/ton)</w:t>
            </w:r>
          </w:p>
        </w:tc>
      </w:tr>
      <w:tr>
        <w:tc>
          <w:tcPr>
            <w:tcW w:type="dxa" w:w="4320"/>
          </w:tcPr>
          <w:p>
            <w:pPr>
              <w:bidi/>
              <w:jc w:val="right"/>
            </w:pPr>
            <w:r>
              <w:rPr>
                <w:rFonts w:ascii="David" w:hAnsi="David"/>
                <w:sz w:val="20"/>
                <w:rtl/>
              </w:rPr>
              <w:t>CAGI Performance Verification Program (ISO 1217)</w:t>
            </w:r>
          </w:p>
        </w:tc>
        <w:tc>
          <w:tcPr>
            <w:tcW w:type="dxa" w:w="4320"/>
          </w:tcPr>
          <w:p>
            <w:pPr>
              <w:bidi/>
              <w:jc w:val="right"/>
            </w:pPr>
            <w:r>
              <w:rPr>
                <w:rFonts w:ascii="David" w:hAnsi="David"/>
                <w:sz w:val="20"/>
                <w:rtl/>
              </w:rPr>
              <w:t>הספק סגולי למדחסי VSD (בסיסי ויעיל)</w:t>
            </w:r>
          </w:p>
        </w:tc>
      </w:tr>
      <w:tr>
        <w:tc>
          <w:tcPr>
            <w:tcW w:type="dxa" w:w="4320"/>
          </w:tcPr>
          <w:p>
            <w:pPr>
              <w:bidi/>
              <w:jc w:val="right"/>
            </w:pPr>
            <w:r>
              <w:rPr>
                <w:rFonts w:ascii="David" w:hAnsi="David"/>
                <w:sz w:val="20"/>
                <w:rtl/>
              </w:rPr>
              <w:t>רשות החשמל - לוחות תעריפי תעו"ז מ-1.1.2026</w:t>
            </w:r>
          </w:p>
        </w:tc>
        <w:tc>
          <w:tcPr>
            <w:tcW w:type="dxa" w:w="4320"/>
          </w:tcPr>
          <w:p>
            <w:pPr>
              <w:bidi/>
              <w:jc w:val="right"/>
            </w:pPr>
            <w:r>
              <w:rPr>
                <w:rFonts w:ascii="David" w:hAnsi="David"/>
                <w:sz w:val="20"/>
                <w:rtl/>
              </w:rPr>
              <w:t>תעריף החשמל התעשייתי המשוקלל</w:t>
            </w:r>
          </w:p>
        </w:tc>
      </w:tr>
      <w:tr>
        <w:tc>
          <w:tcPr>
            <w:tcW w:type="dxa" w:w="4320"/>
          </w:tcPr>
          <w:p>
            <w:pPr>
              <w:bidi/>
              <w:jc w:val="right"/>
            </w:pPr>
            <w:r>
              <w:rPr>
                <w:rFonts w:ascii="David" w:hAnsi="David"/>
                <w:sz w:val="20"/>
                <w:rtl/>
              </w:rPr>
              <w:t>נתונים והנחות - כללי (גיליון משותף)</w:t>
            </w:r>
          </w:p>
        </w:tc>
        <w:tc>
          <w:tcPr>
            <w:tcW w:type="dxa" w:w="4320"/>
          </w:tcPr>
          <w:p>
            <w:pPr>
              <w:bidi/>
              <w:jc w:val="right"/>
            </w:pPr>
            <w:r>
              <w:rPr>
                <w:rFonts w:ascii="David" w:hAnsi="David"/>
                <w:sz w:val="20"/>
                <w:rtl/>
              </w:rPr>
              <w:t>שיעורי היוון, מקדמי המרה ופליטה, עלויות חיצוניות - משותף לכלל פרקי התוכנית</w:t>
            </w:r>
          </w:p>
        </w:tc>
      </w:tr>
    </w:tbl>
    <w:p/>
    <w:p>
      <w:pPr>
        <w:pStyle w:val="Heading1"/>
        <w:bidi/>
        <w:jc w:val="right"/>
      </w:pPr>
      <w:r>
        <w:rPr>
          <w:rFonts w:ascii="David" w:hAnsi="David" w:cs="David"/>
          <w:b/>
          <w:color w:val="2E74B5"/>
          <w:sz w:val="32"/>
          <w:rtl/>
        </w:rPr>
        <w:t>8. נקודות פתוחות שלא נסגרו בגרסה זו</w:t>
      </w:r>
    </w:p>
    <w:p>
      <w:pPr>
        <w:bidi/>
        <w:jc w:val="right"/>
      </w:pPr>
      <w:r>
        <w:rPr>
          <w:rFonts w:ascii="David" w:hAnsi="David" w:cs="David"/>
          <w:b w:val="0"/>
          <w:i w:val="0"/>
          <w:sz w:val="22"/>
          <w:rtl/>
        </w:rPr>
        <w:t>- התאמת שיטת ההיוון בין מחזורי התקנה (סעיף 6 לעיל) מול פרק המענקים - טרם הושוותה.</w:t>
      </w:r>
    </w:p>
    <w:p>
      <w:pPr>
        <w:bidi/>
        <w:jc w:val="right"/>
      </w:pPr>
      <w:r>
        <w:rPr>
          <w:rFonts w:ascii="David" w:hAnsi="David" w:cs="David"/>
          <w:b w:val="0"/>
          <w:i w:val="0"/>
          <w:sz w:val="22"/>
          <w:rtl/>
        </w:rPr>
        <w:t>- חפיפה אפשרית בין טכנולוגיות פרק הטבות המס לבין פרק המענקים וקרן ההלוואות (שלושתם עשויים לכוון לאותן שלוש טכנולוגיות ולאותה אוכלוסיית מפעלים) - מסומן "לבירור" בגיליון עצמו, טרם הוכרע כיצד לחלק את הייחוס.</w:t>
      </w:r>
    </w:p>
    <w:p>
      <w:pPr>
        <w:bidi/>
        <w:jc w:val="right"/>
      </w:pPr>
      <w:r>
        <w:rPr>
          <w:rFonts w:ascii="David" w:hAnsi="David" w:cs="David"/>
          <w:b w:val="0"/>
          <w:i w:val="0"/>
          <w:sz w:val="22"/>
          <w:rtl/>
        </w:rPr>
        <w:t>- תוצאת התוספתיות של משאבות החום (תקופת החזר 3.18 שנים מול סף 3.0) נמצאת בטווח צר ורגישה במיוחד להנחת שעות הפעילות (5,000, מספרו של רפי, לא מאומת עצמאית) ולגובה מכפיל הפחת המואץ.</w:t>
      </w:r>
    </w:p>
    <w:p>
      <w:pPr>
        <w:bidi/>
        <w:jc w:val="right"/>
      </w:pPr>
      <w:r>
        <w:rPr>
          <w:rFonts w:ascii="David" w:hAnsi="David" w:cs="David"/>
          <w:b w:val="0"/>
          <w:i w:val="0"/>
          <w:sz w:val="22"/>
          <w:rtl/>
        </w:rPr>
        <w:t>- CapEx בסיסי בשלוש הטכנולוגיות הוא הערכה נגזרת (פרמיית יעילות משוערת), לא ציטוט ישיר ממקור - שכן נתוני תכנית המענקים מכסים רק את הציוד היעיל שמומן בפועל.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