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bidi/>
        <w:spacing w:after="200" w:before="240" w:line="276" w:lineRule="auto"/>
        <w:jc w:val="center"/>
      </w:pPr>
      <w:r>
        <w:rPr>
          <w:rFonts w:ascii="Arial" w:hAnsi="Arial" w:cs="Arial" w:eastAsia="Arial"/>
          <w:sz w:val="32"/>
          <w:szCs w:val="32"/>
          <w:b/>
          <w:bCs/>
          <w:color w:val="1F3864"/>
          <w:rtl/>
        </w:rPr>
        <w:t>סיכום עבודה סמינריונית</w:t>
      </w:r>
    </w:p>
    <w:p>
      <w:pPr>
        <w:bidi/>
        <w:spacing w:after="80" w:before="0" w:line="276" w:lineRule="auto"/>
        <w:jc w:val="left"/>
      </w:pPr>
      <w:r>
        <w:rPr>
          <w:rFonts w:ascii="Arial" w:hAnsi="Arial" w:cs="Arial" w:eastAsia="Arial"/>
          <w:sz w:val="22"/>
          <w:szCs w:val="22"/>
          <w:rtl/>
        </w:rPr>
        <w:t/>
      </w:r>
    </w:p>
    <w:p>
      <w:pPr>
        <w:bidi/>
        <w:spacing w:after="140" w:before="0" w:line="310" w:lineRule="auto"/>
        <w:jc w:val="both"/>
      </w:pPr>
      <w:r>
        <w:rPr>
          <w:rFonts w:ascii="Arial" w:hAnsi="Arial" w:cs="Arial" w:eastAsia="Arial"/>
          <w:sz w:val="22"/>
          <w:szCs w:val="22"/>
          <w:rtl/>
        </w:rPr>
        <w:t>עבודה זו בוחנת את הכדאיות הכלכלית של מקורות אנרגיה שונים להפעלת מרכז נתונים בגוש דן, תוך שימוש בניתוח עלות-תועלת מקיף. המחקר השווה בין חיבור לרשת החשמל הלאומית, פתרון היברידי המשלב אנרגיה סולרית, וייצור עצמאי מלא. הממצאים מראים כי הפתרון ההיברידי מציע את האיזון האופטימלי בין עלויות הון לעלויות תפעול לאורך מחזור חיים של עשרים שנה.</w:t>
      </w:r>
    </w:p>
    <w:p>
      <w:pPr>
        <w:bidi/>
        <w:spacing w:after="80" w:before="0" w:line="276" w:lineRule="auto"/>
        <w:jc w:val="left"/>
      </w:pPr>
      <w:r>
        <w:rPr>
          <w:rFonts w:ascii="Arial" w:hAnsi="Arial" w:cs="Arial" w:eastAsia="Arial"/>
          <w:sz w:val="22"/>
          <w:szCs w:val="22"/>
          <w:rtl/>
        </w:rPr>
        <w:t/>
      </w:r>
    </w:p>
    <w:p>
      <w:pPr>
        <w:bidi/>
        <w:spacing w:after="120" w:before="180" w:line="276" w:lineRule="auto"/>
        <w:jc w:val="left"/>
        <w:pBdr>
          <w:bottom w:val="single" w:sz="6" w:space="4" w:color="1F4E79"/>
        </w:pBdr>
      </w:pPr>
      <w:r>
        <w:rPr>
          <w:rFonts w:ascii="Arial" w:hAnsi="Arial" w:cs="Arial" w:eastAsia="Arial"/>
          <w:sz w:val="24"/>
          <w:szCs w:val="24"/>
          <w:b/>
          <w:bCs/>
          <w:color w:val="1F4E79"/>
          <w:rtl/>
        </w:rPr>
        <w:t>ממצאים עיקריים</w:t>
      </w:r>
    </w:p>
    <w:p>
      <w:pPr>
        <w:bidi/>
        <w:spacing w:after="40" w:before="0" w:line="276" w:lineRule="auto"/>
        <w:jc w:val="left"/>
      </w:pPr>
      <w:r>
        <w:rPr>
          <w:rFonts w:ascii="Arial" w:hAnsi="Arial" w:cs="Arial" w:eastAsia="Arial"/>
          <w:sz w:val="22"/>
          <w:szCs w:val="22"/>
          <w:rtl/>
        </w:rPr>
        <w:t/>
      </w:r>
    </w:p>
    <w:p>
      <w:pPr>
        <w:bidi/>
        <w:numPr>
          <w:ilvl w:val="0"/>
          <w:numId w:val="1"/>
        </w:numPr>
        <w:spacing w:after="60" w:before="0" w:line="276" w:lineRule="auto"/>
        <w:jc w:val="left"/>
      </w:pPr>
      <w:r>
        <w:rPr>
          <w:rFonts w:ascii="Arial" w:hAnsi="Arial" w:cs="Arial" w:eastAsia="Arial"/>
          <w:sz w:val="22"/>
          <w:szCs w:val="22"/>
          <w:rtl/>
        </w:rPr>
        <w:t>הפתרון ההיברידי מפחית את עלות האנרגיה הכוללת ב-23% לעומת חיבור ישיר לרשת, עם תקופת החזר השקעה של שבע שנים.</w:t>
      </w:r>
    </w:p>
    <w:p>
      <w:pPr>
        <w:bidi/>
        <w:numPr>
          <w:ilvl w:val="0"/>
          <w:numId w:val="1"/>
        </w:numPr>
        <w:spacing w:after="60" w:before="0" w:line="276" w:lineRule="auto"/>
        <w:jc w:val="left"/>
      </w:pPr>
      <w:r>
        <w:rPr>
          <w:rFonts w:ascii="Arial" w:hAnsi="Arial" w:cs="Arial" w:eastAsia="Arial"/>
          <w:sz w:val="22"/>
          <w:szCs w:val="22"/>
          <w:rtl/>
        </w:rPr>
        <w:t>עלויות הפחתת פחמן דו-חמצני בתרחיש הסולרי נמוכות ב-40% מהממוצע הענפי הישראלי, מה שמחזק את הצדקת ההשקעה גם מהיבט חיצוניות חברתיות.</w:t>
      </w:r>
    </w:p>
    <w:p>
      <w:pPr>
        <w:bidi/>
        <w:numPr>
          <w:ilvl w:val="0"/>
          <w:numId w:val="1"/>
        </w:numPr>
        <w:spacing w:after="60" w:before="0" w:line="276" w:lineRule="auto"/>
        <w:jc w:val="left"/>
      </w:pPr>
      <w:r>
        <w:rPr>
          <w:rFonts w:ascii="Arial" w:hAnsi="Arial" w:cs="Arial" w:eastAsia="Arial"/>
          <w:sz w:val="22"/>
          <w:szCs w:val="22"/>
          <w:rtl/>
        </w:rPr>
        <w:t>ניתוח רגישות ל-PUE מצביע על כך שגם בתרחיש שמרני של יעילות נמוכה, הכדאיות הכלכלית של הפתרון ההיברידי נשמרת לאורך כל טווח ההשקעה.</w:t>
      </w:r>
    </w:p>
    <w:p>
      <w:pPr>
        <w:bidi/>
        <w:spacing w:after="80" w:before="0" w:line="276" w:lineRule="auto"/>
        <w:jc w:val="left"/>
      </w:pPr>
      <w:r>
        <w:rPr>
          <w:rFonts w:ascii="Arial" w:hAnsi="Arial" w:cs="Arial" w:eastAsia="Arial"/>
          <w:sz w:val="22"/>
          <w:szCs w:val="22"/>
          <w:rtl/>
        </w:rPr>
        <w:t/>
      </w:r>
    </w:p>
    <w:p>
      <w:pPr>
        <w:bidi/>
        <w:spacing w:after="140" w:before="0" w:line="310" w:lineRule="auto"/>
        <w:jc w:val="both"/>
      </w:pPr>
      <w:r>
        <w:rPr>
          <w:rFonts w:ascii="Arial" w:hAnsi="Arial" w:cs="Arial" w:eastAsia="Arial"/>
          <w:sz w:val="22"/>
          <w:szCs w:val="22"/>
          <w:rtl/>
        </w:rPr>
        <w:t>לסיכום, ניתוח עלות-תועלת זה מספק בסיס מוצק לקבלת החלטות מדיניות בתחום תשתיות הדיגיטל בישראל. מומלץ לאמץ את מודל האנרגיה ההיברידי כברירת מחדל לפרויקטים עתידיים בקנה מידה דומה, תוך עדכון שוטף של הנחות הדגם בהתאם לשינויים בתמחור אנרגיה ולטכנולוגיות מתפתחות.</w:t>
      </w:r>
    </w:p>
    <w:sectPr>
      <w:bidi/>
      <w:pgSz w:w="11906" w:h="16838"/>
      <w:pgMar w:top="1080" w:right="1080" w:bottom="1080" w:left="1080" w:header="709" w:footer="709"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bidi/>
        <w:ind w:right="360" w:hanging="360"/>
        <w:jc w:val="left"/>
      </w:pPr>
      <w:rPr>
        <w:rFonts w:ascii="Arial" w:hAnsi="Arial" w:cs="Arial"/>
        <w:rtl/>
      </w:rPr>
    </w:lvl>
  </w:abstractNum>
  <w:num w:numId="1">
    <w:abstractNumId w:val="0"/>
  </w:num>
</w:numbering>
</file>

<file path=word/styles.xml><?xml version="1.0" encoding="utf-8"?>
<w:styles xmlns:w="http://schemas.openxmlformats.org/wordprocessingml/2006/main">
  <w:docDefaults>
    <w:rPrDefault>
      <w:rPr>
        <w:rFonts w:ascii="Arial" w:hAnsi="Arial" w:cs="Arial" w:eastAsia="Arial"/>
        <w:sz w:val="22"/>
        <w:szCs w:val="22"/>
        <w:rtl/>
      </w:rPr>
    </w:rPrDefault>
    <w:pPrDefault>
      <w:pPr>
        <w:bidi/>
      </w:pPr>
    </w:pPrDefault>
  </w:docDefaults>
  <w:style w:type="paragraph" w:default="1" w:styleId="Normal">
    <w:name w:val="Normal"/>
    <w:pPr>
      <w:bidi/>
    </w:pPr>
    <w:rPr>
      <w:rtl/>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