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spacing w:after="240" w:before="240" w:line="276" w:lineRule="auto"/>
        <w:jc w:val="center"/>
      </w:pPr>
      <w:r>
        <w:rPr>
          <w:rFonts w:ascii="Arial" w:hAnsi="Arial" w:cs="Arial" w:eastAsia="Arial"/>
          <w:sz w:val="32"/>
          <w:szCs w:val="32"/>
          <w:b/>
          <w:bCs/>
          <w:color w:val="1F4E79"/>
          <w:rtl/>
        </w:rPr>
        <w:t>סיכום עבודה סמינריונית</w:t>
      </w:r>
    </w:p>
    <w:p>
      <w:pPr>
        <w:bidi/>
        <w:spacing w:after="60" w:before="0" w:line="276" w:lineRule="auto"/>
        <w:jc w:val="left"/>
      </w:pPr>
      <w:r>
        <w:rPr>
          <w:rFonts w:ascii="Arial" w:hAnsi="Arial" w:cs="Arial" w:eastAsia="Arial"/>
          <w:sz w:val="22"/>
          <w:szCs w:val="22"/>
          <w:rtl/>
        </w:rPr>
        <w:t/>
      </w:r>
    </w:p>
    <w:p>
      <w:pPr>
        <w:bidi/>
        <w:spacing w:after="100" w:before="0" w:line="276" w:lineRule="auto"/>
        <w:jc w:val="both"/>
      </w:pPr>
      <w:r>
        <w:rPr>
          <w:rFonts w:ascii="Arial" w:hAnsi="Arial" w:cs="Arial" w:eastAsia="Arial"/>
          <w:sz w:val="22"/>
          <w:szCs w:val="22"/>
          <w:rtl/>
        </w:rPr>
        <w:t>עבודה זו עוסקת בניתוח עלות-תועלת של מקורות אנרגיה לצורכי מרכז נתונים בגוש דן. המחקר בוחן שלוש חלופות עיקריות: חיבור לרשת החשמל הלאומית, מערכת היברידית, ומערכת עצמאית המבוססת על אנרגיה מתחדשת.</w:t>
      </w:r>
    </w:p>
    <w:p>
      <w:pPr>
        <w:bidi/>
        <w:spacing w:after="100" w:before="0" w:line="276" w:lineRule="auto"/>
        <w:jc w:val="both"/>
      </w:pPr>
      <w:r>
        <w:rPr>
          <w:rFonts w:ascii="Arial" w:hAnsi="Arial" w:cs="Arial" w:eastAsia="Arial"/>
          <w:sz w:val="22"/>
          <w:szCs w:val="22"/>
          <w:rtl/>
        </w:rPr>
        <w:t>הניתוח מתבסס על מודל כלכלי מקיף הכולל עלויות הון, עלויות תפעול, ועלויות סביבתיות על פני אופק תכנון של עשרים שנה. המסקנות נועדו לסייע לקובעי מדיניות ולגורמים עסקיים בקבלת החלטות מושכלות בתחום אספקת האנרגיה.</w:t>
      </w:r>
    </w:p>
    <w:p>
      <w:pPr>
        <w:bidi/>
        <w:spacing w:after="80" w:before="0" w:line="276" w:lineRule="auto"/>
        <w:jc w:val="left"/>
      </w:pPr>
      <w:r>
        <w:rPr>
          <w:rFonts w:ascii="Arial" w:hAnsi="Arial" w:cs="Arial" w:eastAsia="Arial"/>
          <w:sz w:val="22"/>
          <w:szCs w:val="22"/>
          <w:rtl/>
        </w:rPr>
        <w:t/>
      </w:r>
    </w:p>
    <w:p>
      <w:pPr>
        <w:bidi/>
        <w:spacing w:after="120" w:before="180" w:line="276" w:lineRule="auto"/>
        <w:jc w:val="left"/>
        <w:pBdr>
          <w:bottom w:val="single" w:sz="6" w:space="4" w:color="1F4E79"/>
        </w:pBdr>
      </w:pPr>
      <w:r>
        <w:rPr>
          <w:rFonts w:ascii="Arial" w:hAnsi="Arial" w:cs="Arial" w:eastAsia="Arial"/>
          <w:sz w:val="26"/>
          <w:szCs w:val="26"/>
          <w:b/>
          <w:bCs/>
          <w:color w:val="1F4E79"/>
          <w:rtl/>
        </w:rPr>
        <w:t>ממצאים עיקריים</w:t>
      </w:r>
    </w:p>
    <w:p>
      <w:pPr>
        <w:bidi/>
        <w:spacing w:after="40" w:before="0" w:line="276" w:lineRule="auto"/>
        <w:jc w:val="left"/>
      </w:pPr>
      <w:r>
        <w:rPr>
          <w:rFonts w:ascii="Arial" w:hAnsi="Arial" w:cs="Arial" w:eastAsia="Arial"/>
          <w:sz w:val="22"/>
          <w:szCs w:val="22"/>
          <w:rtl/>
        </w:rPr>
        <w:t/>
      </w:r>
    </w:p>
    <w:p>
      <w:pPr>
        <w:bidi/>
        <w:numPr>
          <w:ilvl w:val="0"/>
          <w:numId w:val="1"/>
        </w:numPr>
        <w:spacing w:after="60" w:before="0" w:line="276" w:lineRule="auto"/>
        <w:jc w:val="left"/>
      </w:pPr>
      <w:r>
        <w:rPr>
          <w:rFonts w:ascii="Arial" w:hAnsi="Arial" w:cs="Arial" w:eastAsia="Arial"/>
          <w:sz w:val="22"/>
          <w:szCs w:val="22"/>
          <w:rtl/>
        </w:rPr>
        <w:t>החלופה ההיברידית מציגה את היחס הטוב ביותר בין עלות לתועלת על פני כל אופק הזמן הנבחן.</w:t>
      </w:r>
    </w:p>
    <w:p>
      <w:pPr>
        <w:bidi/>
        <w:numPr>
          <w:ilvl w:val="0"/>
          <w:numId w:val="1"/>
        </w:numPr>
        <w:spacing w:after="60" w:before="0" w:line="276" w:lineRule="auto"/>
        <w:jc w:val="left"/>
      </w:pPr>
      <w:r>
        <w:rPr>
          <w:rFonts w:ascii="Arial" w:hAnsi="Arial" w:cs="Arial" w:eastAsia="Arial"/>
          <w:sz w:val="22"/>
          <w:szCs w:val="22"/>
          <w:rtl/>
        </w:rPr>
        <w:t>עלויות הפחמן מהוות גורם מכריע בהשוואה בין החלופות, במיוחד בתרחישים של מחיר פחמן גבוה.</w:t>
      </w:r>
    </w:p>
    <w:p>
      <w:pPr>
        <w:bidi/>
        <w:numPr>
          <w:ilvl w:val="0"/>
          <w:numId w:val="1"/>
        </w:numPr>
        <w:spacing w:after="60" w:before="0" w:line="276" w:lineRule="auto"/>
        <w:jc w:val="left"/>
      </w:pPr>
      <w:r>
        <w:rPr>
          <w:rFonts w:ascii="Arial" w:hAnsi="Arial" w:cs="Arial" w:eastAsia="Arial"/>
          <w:sz w:val="22"/>
          <w:szCs w:val="22"/>
          <w:rtl/>
        </w:rPr>
        <w:t>השקעה בתשתיות מתחדשות מקטינה את תלות המרכז ברשת הלאומית ומייצרת יתרון תחרותי לטווח הארוך.</w:t>
      </w:r>
    </w:p>
    <w:p>
      <w:pPr>
        <w:bidi/>
        <w:spacing w:after="80" w:before="0" w:line="276" w:lineRule="auto"/>
        <w:jc w:val="left"/>
      </w:pPr>
      <w:r>
        <w:rPr>
          <w:rFonts w:ascii="Arial" w:hAnsi="Arial" w:cs="Arial" w:eastAsia="Arial"/>
          <w:sz w:val="22"/>
          <w:szCs w:val="22"/>
          <w:rtl/>
        </w:rPr>
        <w:t/>
      </w:r>
    </w:p>
    <w:p>
      <w:pPr>
        <w:bidi/>
        <w:spacing w:after="100" w:before="0" w:line="276" w:lineRule="auto"/>
        <w:jc w:val="both"/>
      </w:pPr>
      <w:r>
        <w:rPr>
          <w:rFonts w:ascii="Arial" w:hAnsi="Arial" w:cs="Arial" w:eastAsia="Arial"/>
          <w:sz w:val="22"/>
          <w:szCs w:val="22"/>
          <w:rtl/>
        </w:rPr>
        <w:t>לסיכום, ממצאי המחקר מצביעים על כך שמעבר לאנרגיה היברידית מהווה את הבחירה האסטרטגית המיטבית עבור מרכז נתונים בהיקף של עשרים מגה-וואט. מומלץ להמשיך ולעדכן את המודל ככל שנתוני עלויות חדשים יתקבלו, ולשקול את ההשלכות הרגולטוריות של כל חלופה לפני קבלת החלטה סופית.</w:t>
      </w:r>
    </w:p>
    <w:sectPr>
      <w:bidi/>
      <w:pgSz w:w="11906" w:h="16838"/>
      <w:pgMar w:top="1080" w:right="1080" w:bottom="1080" w:left="1080"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bidi/>
        <w:ind w:right="360" w:hanging="360"/>
        <w:jc w:val="left"/>
      </w:pPr>
      <w:rPr>
        <w:rFonts w:ascii="Arial" w:hAnsi="Arial" w:cs="Arial"/>
        <w:rt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2"/>
        <w:szCs w:val="22"/>
        <w:rtl/>
      </w:rPr>
    </w:rPrDefault>
    <w:pPrDefault>
      <w:pPr>
        <w:bidi/>
      </w:pPr>
    </w:pPrDefault>
  </w:docDefaults>
  <w:style w:type="paragraph" w:default="1" w:styleId="Normal">
    <w:name w:val="Normal"/>
    <w:pPr>
      <w:bidi/>
    </w:pPr>
    <w:rPr>
      <w:rt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