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spacing w:after="120" w:before="240" w:line="276" w:lineRule="auto"/>
        <w:jc w:val="left"/>
        <w:pBdr>
          <w:bottom w:val="single" w:sz="6" w:space="4" w:color="1F6B3A"/>
        </w:pBdr>
      </w:pPr>
      <w:r>
        <w:rPr>
          <w:rFonts w:ascii="Arial" w:hAnsi="Arial" w:cs="Arial" w:eastAsia="Arial"/>
          <w:sz w:val="28"/>
          <w:szCs w:val="28"/>
          <w:b/>
          <w:bCs/>
          <w:color w:val="1F6B3A"/>
          <w:rtl/>
        </w:rPr>
        <w:t>השוואת טכנולוגיות אנרגיה לתעשייה</w:t>
      </w:r>
    </w:p>
    <w:p>
      <w:pPr>
        <w:bidi/>
        <w:spacing w:after="80" w:before="0" w:line="276" w:lineRule="auto"/>
        <w:jc w:val="left"/>
      </w:pPr>
      <w:r>
        <w:rPr>
          <w:rFonts w:ascii="Arial" w:hAnsi="Arial" w:cs="Arial" w:eastAsia="Arial"/>
          <w:sz w:val="22"/>
          <w:szCs w:val="22"/>
          <w:rtl/>
        </w:rPr>
        <w:t/>
      </w:r>
    </w:p>
    <w:p>
      <w:pPr>
        <w:bidi/>
        <w:spacing w:after="200" w:before="0" w:line="276" w:lineRule="auto"/>
        <w:jc w:val="both"/>
      </w:pPr>
      <w:r>
        <w:rPr>
          <w:rFonts w:ascii="Arial" w:hAnsi="Arial" w:cs="Arial" w:eastAsia="Arial"/>
          <w:sz w:val="22"/>
          <w:szCs w:val="22"/>
          <w:rtl/>
        </w:rPr>
        <w:t>דוח זה מציג השוואה בין טכנולוגיות ייעול אנרגטי מרכזיות לתעשייה. הניתוח מבוסס על נתוני עלות ממוצעת להתקנה ועל מדדי יעילות אנרגטית שנאספו ממקורות הנדסיים ומנתוני תוכנית המענקים הלאומית. המטרה היא לספק תשתית מידע להחלטות השקעה במסגרת תוכנית ההתייעלות האנרגטית הלאומית.</w:t>
      </w:r>
    </w:p>
    <w:p>
      <w:pPr>
        <w:bidi/>
        <w:spacing w:after="100" w:before="180" w:line="276" w:lineRule="auto"/>
        <w:jc w:val="left"/>
      </w:pPr>
      <w:r>
        <w:rPr>
          <w:rFonts w:ascii="Arial" w:hAnsi="Arial" w:cs="Arial" w:eastAsia="Arial"/>
          <w:sz w:val="24"/>
          <w:szCs w:val="24"/>
          <w:b/>
          <w:bCs/>
          <w:color w:val="1F6B3A"/>
          <w:rtl/>
        </w:rPr>
        <w:t>טבלת השוואת טכנולוגיות</w:t>
      </w:r>
    </w:p>
    <w:p>
      <w:pPr>
        <w:bidi/>
        <w:spacing w:after="60" w:before="0" w:line="276" w:lineRule="auto"/>
        <w:jc w:val="left"/>
      </w:pPr>
      <w:r>
        <w:rPr>
          <w:rFonts w:ascii="Arial" w:hAnsi="Arial" w:cs="Arial" w:eastAsia="Arial"/>
          <w:sz w:val="22"/>
          <w:szCs w:val="22"/>
          <w:rtl/>
        </w:rPr>
        <w:t/>
      </w:r>
    </w:p>
    <w:tbl>
      <w:tblPr>
        <w:bidiVisual/>
        <w:tblW w:type="dxa" w:w="7560"/>
        <w:tblBorders>
          <w:top w:val="single" w:sz="4" w:color="BFBFBF"/>
          <w:left w:val="single" w:sz="4" w:color="BFBFBF"/>
          <w:bottom w:val="single" w:sz="4" w:color="BFBFBF"/>
          <w:right w:val="single" w:sz="4" w:color="BFBFBF"/>
          <w:insideH w:val="single" w:sz="4" w:color="BFBFBF"/>
          <w:insideV w:val="single" w:sz="4" w:color="BFBFBF"/>
        </w:tblBorders>
      </w:tblPr>
      <w:tblGrid>
        <w:gridCol w:w="3200"/>
        <w:gridCol w:w="2180"/>
        <w:gridCol w:w="2180"/>
      </w:tblGrid>
      <w:tr>
        <w:tc>
          <w:tcPr>
            <w:tcW w:type="dxa" w:w="3200"/>
            <w:tcBorders>
              <w:top w:val="single" w:sz="4" w:space="0" w:color="BFBFBF"/>
              <w:left w:val="single" w:sz="4" w:space="0" w:color="BFBFBF"/>
              <w:bottom w:val="single" w:sz="4" w:space="0" w:color="BFBFBF"/>
              <w:right w:val="single" w:sz="4" w:space="0" w:color="BFBFBF"/>
            </w:tcBorders>
            <w:shd w:val="clear" w:color="auto" w:fill="1F6B3A"/>
            <w:tcMar>
              <w:top w:type="dxa" w:w="60"/>
              <w:left w:type="dxa" w:w="100"/>
              <w:bottom w:type="dxa" w:w="60"/>
              <w:right w:type="dxa" w:w="100"/>
            </w:tcMar>
            <w:vAlign w:val="center"/>
          </w:tcPr>
          <w:p>
            <w:pPr>
              <w:bidi/>
              <w:spacing w:after="0" w:before="0" w:line="276" w:lineRule="auto"/>
              <w:jc w:val="center"/>
            </w:pPr>
            <w:r>
              <w:rPr>
                <w:rFonts w:ascii="Arial" w:hAnsi="Arial" w:cs="Arial" w:eastAsia="Arial"/>
                <w:sz w:val="20"/>
                <w:szCs w:val="20"/>
                <w:b/>
                <w:bCs/>
                <w:color w:val="FFFFFF"/>
                <w:rtl/>
              </w:rPr>
              <w:t>טכנולוגיה</w:t>
            </w:r>
          </w:p>
        </w:tc>
        <w:tc>
          <w:tcPr>
            <w:tcW w:type="dxa" w:w="2180"/>
            <w:tcBorders>
              <w:top w:val="single" w:sz="4" w:space="0" w:color="BFBFBF"/>
              <w:left w:val="single" w:sz="4" w:space="0" w:color="BFBFBF"/>
              <w:bottom w:val="single" w:sz="4" w:space="0" w:color="BFBFBF"/>
              <w:right w:val="single" w:sz="4" w:space="0" w:color="BFBFBF"/>
            </w:tcBorders>
            <w:shd w:val="clear" w:color="auto" w:fill="1F6B3A"/>
            <w:tcMar>
              <w:top w:type="dxa" w:w="60"/>
              <w:left w:type="dxa" w:w="100"/>
              <w:bottom w:type="dxa" w:w="60"/>
              <w:right w:type="dxa" w:w="100"/>
            </w:tcMar>
            <w:vAlign w:val="center"/>
          </w:tcPr>
          <w:p>
            <w:pPr>
              <w:bidi/>
              <w:spacing w:after="0" w:before="0" w:line="276" w:lineRule="auto"/>
              <w:jc w:val="center"/>
            </w:pPr>
            <w:r>
              <w:rPr>
                <w:rFonts w:ascii="Arial" w:hAnsi="Arial" w:cs="Arial" w:eastAsia="Arial"/>
                <w:sz w:val="20"/>
                <w:szCs w:val="20"/>
                <w:b/>
                <w:bCs/>
                <w:color w:val="FFFFFF"/>
                <w:rtl/>
              </w:rPr>
              <w:t>עלות ממוצעת</w:t>
            </w:r>
          </w:p>
        </w:tc>
        <w:tc>
          <w:tcPr>
            <w:tcW w:type="dxa" w:w="2180"/>
            <w:tcBorders>
              <w:top w:val="single" w:sz="4" w:space="0" w:color="BFBFBF"/>
              <w:left w:val="single" w:sz="4" w:space="0" w:color="BFBFBF"/>
              <w:bottom w:val="single" w:sz="4" w:space="0" w:color="BFBFBF"/>
              <w:right w:val="single" w:sz="4" w:space="0" w:color="BFBFBF"/>
            </w:tcBorders>
            <w:shd w:val="clear" w:color="auto" w:fill="1F6B3A"/>
            <w:tcMar>
              <w:top w:type="dxa" w:w="60"/>
              <w:left w:type="dxa" w:w="100"/>
              <w:bottom w:type="dxa" w:w="60"/>
              <w:right w:type="dxa" w:w="100"/>
            </w:tcMar>
            <w:vAlign w:val="center"/>
          </w:tcPr>
          <w:p>
            <w:pPr>
              <w:bidi/>
              <w:spacing w:after="0" w:before="0" w:line="276" w:lineRule="auto"/>
              <w:jc w:val="center"/>
            </w:pPr>
            <w:r>
              <w:rPr>
                <w:rFonts w:ascii="Arial" w:hAnsi="Arial" w:cs="Arial" w:eastAsia="Arial"/>
                <w:sz w:val="20"/>
                <w:szCs w:val="20"/>
                <w:b/>
                <w:bCs/>
                <w:color w:val="FFFFFF"/>
                <w:rtl/>
              </w:rPr>
              <w:t>יעילות</w:t>
            </w:r>
          </w:p>
        </w:tc>
      </w:tr>
      <w:tr>
        <w:tc>
          <w:tcPr>
            <w:tcW w:type="dxa" w:w="3200"/>
            <w:tcBorders>
              <w:top w:val="single" w:sz="4" w:space="0" w:color="BFBFBF"/>
              <w:left w:val="single" w:sz="4" w:space="0" w:color="BFBFBF"/>
              <w:bottom w:val="single" w:sz="4" w:space="0" w:color="BFBFBF"/>
              <w:right w:val="single" w:sz="4" w:space="0" w:color="BFBFBF"/>
            </w:tcBorders>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משאבות חום תעשייתיות</w:t>
            </w:r>
          </w:p>
        </w:tc>
        <w:tc>
          <w:tcPr>
            <w:tcW w:type="dxa" w:w="2180"/>
            <w:tcBorders>
              <w:top w:val="single" w:sz="4" w:space="0" w:color="BFBFBF"/>
              <w:left w:val="single" w:sz="4" w:space="0" w:color="BFBFBF"/>
              <w:bottom w:val="single" w:sz="4" w:space="0" w:color="BFBFBF"/>
              <w:right w:val="single" w:sz="4" w:space="0" w:color="BFBFBF"/>
            </w:tcBorders>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850,000 ₪</w:t>
            </w:r>
          </w:p>
        </w:tc>
        <w:tc>
          <w:tcPr>
            <w:tcW w:type="dxa" w:w="2180"/>
            <w:tcBorders>
              <w:top w:val="single" w:sz="4" w:space="0" w:color="BFBFBF"/>
              <w:left w:val="single" w:sz="4" w:space="0" w:color="BFBFBF"/>
              <w:bottom w:val="single" w:sz="4" w:space="0" w:color="BFBFBF"/>
              <w:right w:val="single" w:sz="4" w:space="0" w:color="BFBFBF"/>
            </w:tcBorders>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300% COP</w:t>
            </w:r>
          </w:p>
        </w:tc>
      </w:tr>
      <w:tr>
        <w:tc>
          <w:tcPr>
            <w:tcW w:type="dxa" w:w="3200"/>
            <w:tcBorders>
              <w:top w:val="single" w:sz="4" w:space="0" w:color="BFBFBF"/>
              <w:left w:val="single" w:sz="4" w:space="0" w:color="BFBFBF"/>
              <w:bottom w:val="single" w:sz="4" w:space="0" w:color="BFBFBF"/>
              <w:right w:val="single" w:sz="4" w:space="0" w:color="BFBFBF"/>
            </w:tcBorders>
            <w:shd w:val="clear" w:color="auto" w:fill="E8F5E9"/>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צ'ילרים עם בקרת תדר</w:t>
            </w:r>
          </w:p>
        </w:tc>
        <w:tc>
          <w:tcPr>
            <w:tcW w:type="dxa" w:w="2180"/>
            <w:tcBorders>
              <w:top w:val="single" w:sz="4" w:space="0" w:color="BFBFBF"/>
              <w:left w:val="single" w:sz="4" w:space="0" w:color="BFBFBF"/>
              <w:bottom w:val="single" w:sz="4" w:space="0" w:color="BFBFBF"/>
              <w:right w:val="single" w:sz="4" w:space="0" w:color="BFBFBF"/>
            </w:tcBorders>
            <w:shd w:val="clear" w:color="auto" w:fill="E8F5E9"/>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620,000 ₪</w:t>
            </w:r>
          </w:p>
        </w:tc>
        <w:tc>
          <w:tcPr>
            <w:tcW w:type="dxa" w:w="2180"/>
            <w:tcBorders>
              <w:top w:val="single" w:sz="4" w:space="0" w:color="BFBFBF"/>
              <w:left w:val="single" w:sz="4" w:space="0" w:color="BFBFBF"/>
              <w:bottom w:val="single" w:sz="4" w:space="0" w:color="BFBFBF"/>
              <w:right w:val="single" w:sz="4" w:space="0" w:color="BFBFBF"/>
            </w:tcBorders>
            <w:shd w:val="clear" w:color="auto" w:fill="E8F5E9"/>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15-20%</w:t>
            </w:r>
          </w:p>
        </w:tc>
      </w:tr>
      <w:tr>
        <w:tc>
          <w:tcPr>
            <w:tcW w:type="dxa" w:w="3200"/>
            <w:tcBorders>
              <w:top w:val="single" w:sz="4" w:space="0" w:color="BFBFBF"/>
              <w:left w:val="single" w:sz="4" w:space="0" w:color="BFBFBF"/>
              <w:bottom w:val="single" w:sz="4" w:space="0" w:color="BFBFBF"/>
              <w:right w:val="single" w:sz="4" w:space="0" w:color="BFBFBF"/>
            </w:tcBorders>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מדחסים עם כונן מהירות משתנה</w:t>
            </w:r>
          </w:p>
        </w:tc>
        <w:tc>
          <w:tcPr>
            <w:tcW w:type="dxa" w:w="2180"/>
            <w:tcBorders>
              <w:top w:val="single" w:sz="4" w:space="0" w:color="BFBFBF"/>
              <w:left w:val="single" w:sz="4" w:space="0" w:color="BFBFBF"/>
              <w:bottom w:val="single" w:sz="4" w:space="0" w:color="BFBFBF"/>
              <w:right w:val="single" w:sz="4" w:space="0" w:color="BFBFBF"/>
            </w:tcBorders>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480,000 ₪</w:t>
            </w:r>
          </w:p>
        </w:tc>
        <w:tc>
          <w:tcPr>
            <w:tcW w:type="dxa" w:w="2180"/>
            <w:tcBorders>
              <w:top w:val="single" w:sz="4" w:space="0" w:color="BFBFBF"/>
              <w:left w:val="single" w:sz="4" w:space="0" w:color="BFBFBF"/>
              <w:bottom w:val="single" w:sz="4" w:space="0" w:color="BFBFBF"/>
              <w:right w:val="single" w:sz="4" w:space="0" w:color="BFBFBF"/>
            </w:tcBorders>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25-35%</w:t>
            </w:r>
          </w:p>
        </w:tc>
      </w:tr>
      <w:tr>
        <w:tc>
          <w:tcPr>
            <w:tcW w:type="dxa" w:w="3200"/>
            <w:tcBorders>
              <w:top w:val="single" w:sz="4" w:space="0" w:color="BFBFBF"/>
              <w:left w:val="single" w:sz="4" w:space="0" w:color="BFBFBF"/>
              <w:bottom w:val="single" w:sz="4" w:space="0" w:color="BFBFBF"/>
              <w:right w:val="single" w:sz="4" w:space="0" w:color="BFBFBF"/>
            </w:tcBorders>
            <w:shd w:val="clear" w:color="auto" w:fill="E8F5E9"/>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גנרטורי קיטור חשמליים</w:t>
            </w:r>
          </w:p>
        </w:tc>
        <w:tc>
          <w:tcPr>
            <w:tcW w:type="dxa" w:w="2180"/>
            <w:tcBorders>
              <w:top w:val="single" w:sz="4" w:space="0" w:color="BFBFBF"/>
              <w:left w:val="single" w:sz="4" w:space="0" w:color="BFBFBF"/>
              <w:bottom w:val="single" w:sz="4" w:space="0" w:color="BFBFBF"/>
              <w:right w:val="single" w:sz="4" w:space="0" w:color="BFBFBF"/>
            </w:tcBorders>
            <w:shd w:val="clear" w:color="auto" w:fill="E8F5E9"/>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1,100,000 ₪</w:t>
            </w:r>
          </w:p>
        </w:tc>
        <w:tc>
          <w:tcPr>
            <w:tcW w:type="dxa" w:w="2180"/>
            <w:tcBorders>
              <w:top w:val="single" w:sz="4" w:space="0" w:color="BFBFBF"/>
              <w:left w:val="single" w:sz="4" w:space="0" w:color="BFBFBF"/>
              <w:bottom w:val="single" w:sz="4" w:space="0" w:color="BFBFBF"/>
              <w:right w:val="single" w:sz="4" w:space="0" w:color="BFBFBF"/>
            </w:tcBorders>
            <w:shd w:val="clear" w:color="auto" w:fill="E8F5E9"/>
            <w:tcMar>
              <w:top w:type="dxa" w:w="60"/>
              <w:left w:type="dxa" w:w="100"/>
              <w:bottom w:type="dxa" w:w="60"/>
              <w:right w:type="dxa" w:w="100"/>
            </w:tcMar>
            <w:vAlign w:val="center"/>
          </w:tcPr>
          <w:p>
            <w:pPr>
              <w:bidi/>
              <w:spacing w:after="0" w:before="0" w:line="276" w:lineRule="auto"/>
              <w:jc w:val="left"/>
            </w:pPr>
            <w:r>
              <w:rPr>
                <w:rFonts w:ascii="Arial" w:hAnsi="Arial" w:cs="Arial" w:eastAsia="Arial"/>
                <w:sz w:val="20"/>
                <w:szCs w:val="20"/>
                <w:rtl/>
              </w:rPr>
              <w:t>90-95%</w:t>
            </w:r>
          </w:p>
        </w:tc>
      </w:tr>
    </w:tbl>
    <w:p>
      <w:pPr>
        <w:bidi/>
        <w:spacing w:after="80" w:before="0" w:line="276" w:lineRule="auto"/>
        <w:jc w:val="left"/>
      </w:pPr>
      <w:r>
        <w:rPr>
          <w:rFonts w:ascii="Arial" w:hAnsi="Arial" w:cs="Arial" w:eastAsia="Arial"/>
          <w:sz w:val="22"/>
          <w:szCs w:val="22"/>
          <w:rtl/>
        </w:rPr>
        <w:t/>
      </w:r>
    </w:p>
    <w:p>
      <w:pPr>
        <w:bidi/>
        <w:spacing w:after="0" w:before="0" w:line="276" w:lineRule="auto"/>
        <w:jc w:val="both"/>
      </w:pPr>
      <w:r>
        <w:rPr>
          <w:rFonts w:ascii="Arial" w:hAnsi="Arial" w:cs="Arial" w:eastAsia="Arial"/>
          <w:sz w:val="18"/>
          <w:szCs w:val="18"/>
          <w:color w:val="595959"/>
          <w:rtl/>
        </w:rPr>
        <w:t>* הנתונים מבוססים על ממוצע ההגשות מעגלי 2017-2022 של תוכנית המענקים. העלויות אינן כוללות התקנה ועלויות עזר. יעילות מבוטאת כחיסכון יחסי בצריכת אנרגיה.</w:t>
      </w:r>
    </w:p>
    <w:sectPr>
      <w:bidi/>
      <w:pgSz w:w="11906" w:h="16838"/>
      <w:pgMar w:top="1080" w:right="1080" w:bottom="1080" w:left="1080" w:header="709" w:footer="709"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bidi/>
        <w:ind w:right="360" w:hanging="360"/>
        <w:jc w:val="left"/>
      </w:pPr>
      <w:rPr>
        <w:rFonts w:ascii="Arial" w:hAnsi="Arial" w:cs="Arial"/>
        <w:rtl/>
      </w:rPr>
    </w:lvl>
  </w:abstractNum>
  <w:num w:numId="1">
    <w:abstractNumId w:val="0"/>
  </w:num>
</w:numbering>
</file>

<file path=word/styles.xml><?xml version="1.0" encoding="utf-8"?>
<w:styles xmlns:w="http://schemas.openxmlformats.org/wordprocessingml/2006/main">
  <w:docDefaults>
    <w:rPrDefault>
      <w:rPr>
        <w:rFonts w:ascii="Arial" w:hAnsi="Arial" w:cs="Arial" w:eastAsia="Arial"/>
        <w:sz w:val="22"/>
        <w:szCs w:val="22"/>
        <w:rtl/>
      </w:rPr>
    </w:rPrDefault>
    <w:pPrDefault>
      <w:pPr>
        <w:bidi/>
      </w:pPr>
    </w:pPrDefault>
  </w:docDefaults>
  <w:style w:type="paragraph" w:default="1" w:styleId="Normal">
    <w:name w:val="Normal"/>
    <w:pPr>
      <w:bidi/>
    </w:pPr>
    <w:rPr>
      <w:rtl/>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